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85781">
      <w:pPr>
        <w:pStyle w:val="3"/>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sz w:val="36"/>
          <w:szCs w:val="52"/>
          <w:lang w:val="en-US" w:eastAsia="zh-CN"/>
        </w:rPr>
      </w:pPr>
      <w:bookmarkStart w:id="0" w:name="_Toc10046"/>
      <w:commentRangeStart w:id="0"/>
      <w:r>
        <w:rPr>
          <w:rFonts w:hint="eastAsia" w:ascii="Times New Roman" w:hAnsi="Times New Roman" w:eastAsia="宋体"/>
          <w:sz w:val="36"/>
          <w:szCs w:val="52"/>
          <w:lang w:val="en-US" w:eastAsia="zh-CN"/>
        </w:rPr>
        <w:t>科创企业AI伦理风险的</w:t>
      </w:r>
      <w:r>
        <w:rPr>
          <w:rFonts w:hint="eastAsia"/>
          <w:sz w:val="36"/>
          <w:szCs w:val="52"/>
          <w:lang w:val="en-US" w:eastAsia="zh-CN"/>
        </w:rPr>
        <w:t>识别与管理</w:t>
      </w:r>
      <w:commentRangeEnd w:id="0"/>
      <w:r>
        <w:commentReference w:id="0"/>
      </w:r>
      <w:bookmarkEnd w:id="0"/>
    </w:p>
    <w:sdt>
      <w:sdtPr>
        <w:rPr>
          <w:rFonts w:ascii="宋体" w:hAnsi="宋体" w:eastAsia="宋体" w:cstheme="minorBidi"/>
          <w:kern w:val="2"/>
          <w:sz w:val="21"/>
          <w:szCs w:val="22"/>
          <w:lang w:val="en-US" w:eastAsia="zh-CN" w:bidi="ar-SA"/>
        </w:rPr>
        <w:id w:val="147458480"/>
        <w15:color w:val="DBDBDB"/>
        <w:docPartObj>
          <w:docPartGallery w:val="Table of Contents"/>
          <w:docPartUnique/>
        </w:docPartObj>
      </w:sdtPr>
      <w:sdtEndPr>
        <w:rPr>
          <w:rFonts w:ascii="宋体" w:hAnsi="宋体" w:eastAsia="宋体" w:cstheme="minorBidi"/>
          <w:kern w:val="2"/>
          <w:sz w:val="21"/>
          <w:szCs w:val="22"/>
          <w:lang w:val="en-US" w:eastAsia="zh-CN" w:bidi="ar-SA"/>
        </w:rPr>
      </w:sdtEndPr>
      <w:sdtContent>
        <w:p w14:paraId="1E23E9F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FCB59C0">
          <w:pPr>
            <w:pStyle w:val="29"/>
            <w:tabs>
              <w:tab w:val="right" w:leader="dot" w:pos="9072"/>
            </w:tabs>
          </w:pPr>
          <w:r>
            <w:fldChar w:fldCharType="begin"/>
          </w:r>
          <w:r>
            <w:instrText xml:space="preserve">TOC \o "1-2" \h \u </w:instrText>
          </w:r>
          <w:r>
            <w:fldChar w:fldCharType="separate"/>
          </w:r>
          <w:r>
            <w:fldChar w:fldCharType="begin"/>
          </w:r>
          <w:r>
            <w:instrText xml:space="preserve"> HYPERLINK \l _Toc10046 </w:instrText>
          </w:r>
          <w:r>
            <w:fldChar w:fldCharType="separate"/>
          </w:r>
          <w:r>
            <w:rPr>
              <w:rFonts w:hint="eastAsia" w:ascii="Times New Roman" w:hAnsi="Times New Roman" w:eastAsia="宋体"/>
              <w:szCs w:val="52"/>
              <w:lang w:val="en-US" w:eastAsia="zh-CN"/>
            </w:rPr>
            <w:t>科创企业AI伦理风险的</w:t>
          </w:r>
          <w:r>
            <w:rPr>
              <w:rFonts w:hint="eastAsia"/>
              <w:szCs w:val="52"/>
              <w:lang w:val="en-US" w:eastAsia="zh-CN"/>
            </w:rPr>
            <w:t>识别与管理</w:t>
          </w:r>
          <w:r>
            <w:tab/>
          </w:r>
          <w:r>
            <w:fldChar w:fldCharType="begin"/>
          </w:r>
          <w:r>
            <w:instrText xml:space="preserve"> PAGEREF _Toc10046 \h </w:instrText>
          </w:r>
          <w:r>
            <w:fldChar w:fldCharType="separate"/>
          </w:r>
          <w:r>
            <w:t>1</w:t>
          </w:r>
          <w:r>
            <w:fldChar w:fldCharType="end"/>
          </w:r>
          <w:r>
            <w:fldChar w:fldCharType="end"/>
          </w:r>
        </w:p>
        <w:p w14:paraId="3EFAF483">
          <w:pPr>
            <w:pStyle w:val="29"/>
            <w:tabs>
              <w:tab w:val="right" w:leader="dot" w:pos="9072"/>
            </w:tabs>
          </w:pPr>
          <w:r>
            <w:fldChar w:fldCharType="begin"/>
          </w:r>
          <w:r>
            <w:instrText xml:space="preserve"> HYPERLINK \l _Toc6506 </w:instrText>
          </w:r>
          <w:r>
            <w:fldChar w:fldCharType="separate"/>
          </w:r>
          <w:r>
            <w:rPr>
              <w:rFonts w:hint="eastAsia" w:ascii="Times New Roman" w:hAnsi="Times New Roman" w:eastAsia="宋体"/>
              <w:lang w:val="en-US" w:eastAsia="zh-CN"/>
            </w:rPr>
            <w:t>一、科创企业AI伦理风险亟待治理</w:t>
          </w:r>
          <w:r>
            <w:tab/>
          </w:r>
          <w:r>
            <w:fldChar w:fldCharType="begin"/>
          </w:r>
          <w:r>
            <w:instrText xml:space="preserve"> PAGEREF _Toc6506 \h </w:instrText>
          </w:r>
          <w:r>
            <w:fldChar w:fldCharType="separate"/>
          </w:r>
          <w:r>
            <w:t>2</w:t>
          </w:r>
          <w:r>
            <w:fldChar w:fldCharType="end"/>
          </w:r>
          <w:r>
            <w:fldChar w:fldCharType="end"/>
          </w:r>
        </w:p>
        <w:p w14:paraId="08DDE3D1">
          <w:pPr>
            <w:pStyle w:val="36"/>
            <w:tabs>
              <w:tab w:val="right" w:leader="dot" w:pos="9072"/>
            </w:tabs>
          </w:pPr>
          <w:r>
            <w:fldChar w:fldCharType="begin"/>
          </w:r>
          <w:r>
            <w:instrText xml:space="preserve"> HYPERLINK \l _Toc12881 </w:instrText>
          </w:r>
          <w:r>
            <w:fldChar w:fldCharType="separate"/>
          </w:r>
          <w:r>
            <w:rPr>
              <w:rFonts w:hint="eastAsia" w:ascii="Times New Roman" w:hAnsi="Times New Roman" w:eastAsia="宋体" w:cstheme="majorBidi"/>
              <w:kern w:val="2"/>
              <w:szCs w:val="40"/>
              <w:lang w:val="en-US" w:eastAsia="zh-CN" w:bidi="ar-SA"/>
            </w:rPr>
            <w:t>（一）</w:t>
          </w:r>
          <w:r>
            <w:rPr>
              <w:rFonts w:hint="default"/>
            </w:rPr>
            <w:t>科创企业</w:t>
          </w:r>
          <w:r>
            <w:rPr>
              <w:rFonts w:hint="eastAsia"/>
              <w:lang w:val="en-US" w:eastAsia="zh-CN"/>
            </w:rPr>
            <w:t>是</w:t>
          </w:r>
          <w:r>
            <w:rPr>
              <w:rFonts w:hint="default"/>
            </w:rPr>
            <w:t>创新浪潮中的关键主体</w:t>
          </w:r>
          <w:r>
            <w:tab/>
          </w:r>
          <w:r>
            <w:fldChar w:fldCharType="begin"/>
          </w:r>
          <w:r>
            <w:instrText xml:space="preserve"> PAGEREF _Toc12881 \h </w:instrText>
          </w:r>
          <w:r>
            <w:fldChar w:fldCharType="separate"/>
          </w:r>
          <w:r>
            <w:t>2</w:t>
          </w:r>
          <w:r>
            <w:fldChar w:fldCharType="end"/>
          </w:r>
          <w:r>
            <w:fldChar w:fldCharType="end"/>
          </w:r>
        </w:p>
        <w:p w14:paraId="1D753A12">
          <w:pPr>
            <w:pStyle w:val="36"/>
            <w:tabs>
              <w:tab w:val="right" w:leader="dot" w:pos="9072"/>
            </w:tabs>
          </w:pPr>
          <w:r>
            <w:fldChar w:fldCharType="begin"/>
          </w:r>
          <w:r>
            <w:instrText xml:space="preserve"> HYPERLINK \l _Toc4042 </w:instrText>
          </w:r>
          <w:r>
            <w:fldChar w:fldCharType="separate"/>
          </w:r>
          <w:r>
            <w:rPr>
              <w:rFonts w:hint="eastAsia"/>
              <w:lang w:eastAsia="zh-CN"/>
            </w:rPr>
            <w:t>（</w:t>
          </w:r>
          <w:r>
            <w:rPr>
              <w:rFonts w:hint="eastAsia"/>
              <w:lang w:val="en-US" w:eastAsia="zh-CN"/>
            </w:rPr>
            <w:t>二</w:t>
          </w:r>
          <w:r>
            <w:rPr>
              <w:rFonts w:hint="eastAsia"/>
              <w:lang w:eastAsia="zh-CN"/>
            </w:rPr>
            <w:t>）</w:t>
          </w:r>
          <w:r>
            <w:rPr>
              <w:rFonts w:hint="default"/>
            </w:rPr>
            <w:t>AI伦理风险</w:t>
          </w:r>
          <w:r>
            <w:rPr>
              <w:rFonts w:hint="eastAsia"/>
              <w:lang w:val="en-US" w:eastAsia="zh-CN"/>
            </w:rPr>
            <w:t>是</w:t>
          </w:r>
          <w:r>
            <w:rPr>
              <w:rFonts w:hint="default"/>
            </w:rPr>
            <w:t>技术逻辑驱动的风险新形态</w:t>
          </w:r>
          <w:r>
            <w:tab/>
          </w:r>
          <w:r>
            <w:fldChar w:fldCharType="begin"/>
          </w:r>
          <w:r>
            <w:instrText xml:space="preserve"> PAGEREF _Toc4042 \h </w:instrText>
          </w:r>
          <w:r>
            <w:fldChar w:fldCharType="separate"/>
          </w:r>
          <w:r>
            <w:t>4</w:t>
          </w:r>
          <w:r>
            <w:fldChar w:fldCharType="end"/>
          </w:r>
          <w:r>
            <w:fldChar w:fldCharType="end"/>
          </w:r>
        </w:p>
        <w:p w14:paraId="4454B4D3">
          <w:pPr>
            <w:pStyle w:val="36"/>
            <w:tabs>
              <w:tab w:val="right" w:leader="dot" w:pos="9072"/>
            </w:tabs>
          </w:pPr>
          <w:r>
            <w:fldChar w:fldCharType="begin"/>
          </w:r>
          <w:r>
            <w:instrText xml:space="preserve"> HYPERLINK \l _Toc23425 </w:instrText>
          </w:r>
          <w:r>
            <w:fldChar w:fldCharType="separate"/>
          </w:r>
          <w:r>
            <w:rPr>
              <w:rFonts w:hint="eastAsia" w:ascii="Times New Roman" w:hAnsi="Times New Roman" w:eastAsia="宋体" w:cstheme="majorBidi"/>
              <w:kern w:val="2"/>
              <w:szCs w:val="40"/>
              <w:lang w:val="en-US" w:eastAsia="zh-CN" w:bidi="ar-SA"/>
            </w:rPr>
            <w:t>（</w:t>
          </w:r>
          <w:r>
            <w:rPr>
              <w:rFonts w:hint="eastAsia" w:cstheme="majorBidi"/>
              <w:kern w:val="2"/>
              <w:szCs w:val="40"/>
              <w:lang w:val="en-US" w:eastAsia="zh-CN" w:bidi="ar-SA"/>
            </w:rPr>
            <w:t>三</w:t>
          </w:r>
          <w:r>
            <w:rPr>
              <w:rFonts w:hint="eastAsia" w:ascii="Times New Roman" w:hAnsi="Times New Roman" w:eastAsia="宋体" w:cstheme="majorBidi"/>
              <w:kern w:val="2"/>
              <w:szCs w:val="40"/>
              <w:lang w:val="en-US" w:eastAsia="zh-CN" w:bidi="ar-SA"/>
            </w:rPr>
            <w:t>）</w:t>
          </w:r>
          <w:r>
            <w:rPr>
              <w:rFonts w:hint="eastAsia" w:cstheme="majorBidi"/>
              <w:kern w:val="2"/>
              <w:szCs w:val="40"/>
              <w:lang w:val="en-US" w:eastAsia="zh-CN" w:bidi="ar-SA"/>
            </w:rPr>
            <w:t>AI伦理风险的</w:t>
          </w:r>
          <w:r>
            <w:rPr>
              <w:rFonts w:hint="default"/>
            </w:rPr>
            <w:t>政策演进</w:t>
          </w:r>
          <w:r>
            <w:tab/>
          </w:r>
          <w:r>
            <w:fldChar w:fldCharType="begin"/>
          </w:r>
          <w:r>
            <w:instrText xml:space="preserve"> PAGEREF _Toc23425 \h </w:instrText>
          </w:r>
          <w:r>
            <w:fldChar w:fldCharType="separate"/>
          </w:r>
          <w:r>
            <w:t>6</w:t>
          </w:r>
          <w:r>
            <w:fldChar w:fldCharType="end"/>
          </w:r>
          <w:r>
            <w:fldChar w:fldCharType="end"/>
          </w:r>
        </w:p>
        <w:p w14:paraId="2BEB98A0">
          <w:pPr>
            <w:pStyle w:val="29"/>
            <w:tabs>
              <w:tab w:val="right" w:leader="dot" w:pos="9072"/>
            </w:tabs>
          </w:pPr>
          <w:r>
            <w:fldChar w:fldCharType="begin"/>
          </w:r>
          <w:r>
            <w:instrText xml:space="preserve"> HYPERLINK \l _Toc30182 </w:instrText>
          </w:r>
          <w:r>
            <w:fldChar w:fldCharType="separate"/>
          </w:r>
          <w:r>
            <w:rPr>
              <w:rFonts w:hint="eastAsia"/>
            </w:rPr>
            <w:t xml:space="preserve">二、 </w:t>
          </w:r>
          <w:r>
            <w:rPr>
              <w:rFonts w:hint="default"/>
            </w:rPr>
            <w:t>研究边界、数据基础与框架设计</w:t>
          </w:r>
          <w:r>
            <w:tab/>
          </w:r>
          <w:r>
            <w:fldChar w:fldCharType="begin"/>
          </w:r>
          <w:r>
            <w:instrText xml:space="preserve"> PAGEREF _Toc30182 \h </w:instrText>
          </w:r>
          <w:r>
            <w:fldChar w:fldCharType="separate"/>
          </w:r>
          <w:r>
            <w:t>8</w:t>
          </w:r>
          <w:r>
            <w:fldChar w:fldCharType="end"/>
          </w:r>
          <w:r>
            <w:fldChar w:fldCharType="end"/>
          </w:r>
        </w:p>
        <w:p w14:paraId="465CBF6E">
          <w:pPr>
            <w:pStyle w:val="36"/>
            <w:tabs>
              <w:tab w:val="right" w:leader="dot" w:pos="9072"/>
            </w:tabs>
          </w:pPr>
          <w:r>
            <w:fldChar w:fldCharType="begin"/>
          </w:r>
          <w:r>
            <w:instrText xml:space="preserve"> HYPERLINK \l _Toc28744 </w:instrText>
          </w:r>
          <w:r>
            <w:fldChar w:fldCharType="separate"/>
          </w:r>
          <w:r>
            <w:rPr>
              <w:rFonts w:hint="eastAsia" w:ascii="Times New Roman" w:hAnsi="Times New Roman" w:eastAsia="宋体" w:cstheme="majorBidi"/>
              <w:kern w:val="2"/>
              <w:szCs w:val="40"/>
              <w:lang w:val="en-US" w:eastAsia="zh-CN" w:bidi="ar-SA"/>
            </w:rPr>
            <w:t>（一）</w:t>
          </w:r>
          <w:r>
            <w:rPr>
              <w:rFonts w:hint="eastAsia"/>
              <w:lang w:val="en-US" w:eastAsia="zh-CN"/>
            </w:rPr>
            <w:t>研究边界与数据基础</w:t>
          </w:r>
          <w:r>
            <w:tab/>
          </w:r>
          <w:r>
            <w:fldChar w:fldCharType="begin"/>
          </w:r>
          <w:r>
            <w:instrText xml:space="preserve"> PAGEREF _Toc28744 \h </w:instrText>
          </w:r>
          <w:r>
            <w:fldChar w:fldCharType="separate"/>
          </w:r>
          <w:r>
            <w:t>8</w:t>
          </w:r>
          <w:r>
            <w:fldChar w:fldCharType="end"/>
          </w:r>
          <w:r>
            <w:fldChar w:fldCharType="end"/>
          </w:r>
        </w:p>
        <w:p w14:paraId="4962FE71">
          <w:pPr>
            <w:pStyle w:val="36"/>
            <w:tabs>
              <w:tab w:val="right" w:leader="dot" w:pos="9072"/>
            </w:tabs>
          </w:pPr>
          <w:r>
            <w:fldChar w:fldCharType="begin"/>
          </w:r>
          <w:r>
            <w:instrText xml:space="preserve"> HYPERLINK \l _Toc7651 </w:instrText>
          </w:r>
          <w:r>
            <w:fldChar w:fldCharType="separate"/>
          </w:r>
          <w:r>
            <w:rPr>
              <w:rFonts w:hint="eastAsia" w:ascii="Times New Roman" w:hAnsi="Times New Roman" w:eastAsia="宋体" w:cstheme="majorBidi"/>
              <w:kern w:val="2"/>
              <w:szCs w:val="40"/>
              <w:lang w:val="en-US" w:eastAsia="zh-CN" w:bidi="ar-SA"/>
            </w:rPr>
            <w:t>（</w:t>
          </w:r>
          <w:r>
            <w:rPr>
              <w:rFonts w:hint="eastAsia" w:cstheme="majorBidi"/>
              <w:kern w:val="2"/>
              <w:szCs w:val="40"/>
              <w:lang w:val="en-US" w:eastAsia="zh-CN" w:bidi="ar-SA"/>
            </w:rPr>
            <w:t>二</w:t>
          </w:r>
          <w:r>
            <w:rPr>
              <w:rFonts w:hint="eastAsia" w:ascii="Times New Roman" w:hAnsi="Times New Roman" w:eastAsia="宋体" w:cstheme="majorBidi"/>
              <w:kern w:val="2"/>
              <w:szCs w:val="40"/>
              <w:lang w:val="en-US" w:eastAsia="zh-CN" w:bidi="ar-SA"/>
            </w:rPr>
            <w:t>）</w:t>
          </w:r>
          <w:r>
            <w:rPr>
              <w:rFonts w:hint="default"/>
            </w:rPr>
            <w:t>全链条</w:t>
          </w:r>
          <w:r>
            <w:rPr>
              <w:rFonts w:hint="eastAsia"/>
              <w:lang w:val="en-US" w:eastAsia="zh-CN"/>
            </w:rPr>
            <w:t>的研究框架</w:t>
          </w:r>
          <w:r>
            <w:tab/>
          </w:r>
          <w:r>
            <w:fldChar w:fldCharType="begin"/>
          </w:r>
          <w:r>
            <w:instrText xml:space="preserve"> PAGEREF _Toc7651 \h </w:instrText>
          </w:r>
          <w:r>
            <w:fldChar w:fldCharType="separate"/>
          </w:r>
          <w:r>
            <w:t>10</w:t>
          </w:r>
          <w:r>
            <w:fldChar w:fldCharType="end"/>
          </w:r>
          <w:r>
            <w:fldChar w:fldCharType="end"/>
          </w:r>
        </w:p>
        <w:p w14:paraId="10568784">
          <w:pPr>
            <w:pStyle w:val="36"/>
            <w:tabs>
              <w:tab w:val="right" w:leader="dot" w:pos="9072"/>
            </w:tabs>
          </w:pPr>
          <w:r>
            <w:fldChar w:fldCharType="begin"/>
          </w:r>
          <w:r>
            <w:instrText xml:space="preserve"> HYPERLINK \l _Toc4734 </w:instrText>
          </w:r>
          <w:r>
            <w:fldChar w:fldCharType="separate"/>
          </w:r>
          <w:r>
            <w:rPr>
              <w:rFonts w:hint="eastAsia"/>
              <w:lang w:val="en-US" w:eastAsia="zh-CN"/>
            </w:rPr>
            <w:t>（三）人工智能技术应用</w:t>
          </w:r>
          <w:r>
            <w:tab/>
          </w:r>
          <w:r>
            <w:fldChar w:fldCharType="begin"/>
          </w:r>
          <w:r>
            <w:instrText xml:space="preserve"> PAGEREF _Toc4734 \h </w:instrText>
          </w:r>
          <w:r>
            <w:fldChar w:fldCharType="separate"/>
          </w:r>
          <w:r>
            <w:t>11</w:t>
          </w:r>
          <w:r>
            <w:fldChar w:fldCharType="end"/>
          </w:r>
          <w:r>
            <w:fldChar w:fldCharType="end"/>
          </w:r>
        </w:p>
        <w:p w14:paraId="557ACD3B">
          <w:pPr>
            <w:pStyle w:val="36"/>
            <w:tabs>
              <w:tab w:val="right" w:leader="dot" w:pos="9072"/>
            </w:tabs>
          </w:pPr>
          <w:r>
            <w:fldChar w:fldCharType="begin"/>
          </w:r>
          <w:r>
            <w:instrText xml:space="preserve"> HYPERLINK \l _Toc343 </w:instrText>
          </w:r>
          <w:r>
            <w:fldChar w:fldCharType="separate"/>
          </w:r>
          <w:r>
            <w:rPr>
              <w:rFonts w:hint="eastAsia"/>
              <w:lang w:val="en-US" w:eastAsia="zh-CN"/>
            </w:rPr>
            <w:t>（四）风险研究创新点</w:t>
          </w:r>
          <w:r>
            <w:tab/>
          </w:r>
          <w:r>
            <w:fldChar w:fldCharType="begin"/>
          </w:r>
          <w:r>
            <w:instrText xml:space="preserve"> PAGEREF _Toc343 \h </w:instrText>
          </w:r>
          <w:r>
            <w:fldChar w:fldCharType="separate"/>
          </w:r>
          <w:r>
            <w:t>12</w:t>
          </w:r>
          <w:r>
            <w:fldChar w:fldCharType="end"/>
          </w:r>
          <w:r>
            <w:fldChar w:fldCharType="end"/>
          </w:r>
        </w:p>
        <w:p w14:paraId="3011CEB0">
          <w:pPr>
            <w:pStyle w:val="29"/>
            <w:tabs>
              <w:tab w:val="right" w:leader="dot" w:pos="9072"/>
            </w:tabs>
          </w:pPr>
          <w:r>
            <w:fldChar w:fldCharType="begin"/>
          </w:r>
          <w:r>
            <w:instrText xml:space="preserve"> HYPERLINK \l _Toc16381 </w:instrText>
          </w:r>
          <w:r>
            <w:fldChar w:fldCharType="separate"/>
          </w:r>
          <w:r>
            <w:rPr>
              <w:rFonts w:hint="eastAsia"/>
              <w:lang w:val="en-US" w:eastAsia="zh-CN"/>
            </w:rPr>
            <w:t>三、</w:t>
          </w:r>
          <w:r>
            <w:rPr>
              <w:rFonts w:hint="default"/>
            </w:rPr>
            <w:t>AI伦理风险的识别与</w:t>
          </w:r>
          <w:r>
            <w:rPr>
              <w:rFonts w:hint="eastAsia"/>
              <w:lang w:val="en-US" w:eastAsia="zh-CN"/>
            </w:rPr>
            <w:t>量化</w:t>
          </w:r>
          <w:r>
            <w:tab/>
          </w:r>
          <w:r>
            <w:fldChar w:fldCharType="begin"/>
          </w:r>
          <w:r>
            <w:instrText xml:space="preserve"> PAGEREF _Toc16381 \h </w:instrText>
          </w:r>
          <w:r>
            <w:fldChar w:fldCharType="separate"/>
          </w:r>
          <w:r>
            <w:t>13</w:t>
          </w:r>
          <w:r>
            <w:fldChar w:fldCharType="end"/>
          </w:r>
          <w:r>
            <w:fldChar w:fldCharType="end"/>
          </w:r>
        </w:p>
        <w:p w14:paraId="22F58DA7">
          <w:pPr>
            <w:pStyle w:val="36"/>
            <w:tabs>
              <w:tab w:val="right" w:leader="dot" w:pos="9072"/>
            </w:tabs>
          </w:pPr>
          <w:r>
            <w:fldChar w:fldCharType="begin"/>
          </w:r>
          <w:r>
            <w:instrText xml:space="preserve"> HYPERLINK \l _Toc20203 </w:instrText>
          </w:r>
          <w:r>
            <w:fldChar w:fldCharType="separate"/>
          </w:r>
          <w:r>
            <w:rPr>
              <w:rFonts w:hint="eastAsia" w:ascii="Times New Roman" w:hAnsi="Times New Roman" w:eastAsia="宋体"/>
              <w:lang w:eastAsia="zh-CN"/>
            </w:rPr>
            <w:t>（</w:t>
          </w:r>
          <w:r>
            <w:rPr>
              <w:rFonts w:hint="eastAsia" w:ascii="Times New Roman" w:hAnsi="Times New Roman" w:eastAsia="宋体"/>
              <w:lang w:val="en-US" w:eastAsia="zh-CN"/>
            </w:rPr>
            <w:t>一</w:t>
          </w:r>
          <w:r>
            <w:rPr>
              <w:rFonts w:hint="eastAsia" w:ascii="Times New Roman" w:hAnsi="Times New Roman" w:eastAsia="宋体"/>
              <w:lang w:eastAsia="zh-CN"/>
            </w:rPr>
            <w:t>）数据来源与描述性分析</w:t>
          </w:r>
          <w:r>
            <w:tab/>
          </w:r>
          <w:r>
            <w:fldChar w:fldCharType="begin"/>
          </w:r>
          <w:r>
            <w:instrText xml:space="preserve"> PAGEREF _Toc20203 \h </w:instrText>
          </w:r>
          <w:r>
            <w:fldChar w:fldCharType="separate"/>
          </w:r>
          <w:r>
            <w:t>13</w:t>
          </w:r>
          <w:r>
            <w:fldChar w:fldCharType="end"/>
          </w:r>
          <w:r>
            <w:fldChar w:fldCharType="end"/>
          </w:r>
        </w:p>
        <w:p w14:paraId="2A593B3F">
          <w:pPr>
            <w:pStyle w:val="36"/>
            <w:tabs>
              <w:tab w:val="right" w:leader="dot" w:pos="9072"/>
            </w:tabs>
          </w:pPr>
          <w:r>
            <w:fldChar w:fldCharType="begin"/>
          </w:r>
          <w:r>
            <w:instrText xml:space="preserve"> HYPERLINK \l _Toc15411 </w:instrText>
          </w:r>
          <w:r>
            <w:fldChar w:fldCharType="separate"/>
          </w:r>
          <w:r>
            <w:rPr>
              <w:rFonts w:hint="eastAsia"/>
              <w:lang w:eastAsia="zh-CN"/>
            </w:rPr>
            <w:t>（</w:t>
          </w:r>
          <w:r>
            <w:rPr>
              <w:rFonts w:hint="eastAsia"/>
              <w:lang w:val="en-US" w:eastAsia="zh-CN"/>
            </w:rPr>
            <w:t>二</w:t>
          </w:r>
          <w:r>
            <w:rPr>
              <w:rFonts w:hint="eastAsia"/>
              <w:lang w:eastAsia="zh-CN"/>
            </w:rPr>
            <w:t>）</w:t>
          </w:r>
          <w:r>
            <w:rPr>
              <w:rFonts w:hint="eastAsia"/>
              <w:lang w:val="en-US" w:eastAsia="zh-CN"/>
            </w:rPr>
            <w:t>AI伦理风险指标的构建</w:t>
          </w:r>
          <w:r>
            <w:tab/>
          </w:r>
          <w:r>
            <w:fldChar w:fldCharType="begin"/>
          </w:r>
          <w:r>
            <w:instrText xml:space="preserve"> PAGEREF _Toc15411 \h </w:instrText>
          </w:r>
          <w:r>
            <w:fldChar w:fldCharType="separate"/>
          </w:r>
          <w:r>
            <w:t>14</w:t>
          </w:r>
          <w:r>
            <w:fldChar w:fldCharType="end"/>
          </w:r>
          <w:r>
            <w:fldChar w:fldCharType="end"/>
          </w:r>
        </w:p>
        <w:p w14:paraId="43581C10">
          <w:pPr>
            <w:pStyle w:val="36"/>
            <w:tabs>
              <w:tab w:val="right" w:leader="dot" w:pos="9072"/>
            </w:tabs>
          </w:pPr>
          <w:r>
            <w:fldChar w:fldCharType="begin"/>
          </w:r>
          <w:r>
            <w:instrText xml:space="preserve"> HYPERLINK \l _Toc30226 </w:instrText>
          </w:r>
          <w:r>
            <w:fldChar w:fldCharType="separate"/>
          </w:r>
          <w:r>
            <w:rPr>
              <w:rFonts w:hint="eastAsia" w:ascii="Times New Roman" w:hAnsi="Times New Roman" w:eastAsia="宋体"/>
              <w:lang w:eastAsia="zh-CN"/>
            </w:rPr>
            <w:t>（</w:t>
          </w:r>
          <w:r>
            <w:rPr>
              <w:rFonts w:hint="eastAsia"/>
              <w:lang w:val="en-US" w:eastAsia="zh-CN"/>
            </w:rPr>
            <w:t>三</w:t>
          </w:r>
          <w:r>
            <w:rPr>
              <w:rFonts w:hint="eastAsia" w:ascii="Times New Roman" w:hAnsi="Times New Roman" w:eastAsia="宋体"/>
              <w:lang w:eastAsia="zh-CN"/>
            </w:rPr>
            <w:t>）</w:t>
          </w:r>
          <w:r>
            <w:rPr>
              <w:rFonts w:ascii="Times New Roman" w:hAnsi="Times New Roman" w:eastAsia="宋体"/>
            </w:rPr>
            <w:t>基准情景下的实证结果</w:t>
          </w:r>
          <w:r>
            <w:tab/>
          </w:r>
          <w:r>
            <w:fldChar w:fldCharType="begin"/>
          </w:r>
          <w:r>
            <w:instrText xml:space="preserve"> PAGEREF _Toc30226 \h </w:instrText>
          </w:r>
          <w:r>
            <w:fldChar w:fldCharType="separate"/>
          </w:r>
          <w:r>
            <w:t>18</w:t>
          </w:r>
          <w:r>
            <w:fldChar w:fldCharType="end"/>
          </w:r>
          <w:r>
            <w:fldChar w:fldCharType="end"/>
          </w:r>
        </w:p>
        <w:p w14:paraId="75C1C378">
          <w:pPr>
            <w:pStyle w:val="36"/>
            <w:tabs>
              <w:tab w:val="right" w:leader="dot" w:pos="9072"/>
            </w:tabs>
          </w:pPr>
          <w:r>
            <w:fldChar w:fldCharType="begin"/>
          </w:r>
          <w:r>
            <w:instrText xml:space="preserve"> HYPERLINK \l _Toc4992 </w:instrText>
          </w:r>
          <w:r>
            <w:fldChar w:fldCharType="separate"/>
          </w:r>
          <w:r>
            <w:rPr>
              <w:rFonts w:hint="eastAsia" w:ascii="Times New Roman" w:hAnsi="Times New Roman" w:eastAsia="宋体"/>
              <w:lang w:eastAsia="zh-CN"/>
            </w:rPr>
            <w:t>（</w:t>
          </w:r>
          <w:r>
            <w:rPr>
              <w:rFonts w:hint="eastAsia"/>
              <w:lang w:val="en-US" w:eastAsia="zh-CN"/>
            </w:rPr>
            <w:t>四</w:t>
          </w:r>
          <w:r>
            <w:rPr>
              <w:rFonts w:hint="eastAsia" w:ascii="Times New Roman" w:hAnsi="Times New Roman" w:eastAsia="宋体"/>
              <w:lang w:eastAsia="zh-CN"/>
            </w:rPr>
            <w:t>）</w:t>
          </w:r>
          <w:r>
            <w:rPr>
              <w:rFonts w:ascii="Times New Roman" w:hAnsi="Times New Roman" w:eastAsia="宋体"/>
            </w:rPr>
            <w:t>稳健性与敏感性分析</w:t>
          </w:r>
          <w:r>
            <w:tab/>
          </w:r>
          <w:r>
            <w:fldChar w:fldCharType="begin"/>
          </w:r>
          <w:r>
            <w:instrText xml:space="preserve"> PAGEREF _Toc4992 \h </w:instrText>
          </w:r>
          <w:r>
            <w:fldChar w:fldCharType="separate"/>
          </w:r>
          <w:r>
            <w:t>19</w:t>
          </w:r>
          <w:r>
            <w:fldChar w:fldCharType="end"/>
          </w:r>
          <w:r>
            <w:fldChar w:fldCharType="end"/>
          </w:r>
        </w:p>
        <w:p w14:paraId="09B2A6F1">
          <w:pPr>
            <w:pStyle w:val="29"/>
            <w:tabs>
              <w:tab w:val="right" w:leader="dot" w:pos="9072"/>
            </w:tabs>
          </w:pPr>
          <w:r>
            <w:fldChar w:fldCharType="begin"/>
          </w:r>
          <w:r>
            <w:instrText xml:space="preserve"> HYPERLINK \l _Toc10624 </w:instrText>
          </w:r>
          <w:r>
            <w:fldChar w:fldCharType="separate"/>
          </w:r>
          <w:r>
            <w:rPr>
              <w:rFonts w:hint="eastAsia" w:ascii="Times New Roman" w:hAnsi="Times New Roman" w:eastAsia="宋体"/>
              <w:lang w:val="en-US" w:eastAsia="zh-CN"/>
            </w:rPr>
            <w:t>四、</w:t>
          </w:r>
          <w:r>
            <w:rPr>
              <w:rFonts w:hint="eastAsia"/>
              <w:lang w:val="en-US" w:eastAsia="zh-CN"/>
            </w:rPr>
            <w:t>科创企业AI伦理风险评估</w:t>
          </w:r>
          <w:r>
            <w:tab/>
          </w:r>
          <w:r>
            <w:fldChar w:fldCharType="begin"/>
          </w:r>
          <w:r>
            <w:instrText xml:space="preserve"> PAGEREF _Toc10624 \h </w:instrText>
          </w:r>
          <w:r>
            <w:fldChar w:fldCharType="separate"/>
          </w:r>
          <w:r>
            <w:t>22</w:t>
          </w:r>
          <w:r>
            <w:fldChar w:fldCharType="end"/>
          </w:r>
          <w:r>
            <w:fldChar w:fldCharType="end"/>
          </w:r>
        </w:p>
        <w:p w14:paraId="07260B02">
          <w:pPr>
            <w:pStyle w:val="36"/>
            <w:tabs>
              <w:tab w:val="right" w:leader="dot" w:pos="9072"/>
            </w:tabs>
          </w:pPr>
          <w:r>
            <w:fldChar w:fldCharType="begin"/>
          </w:r>
          <w:r>
            <w:instrText xml:space="preserve"> HYPERLINK \l _Toc28247 </w:instrText>
          </w:r>
          <w:r>
            <w:fldChar w:fldCharType="separate"/>
          </w:r>
          <w:r>
            <w:rPr>
              <w:rFonts w:hint="eastAsia" w:ascii="Times New Roman" w:hAnsi="Times New Roman" w:eastAsia="宋体"/>
              <w:lang w:eastAsia="zh-CN"/>
            </w:rPr>
            <w:t>（</w:t>
          </w:r>
          <w:r>
            <w:rPr>
              <w:rFonts w:hint="eastAsia" w:ascii="Times New Roman" w:hAnsi="Times New Roman" w:eastAsia="宋体"/>
              <w:lang w:val="en-US" w:eastAsia="zh-CN"/>
            </w:rPr>
            <w:t>一</w:t>
          </w:r>
          <w:r>
            <w:rPr>
              <w:rFonts w:hint="eastAsia" w:ascii="Times New Roman" w:hAnsi="Times New Roman" w:eastAsia="宋体"/>
              <w:lang w:eastAsia="zh-CN"/>
            </w:rPr>
            <w:t>）</w:t>
          </w:r>
          <w:r>
            <w:rPr>
              <w:rFonts w:ascii="Times New Roman" w:hAnsi="Times New Roman" w:eastAsia="宋体"/>
            </w:rPr>
            <w:t>分析框架与问题设定</w:t>
          </w:r>
          <w:r>
            <w:tab/>
          </w:r>
          <w:r>
            <w:fldChar w:fldCharType="begin"/>
          </w:r>
          <w:r>
            <w:instrText xml:space="preserve"> PAGEREF _Toc28247 \h </w:instrText>
          </w:r>
          <w:r>
            <w:fldChar w:fldCharType="separate"/>
          </w:r>
          <w:r>
            <w:t>22</w:t>
          </w:r>
          <w:r>
            <w:fldChar w:fldCharType="end"/>
          </w:r>
          <w:r>
            <w:fldChar w:fldCharType="end"/>
          </w:r>
        </w:p>
        <w:p w14:paraId="5512FB9A">
          <w:pPr>
            <w:pStyle w:val="36"/>
            <w:tabs>
              <w:tab w:val="right" w:leader="dot" w:pos="9072"/>
            </w:tabs>
          </w:pPr>
          <w:r>
            <w:fldChar w:fldCharType="begin"/>
          </w:r>
          <w:r>
            <w:instrText xml:space="preserve"> HYPERLINK \l _Toc22078 </w:instrText>
          </w:r>
          <w:r>
            <w:fldChar w:fldCharType="separate"/>
          </w:r>
          <w:r>
            <w:rPr>
              <w:rFonts w:hint="eastAsia" w:ascii="Times New Roman" w:hAnsi="Times New Roman" w:eastAsia="宋体"/>
              <w:lang w:eastAsia="zh-CN"/>
            </w:rPr>
            <w:t>（</w:t>
          </w:r>
          <w:r>
            <w:rPr>
              <w:rFonts w:hint="eastAsia"/>
              <w:lang w:val="en-US" w:eastAsia="zh-CN"/>
            </w:rPr>
            <w:t>二</w:t>
          </w:r>
          <w:r>
            <w:rPr>
              <w:rFonts w:hint="eastAsia" w:ascii="Times New Roman" w:hAnsi="Times New Roman" w:eastAsia="宋体"/>
              <w:lang w:eastAsia="zh-CN"/>
            </w:rPr>
            <w:t>）</w:t>
          </w:r>
          <w:r>
            <w:rPr>
              <w:rFonts w:hint="eastAsia"/>
              <w:lang w:val="en-US" w:eastAsia="zh-CN"/>
            </w:rPr>
            <w:t>科创企业风险评估</w:t>
          </w:r>
          <w:r>
            <w:rPr>
              <w:rFonts w:ascii="Times New Roman" w:hAnsi="Times New Roman" w:eastAsia="宋体"/>
            </w:rPr>
            <w:t>指标构造</w:t>
          </w:r>
          <w:r>
            <w:tab/>
          </w:r>
          <w:r>
            <w:fldChar w:fldCharType="begin"/>
          </w:r>
          <w:r>
            <w:instrText xml:space="preserve"> PAGEREF _Toc22078 \h </w:instrText>
          </w:r>
          <w:r>
            <w:fldChar w:fldCharType="separate"/>
          </w:r>
          <w:r>
            <w:t>22</w:t>
          </w:r>
          <w:r>
            <w:fldChar w:fldCharType="end"/>
          </w:r>
          <w:r>
            <w:fldChar w:fldCharType="end"/>
          </w:r>
        </w:p>
        <w:p w14:paraId="671FDBB6">
          <w:pPr>
            <w:pStyle w:val="36"/>
            <w:tabs>
              <w:tab w:val="right" w:leader="dot" w:pos="9072"/>
            </w:tabs>
          </w:pPr>
          <w:r>
            <w:fldChar w:fldCharType="begin"/>
          </w:r>
          <w:r>
            <w:instrText xml:space="preserve"> HYPERLINK \l _Toc23152 </w:instrText>
          </w:r>
          <w:r>
            <w:fldChar w:fldCharType="separate"/>
          </w:r>
          <w:r>
            <w:rPr>
              <w:rFonts w:hint="eastAsia" w:ascii="Times New Roman" w:hAnsi="Times New Roman" w:eastAsia="宋体"/>
              <w:lang w:eastAsia="zh-CN"/>
            </w:rPr>
            <w:t>（</w:t>
          </w:r>
          <w:r>
            <w:rPr>
              <w:rFonts w:hint="eastAsia"/>
              <w:lang w:val="en-US" w:eastAsia="zh-CN"/>
            </w:rPr>
            <w:t>三</w:t>
          </w:r>
          <w:r>
            <w:rPr>
              <w:rFonts w:hint="eastAsia" w:ascii="Times New Roman" w:hAnsi="Times New Roman" w:eastAsia="宋体"/>
              <w:lang w:eastAsia="zh-CN"/>
            </w:rPr>
            <w:t>）</w:t>
          </w:r>
          <w:r>
            <w:rPr>
              <w:rFonts w:ascii="Times New Roman" w:hAnsi="Times New Roman" w:eastAsia="宋体"/>
            </w:rPr>
            <w:t>数据来源与描述性统计</w:t>
          </w:r>
          <w:r>
            <w:tab/>
          </w:r>
          <w:r>
            <w:fldChar w:fldCharType="begin"/>
          </w:r>
          <w:r>
            <w:instrText xml:space="preserve"> PAGEREF _Toc23152 \h </w:instrText>
          </w:r>
          <w:r>
            <w:fldChar w:fldCharType="separate"/>
          </w:r>
          <w:r>
            <w:t>23</w:t>
          </w:r>
          <w:r>
            <w:fldChar w:fldCharType="end"/>
          </w:r>
          <w:r>
            <w:fldChar w:fldCharType="end"/>
          </w:r>
        </w:p>
        <w:p w14:paraId="24AE86BD">
          <w:pPr>
            <w:pStyle w:val="36"/>
            <w:tabs>
              <w:tab w:val="right" w:leader="dot" w:pos="9072"/>
            </w:tabs>
          </w:pPr>
          <w:r>
            <w:fldChar w:fldCharType="begin"/>
          </w:r>
          <w:r>
            <w:instrText xml:space="preserve"> HYPERLINK \l _Toc15513 </w:instrText>
          </w:r>
          <w:r>
            <w:fldChar w:fldCharType="separate"/>
          </w:r>
          <w:r>
            <w:rPr>
              <w:rFonts w:hint="eastAsia" w:ascii="Times New Roman" w:hAnsi="Times New Roman" w:eastAsia="宋体" w:cstheme="majorBidi"/>
              <w:kern w:val="2"/>
              <w:szCs w:val="40"/>
              <w:lang w:val="en-US" w:eastAsia="zh-CN" w:bidi="ar-SA"/>
            </w:rPr>
            <w:t>（</w:t>
          </w:r>
          <w:r>
            <w:rPr>
              <w:rFonts w:hint="eastAsia" w:cstheme="majorBidi"/>
              <w:kern w:val="2"/>
              <w:szCs w:val="40"/>
              <w:lang w:val="en-US" w:eastAsia="zh-CN" w:bidi="ar-SA"/>
            </w:rPr>
            <w:t>四</w:t>
          </w:r>
          <w:r>
            <w:rPr>
              <w:rFonts w:hint="eastAsia" w:ascii="Times New Roman" w:hAnsi="Times New Roman" w:eastAsia="宋体" w:cstheme="majorBidi"/>
              <w:kern w:val="2"/>
              <w:szCs w:val="40"/>
              <w:lang w:val="en-US" w:eastAsia="zh-CN" w:bidi="ar-SA"/>
            </w:rPr>
            <w:t>）</w:t>
          </w:r>
          <w:r>
            <w:rPr>
              <w:rFonts w:hint="eastAsia"/>
              <w:lang w:val="en-US" w:eastAsia="zh-CN"/>
            </w:rPr>
            <w:t>科创企业风险分布与解读</w:t>
          </w:r>
          <w:r>
            <w:tab/>
          </w:r>
          <w:r>
            <w:fldChar w:fldCharType="begin"/>
          </w:r>
          <w:r>
            <w:instrText xml:space="preserve"> PAGEREF _Toc15513 \h </w:instrText>
          </w:r>
          <w:r>
            <w:fldChar w:fldCharType="separate"/>
          </w:r>
          <w:r>
            <w:t>24</w:t>
          </w:r>
          <w:r>
            <w:fldChar w:fldCharType="end"/>
          </w:r>
          <w:r>
            <w:fldChar w:fldCharType="end"/>
          </w:r>
        </w:p>
        <w:p w14:paraId="49D5ADB7">
          <w:pPr>
            <w:pStyle w:val="36"/>
            <w:tabs>
              <w:tab w:val="right" w:leader="dot" w:pos="9072"/>
            </w:tabs>
          </w:pPr>
          <w:r>
            <w:fldChar w:fldCharType="begin"/>
          </w:r>
          <w:r>
            <w:instrText xml:space="preserve"> HYPERLINK \l _Toc8851 </w:instrText>
          </w:r>
          <w:r>
            <w:fldChar w:fldCharType="separate"/>
          </w:r>
          <w:r>
            <w:rPr>
              <w:rFonts w:hint="eastAsia"/>
              <w:lang w:val="en-US" w:eastAsia="zh-CN"/>
            </w:rPr>
            <w:t>（五） 进一步分析</w:t>
          </w:r>
          <w:r>
            <w:tab/>
          </w:r>
          <w:r>
            <w:fldChar w:fldCharType="begin"/>
          </w:r>
          <w:r>
            <w:instrText xml:space="preserve"> PAGEREF _Toc8851 \h </w:instrText>
          </w:r>
          <w:r>
            <w:fldChar w:fldCharType="separate"/>
          </w:r>
          <w:r>
            <w:t>26</w:t>
          </w:r>
          <w:r>
            <w:fldChar w:fldCharType="end"/>
          </w:r>
          <w:r>
            <w:fldChar w:fldCharType="end"/>
          </w:r>
        </w:p>
        <w:p w14:paraId="34D13243">
          <w:pPr>
            <w:pStyle w:val="29"/>
            <w:tabs>
              <w:tab w:val="right" w:leader="dot" w:pos="9072"/>
            </w:tabs>
          </w:pPr>
          <w:r>
            <w:fldChar w:fldCharType="begin"/>
          </w:r>
          <w:r>
            <w:instrText xml:space="preserve"> HYPERLINK \l _Toc309 </w:instrText>
          </w:r>
          <w:r>
            <w:fldChar w:fldCharType="separate"/>
          </w:r>
          <w:r>
            <w:rPr>
              <w:rFonts w:hint="eastAsia"/>
            </w:rPr>
            <w:t>五、科创企业AI伦理风险的六维管理体系</w:t>
          </w:r>
          <w:r>
            <w:tab/>
          </w:r>
          <w:r>
            <w:fldChar w:fldCharType="begin"/>
          </w:r>
          <w:r>
            <w:instrText xml:space="preserve"> PAGEREF _Toc309 \h </w:instrText>
          </w:r>
          <w:r>
            <w:fldChar w:fldCharType="separate"/>
          </w:r>
          <w:r>
            <w:t>28</w:t>
          </w:r>
          <w:r>
            <w:fldChar w:fldCharType="end"/>
          </w:r>
          <w:r>
            <w:fldChar w:fldCharType="end"/>
          </w:r>
        </w:p>
        <w:p w14:paraId="6F8489D2">
          <w:pPr>
            <w:pStyle w:val="36"/>
            <w:tabs>
              <w:tab w:val="right" w:leader="dot" w:pos="9072"/>
            </w:tabs>
          </w:pPr>
          <w:r>
            <w:fldChar w:fldCharType="begin"/>
          </w:r>
          <w:r>
            <w:instrText xml:space="preserve"> HYPERLINK \l _Toc20937 </w:instrText>
          </w:r>
          <w:r>
            <w:fldChar w:fldCharType="separate"/>
          </w:r>
          <w:r>
            <w:rPr>
              <w:rFonts w:hint="eastAsia"/>
            </w:rPr>
            <w:t>（一）</w:t>
          </w:r>
          <w:r>
            <w:t>风险自留</w:t>
          </w:r>
          <w:r>
            <w:rPr>
              <w:rFonts w:hint="eastAsia"/>
            </w:rPr>
            <w:t>：可承受风险的内部承接</w:t>
          </w:r>
          <w:r>
            <w:tab/>
          </w:r>
          <w:r>
            <w:fldChar w:fldCharType="begin"/>
          </w:r>
          <w:r>
            <w:instrText xml:space="preserve"> PAGEREF _Toc20937 \h </w:instrText>
          </w:r>
          <w:r>
            <w:fldChar w:fldCharType="separate"/>
          </w:r>
          <w:r>
            <w:t>29</w:t>
          </w:r>
          <w:r>
            <w:fldChar w:fldCharType="end"/>
          </w:r>
          <w:r>
            <w:fldChar w:fldCharType="end"/>
          </w:r>
        </w:p>
        <w:p w14:paraId="59D0762E">
          <w:pPr>
            <w:pStyle w:val="36"/>
            <w:tabs>
              <w:tab w:val="right" w:leader="dot" w:pos="9072"/>
            </w:tabs>
          </w:pPr>
          <w:r>
            <w:fldChar w:fldCharType="begin"/>
          </w:r>
          <w:r>
            <w:instrText xml:space="preserve"> HYPERLINK \l _Toc14 </w:instrText>
          </w:r>
          <w:r>
            <w:fldChar w:fldCharType="separate"/>
          </w:r>
          <w:r>
            <w:rPr>
              <w:rFonts w:hint="eastAsia"/>
            </w:rPr>
            <w:t>（二）</w:t>
          </w:r>
          <w:r>
            <w:t>损失控制</w:t>
          </w:r>
          <w:r>
            <w:rPr>
              <w:rFonts w:hint="eastAsia"/>
            </w:rPr>
            <w:t>：风险前置预防与动态治理</w:t>
          </w:r>
          <w:r>
            <w:tab/>
          </w:r>
          <w:r>
            <w:fldChar w:fldCharType="begin"/>
          </w:r>
          <w:r>
            <w:instrText xml:space="preserve"> PAGEREF _Toc14 \h </w:instrText>
          </w:r>
          <w:r>
            <w:fldChar w:fldCharType="separate"/>
          </w:r>
          <w:r>
            <w:t>32</w:t>
          </w:r>
          <w:r>
            <w:fldChar w:fldCharType="end"/>
          </w:r>
          <w:r>
            <w:fldChar w:fldCharType="end"/>
          </w:r>
        </w:p>
        <w:p w14:paraId="29DE8406">
          <w:pPr>
            <w:pStyle w:val="36"/>
            <w:tabs>
              <w:tab w:val="right" w:leader="dot" w:pos="9072"/>
            </w:tabs>
          </w:pPr>
          <w:r>
            <w:fldChar w:fldCharType="begin"/>
          </w:r>
          <w:r>
            <w:instrText xml:space="preserve"> HYPERLINK \l _Toc9455 </w:instrText>
          </w:r>
          <w:r>
            <w:fldChar w:fldCharType="separate"/>
          </w:r>
          <w:r>
            <w:rPr>
              <w:rFonts w:hint="eastAsia"/>
            </w:rPr>
            <w:t>（三）</w:t>
          </w:r>
          <w:r>
            <w:t>风险分散</w:t>
          </w:r>
          <w:r>
            <w:rPr>
              <w:rFonts w:hint="eastAsia"/>
            </w:rPr>
            <w:t>：降低AI风险暴露集中度</w:t>
          </w:r>
          <w:r>
            <w:tab/>
          </w:r>
          <w:r>
            <w:fldChar w:fldCharType="begin"/>
          </w:r>
          <w:r>
            <w:instrText xml:space="preserve"> PAGEREF _Toc9455 \h </w:instrText>
          </w:r>
          <w:r>
            <w:fldChar w:fldCharType="separate"/>
          </w:r>
          <w:r>
            <w:t>35</w:t>
          </w:r>
          <w:r>
            <w:fldChar w:fldCharType="end"/>
          </w:r>
          <w:r>
            <w:fldChar w:fldCharType="end"/>
          </w:r>
        </w:p>
        <w:p w14:paraId="2B811CCD">
          <w:pPr>
            <w:pStyle w:val="36"/>
            <w:tabs>
              <w:tab w:val="right" w:leader="dot" w:pos="9072"/>
            </w:tabs>
          </w:pPr>
          <w:r>
            <w:fldChar w:fldCharType="begin"/>
          </w:r>
          <w:r>
            <w:instrText xml:space="preserve"> HYPERLINK \l _Toc14381 </w:instrText>
          </w:r>
          <w:r>
            <w:fldChar w:fldCharType="separate"/>
          </w:r>
          <w:r>
            <w:rPr>
              <w:rFonts w:hint="eastAsia"/>
            </w:rPr>
            <w:t>（四）</w:t>
          </w:r>
          <w:r>
            <w:t>风险对冲</w:t>
          </w:r>
          <w:r>
            <w:rPr>
              <w:rFonts w:hint="eastAsia"/>
            </w:rPr>
            <w:t>：基于ESG体系</w:t>
          </w:r>
          <w:r>
            <w:rPr>
              <w:rFonts w:hint="eastAsia"/>
              <w:lang w:val="en-US" w:eastAsia="zh-CN"/>
            </w:rPr>
            <w:t>的</w:t>
          </w:r>
          <w:r>
            <w:rPr>
              <w:rFonts w:hint="eastAsia"/>
            </w:rPr>
            <w:t>自然对冲</w:t>
          </w:r>
          <w:r>
            <w:tab/>
          </w:r>
          <w:r>
            <w:fldChar w:fldCharType="begin"/>
          </w:r>
          <w:r>
            <w:instrText xml:space="preserve"> PAGEREF _Toc14381 \h </w:instrText>
          </w:r>
          <w:r>
            <w:fldChar w:fldCharType="separate"/>
          </w:r>
          <w:r>
            <w:t>38</w:t>
          </w:r>
          <w:r>
            <w:fldChar w:fldCharType="end"/>
          </w:r>
          <w:r>
            <w:fldChar w:fldCharType="end"/>
          </w:r>
        </w:p>
        <w:p w14:paraId="708FC42D">
          <w:pPr>
            <w:pStyle w:val="36"/>
            <w:tabs>
              <w:tab w:val="right" w:leader="dot" w:pos="9072"/>
            </w:tabs>
          </w:pPr>
          <w:r>
            <w:fldChar w:fldCharType="begin"/>
          </w:r>
          <w:r>
            <w:instrText xml:space="preserve"> HYPERLINK \l _Toc1534 </w:instrText>
          </w:r>
          <w:r>
            <w:fldChar w:fldCharType="separate"/>
          </w:r>
          <w:r>
            <w:rPr>
              <w:rFonts w:hint="eastAsia"/>
            </w:rPr>
            <w:t>（五）</w:t>
          </w:r>
          <w:r>
            <w:t>风险撤出</w:t>
          </w:r>
          <w:r>
            <w:rPr>
              <w:rFonts w:hint="eastAsia"/>
            </w:rPr>
            <w:t>：不可接受风险的退出机制</w:t>
          </w:r>
          <w:r>
            <w:tab/>
          </w:r>
          <w:r>
            <w:fldChar w:fldCharType="begin"/>
          </w:r>
          <w:r>
            <w:instrText xml:space="preserve"> PAGEREF _Toc1534 \h </w:instrText>
          </w:r>
          <w:r>
            <w:fldChar w:fldCharType="separate"/>
          </w:r>
          <w:r>
            <w:t>41</w:t>
          </w:r>
          <w:r>
            <w:fldChar w:fldCharType="end"/>
          </w:r>
          <w:r>
            <w:fldChar w:fldCharType="end"/>
          </w:r>
        </w:p>
        <w:p w14:paraId="7071953C">
          <w:pPr>
            <w:pStyle w:val="36"/>
            <w:tabs>
              <w:tab w:val="right" w:leader="dot" w:pos="9072"/>
            </w:tabs>
          </w:pPr>
          <w:r>
            <w:fldChar w:fldCharType="begin"/>
          </w:r>
          <w:r>
            <w:instrText xml:space="preserve"> HYPERLINK \l _Toc7771 </w:instrText>
          </w:r>
          <w:r>
            <w:fldChar w:fldCharType="separate"/>
          </w:r>
          <w:r>
            <w:t>（六）</w:t>
          </w:r>
          <w:r>
            <w:rPr>
              <w:rFonts w:hint="eastAsia"/>
              <w:lang w:val="en-US" w:eastAsia="zh-CN"/>
            </w:rPr>
            <w:t>保险转移：以确定的财务成本转嫁不确定的风险</w:t>
          </w:r>
          <w:r>
            <w:tab/>
          </w:r>
          <w:r>
            <w:fldChar w:fldCharType="begin"/>
          </w:r>
          <w:r>
            <w:instrText xml:space="preserve"> PAGEREF _Toc7771 \h </w:instrText>
          </w:r>
          <w:r>
            <w:fldChar w:fldCharType="separate"/>
          </w:r>
          <w:r>
            <w:t>44</w:t>
          </w:r>
          <w:r>
            <w:fldChar w:fldCharType="end"/>
          </w:r>
          <w:r>
            <w:fldChar w:fldCharType="end"/>
          </w:r>
        </w:p>
        <w:p w14:paraId="6929D35F">
          <w:pPr>
            <w:pStyle w:val="29"/>
            <w:tabs>
              <w:tab w:val="right" w:leader="dot" w:pos="9072"/>
            </w:tabs>
          </w:pPr>
          <w:r>
            <w:fldChar w:fldCharType="begin"/>
          </w:r>
          <w:r>
            <w:instrText xml:space="preserve"> HYPERLINK \l _Toc18059 </w:instrText>
          </w:r>
          <w:r>
            <w:fldChar w:fldCharType="separate"/>
          </w:r>
          <w:r>
            <w:rPr>
              <w:rFonts w:hint="eastAsia" w:ascii="宋体" w:hAnsi="宋体" w:eastAsia="宋体" w:cs="宋体"/>
              <w:szCs w:val="30"/>
              <w:lang w:val="en-US" w:eastAsia="zh-CN"/>
            </w:rPr>
            <w:t>六、</w:t>
          </w:r>
          <w:r>
            <w:rPr>
              <w:rFonts w:hint="default" w:ascii="Times New Roman" w:hAnsi="Times New Roman" w:eastAsia="宋体" w:cs="Times New Roman"/>
              <w:szCs w:val="30"/>
            </w:rPr>
            <w:t>AI</w:t>
          </w:r>
          <w:r>
            <w:rPr>
              <w:rFonts w:hint="eastAsia" w:ascii="宋体" w:hAnsi="宋体" w:eastAsia="宋体" w:cs="宋体"/>
              <w:szCs w:val="30"/>
            </w:rPr>
            <w:t>伦理风险智能识别与管理平台</w:t>
          </w:r>
          <w:r>
            <w:tab/>
          </w:r>
          <w:r>
            <w:fldChar w:fldCharType="begin"/>
          </w:r>
          <w:r>
            <w:instrText xml:space="preserve"> PAGEREF _Toc18059 \h </w:instrText>
          </w:r>
          <w:r>
            <w:fldChar w:fldCharType="separate"/>
          </w:r>
          <w:r>
            <w:t>48</w:t>
          </w:r>
          <w:r>
            <w:fldChar w:fldCharType="end"/>
          </w:r>
          <w:r>
            <w:fldChar w:fldCharType="end"/>
          </w:r>
        </w:p>
        <w:p w14:paraId="2A11317D">
          <w:pPr>
            <w:pStyle w:val="36"/>
            <w:tabs>
              <w:tab w:val="right" w:leader="dot" w:pos="9072"/>
            </w:tabs>
          </w:pPr>
          <w:r>
            <w:fldChar w:fldCharType="begin"/>
          </w:r>
          <w:r>
            <w:instrText xml:space="preserve"> HYPERLINK \l _Toc22040 </w:instrText>
          </w:r>
          <w:r>
            <w:fldChar w:fldCharType="separate"/>
          </w:r>
          <w:r>
            <w:rPr>
              <w:rFonts w:hint="eastAsia"/>
              <w:lang w:eastAsia="zh-CN"/>
            </w:rPr>
            <w:t>（</w:t>
          </w:r>
          <w:r>
            <w:rPr>
              <w:rFonts w:hint="eastAsia"/>
              <w:lang w:val="en-US" w:eastAsia="zh-CN"/>
            </w:rPr>
            <w:t>一</w:t>
          </w:r>
          <w:r>
            <w:rPr>
              <w:rFonts w:hint="eastAsia"/>
              <w:lang w:eastAsia="zh-CN"/>
            </w:rPr>
            <w:t>）</w:t>
          </w:r>
          <w:r>
            <w:rPr>
              <w:rFonts w:hint="eastAsia"/>
            </w:rPr>
            <w:t>平台定位与建设意义</w:t>
          </w:r>
          <w:r>
            <w:tab/>
          </w:r>
          <w:r>
            <w:fldChar w:fldCharType="begin"/>
          </w:r>
          <w:r>
            <w:instrText xml:space="preserve"> PAGEREF _Toc22040 \h </w:instrText>
          </w:r>
          <w:r>
            <w:fldChar w:fldCharType="separate"/>
          </w:r>
          <w:r>
            <w:t>48</w:t>
          </w:r>
          <w:r>
            <w:fldChar w:fldCharType="end"/>
          </w:r>
          <w:r>
            <w:fldChar w:fldCharType="end"/>
          </w:r>
        </w:p>
        <w:p w14:paraId="10ECE676">
          <w:pPr>
            <w:pStyle w:val="36"/>
            <w:tabs>
              <w:tab w:val="right" w:leader="dot" w:pos="9072"/>
            </w:tabs>
          </w:pPr>
          <w:r>
            <w:fldChar w:fldCharType="begin"/>
          </w:r>
          <w:r>
            <w:instrText xml:space="preserve"> HYPERLINK \l _Toc15176 </w:instrText>
          </w:r>
          <w:r>
            <w:fldChar w:fldCharType="separate"/>
          </w:r>
          <w:r>
            <w:rPr>
              <w:rFonts w:hint="eastAsia"/>
              <w:lang w:eastAsia="zh-CN"/>
            </w:rPr>
            <w:t>（</w:t>
          </w:r>
          <w:r>
            <w:rPr>
              <w:rFonts w:hint="eastAsia"/>
              <w:lang w:val="en-US" w:eastAsia="zh-CN"/>
            </w:rPr>
            <w:t>二</w:t>
          </w:r>
          <w:r>
            <w:rPr>
              <w:rFonts w:hint="eastAsia"/>
              <w:lang w:eastAsia="zh-CN"/>
            </w:rPr>
            <w:t>）</w:t>
          </w:r>
          <w:r>
            <w:rPr>
              <w:rFonts w:hint="eastAsia"/>
            </w:rPr>
            <w:t>平台功能与使用说明</w:t>
          </w:r>
          <w:r>
            <w:tab/>
          </w:r>
          <w:r>
            <w:fldChar w:fldCharType="begin"/>
          </w:r>
          <w:r>
            <w:instrText xml:space="preserve"> PAGEREF _Toc15176 \h </w:instrText>
          </w:r>
          <w:r>
            <w:fldChar w:fldCharType="separate"/>
          </w:r>
          <w:r>
            <w:t>50</w:t>
          </w:r>
          <w:r>
            <w:fldChar w:fldCharType="end"/>
          </w:r>
          <w:r>
            <w:fldChar w:fldCharType="end"/>
          </w:r>
        </w:p>
        <w:p w14:paraId="704ECF61">
          <w:pPr>
            <w:pStyle w:val="36"/>
            <w:tabs>
              <w:tab w:val="right" w:leader="dot" w:pos="9072"/>
            </w:tabs>
          </w:pPr>
          <w:r>
            <w:fldChar w:fldCharType="begin"/>
          </w:r>
          <w:r>
            <w:instrText xml:space="preserve"> HYPERLINK \l _Toc2977 </w:instrText>
          </w:r>
          <w:r>
            <w:fldChar w:fldCharType="separate"/>
          </w:r>
          <w:r>
            <w:rPr>
              <w:rFonts w:hint="eastAsia"/>
              <w:lang w:eastAsia="zh-CN"/>
            </w:rPr>
            <w:t>（</w:t>
          </w:r>
          <w:r>
            <w:rPr>
              <w:rFonts w:hint="eastAsia"/>
              <w:lang w:val="en-US" w:eastAsia="zh-CN"/>
            </w:rPr>
            <w:t>三</w:t>
          </w:r>
          <w:r>
            <w:rPr>
              <w:rFonts w:hint="eastAsia"/>
              <w:lang w:eastAsia="zh-CN"/>
            </w:rPr>
            <w:t>）</w:t>
          </w:r>
          <w:r>
            <w:rPr>
              <w:rFonts w:hint="eastAsia"/>
            </w:rPr>
            <w:t>案例分析</w:t>
          </w:r>
          <w:r>
            <w:tab/>
          </w:r>
          <w:r>
            <w:fldChar w:fldCharType="begin"/>
          </w:r>
          <w:r>
            <w:instrText xml:space="preserve"> PAGEREF _Toc2977 \h </w:instrText>
          </w:r>
          <w:r>
            <w:fldChar w:fldCharType="separate"/>
          </w:r>
          <w:r>
            <w:t>51</w:t>
          </w:r>
          <w:r>
            <w:fldChar w:fldCharType="end"/>
          </w:r>
          <w:r>
            <w:fldChar w:fldCharType="end"/>
          </w:r>
        </w:p>
        <w:p w14:paraId="2A2F56C1">
          <w:pPr>
            <w:pStyle w:val="36"/>
            <w:tabs>
              <w:tab w:val="right" w:leader="dot" w:pos="9072"/>
            </w:tabs>
          </w:pPr>
          <w:r>
            <w:fldChar w:fldCharType="begin"/>
          </w:r>
          <w:r>
            <w:instrText xml:space="preserve"> HYPERLINK \l _Toc10383 </w:instrText>
          </w:r>
          <w:r>
            <w:fldChar w:fldCharType="separate"/>
          </w:r>
          <w:r>
            <w:rPr>
              <w:rFonts w:hint="eastAsia" w:ascii="Times New Roman" w:hAnsi="Times New Roman" w:eastAsia="宋体" w:cstheme="majorBidi"/>
              <w:kern w:val="2"/>
              <w:szCs w:val="40"/>
              <w:lang w:val="en-US" w:eastAsia="zh-CN" w:bidi="ar-SA"/>
            </w:rPr>
            <w:t>（</w:t>
          </w:r>
          <w:r>
            <w:rPr>
              <w:rFonts w:hint="eastAsia" w:cstheme="majorBidi"/>
              <w:kern w:val="2"/>
              <w:szCs w:val="40"/>
              <w:lang w:val="en-US" w:eastAsia="zh-CN" w:bidi="ar-SA"/>
            </w:rPr>
            <w:t>四</w:t>
          </w:r>
          <w:r>
            <w:rPr>
              <w:rFonts w:hint="eastAsia" w:ascii="Times New Roman" w:hAnsi="Times New Roman" w:eastAsia="宋体" w:cstheme="majorBidi"/>
              <w:kern w:val="2"/>
              <w:szCs w:val="40"/>
              <w:lang w:val="en-US" w:eastAsia="zh-CN" w:bidi="ar-SA"/>
            </w:rPr>
            <w:t>）</w:t>
          </w:r>
          <w:r>
            <w:rPr>
              <w:rFonts w:hint="eastAsia"/>
              <w:lang w:val="en-US" w:eastAsia="zh-CN"/>
            </w:rPr>
            <w:t>风险识别与管理输出的合理性分析</w:t>
          </w:r>
          <w:r>
            <w:tab/>
          </w:r>
          <w:r>
            <w:fldChar w:fldCharType="begin"/>
          </w:r>
          <w:r>
            <w:instrText xml:space="preserve"> PAGEREF _Toc10383 \h </w:instrText>
          </w:r>
          <w:r>
            <w:fldChar w:fldCharType="separate"/>
          </w:r>
          <w:r>
            <w:t>55</w:t>
          </w:r>
          <w:r>
            <w:fldChar w:fldCharType="end"/>
          </w:r>
          <w:r>
            <w:fldChar w:fldCharType="end"/>
          </w:r>
        </w:p>
        <w:p w14:paraId="112CEBB5">
          <w:pPr>
            <w:pStyle w:val="29"/>
            <w:tabs>
              <w:tab w:val="right" w:leader="dot" w:pos="9072"/>
            </w:tabs>
          </w:pPr>
          <w:r>
            <w:fldChar w:fldCharType="begin"/>
          </w:r>
          <w:r>
            <w:instrText xml:space="preserve"> HYPERLINK \l _Toc16073 </w:instrText>
          </w:r>
          <w:r>
            <w:fldChar w:fldCharType="separate"/>
          </w:r>
          <w:r>
            <w:rPr>
              <w:rFonts w:hint="eastAsia"/>
              <w:lang w:val="en-US" w:eastAsia="zh-CN"/>
            </w:rPr>
            <w:t>七、 研究结论、不足与展望</w:t>
          </w:r>
          <w:r>
            <w:tab/>
          </w:r>
          <w:r>
            <w:fldChar w:fldCharType="begin"/>
          </w:r>
          <w:r>
            <w:instrText xml:space="preserve"> PAGEREF _Toc16073 \h </w:instrText>
          </w:r>
          <w:r>
            <w:fldChar w:fldCharType="separate"/>
          </w:r>
          <w:r>
            <w:t>55</w:t>
          </w:r>
          <w:r>
            <w:fldChar w:fldCharType="end"/>
          </w:r>
          <w:r>
            <w:fldChar w:fldCharType="end"/>
          </w:r>
        </w:p>
        <w:p w14:paraId="0C20226D">
          <w:pPr>
            <w:pStyle w:val="36"/>
            <w:tabs>
              <w:tab w:val="right" w:leader="dot" w:pos="9072"/>
            </w:tabs>
          </w:pPr>
          <w:r>
            <w:fldChar w:fldCharType="begin"/>
          </w:r>
          <w:r>
            <w:instrText xml:space="preserve"> HYPERLINK \l _Toc12349 </w:instrText>
          </w:r>
          <w:r>
            <w:fldChar w:fldCharType="separate"/>
          </w:r>
          <w:r>
            <w:rPr>
              <w:rFonts w:hint="eastAsia"/>
              <w:lang w:val="en-US" w:eastAsia="zh-CN"/>
            </w:rPr>
            <w:t>（一） 研究结论</w:t>
          </w:r>
          <w:r>
            <w:tab/>
          </w:r>
          <w:r>
            <w:fldChar w:fldCharType="begin"/>
          </w:r>
          <w:r>
            <w:instrText xml:space="preserve"> PAGEREF _Toc12349 \h </w:instrText>
          </w:r>
          <w:r>
            <w:fldChar w:fldCharType="separate"/>
          </w:r>
          <w:r>
            <w:t>55</w:t>
          </w:r>
          <w:r>
            <w:fldChar w:fldCharType="end"/>
          </w:r>
          <w:r>
            <w:fldChar w:fldCharType="end"/>
          </w:r>
        </w:p>
        <w:p w14:paraId="68E0B47B">
          <w:pPr>
            <w:pStyle w:val="36"/>
            <w:tabs>
              <w:tab w:val="right" w:leader="dot" w:pos="9072"/>
            </w:tabs>
          </w:pPr>
          <w:r>
            <w:fldChar w:fldCharType="begin"/>
          </w:r>
          <w:r>
            <w:instrText xml:space="preserve"> HYPERLINK \l _Toc3565 </w:instrText>
          </w:r>
          <w:r>
            <w:fldChar w:fldCharType="separate"/>
          </w:r>
          <w:r>
            <w:rPr>
              <w:rFonts w:hint="eastAsia"/>
              <w:lang w:val="en-US" w:eastAsia="zh-CN"/>
            </w:rPr>
            <w:t>（二）研究不足</w:t>
          </w:r>
          <w:r>
            <w:tab/>
          </w:r>
          <w:r>
            <w:fldChar w:fldCharType="begin"/>
          </w:r>
          <w:r>
            <w:instrText xml:space="preserve"> PAGEREF _Toc3565 \h </w:instrText>
          </w:r>
          <w:r>
            <w:fldChar w:fldCharType="separate"/>
          </w:r>
          <w:r>
            <w:t>56</w:t>
          </w:r>
          <w:r>
            <w:fldChar w:fldCharType="end"/>
          </w:r>
          <w:r>
            <w:fldChar w:fldCharType="end"/>
          </w:r>
        </w:p>
        <w:p w14:paraId="3E8B19A0">
          <w:pPr>
            <w:pStyle w:val="36"/>
            <w:tabs>
              <w:tab w:val="right" w:leader="dot" w:pos="9072"/>
            </w:tabs>
          </w:pPr>
          <w:r>
            <w:fldChar w:fldCharType="begin"/>
          </w:r>
          <w:r>
            <w:instrText xml:space="preserve"> HYPERLINK \l _Toc13156 </w:instrText>
          </w:r>
          <w:r>
            <w:fldChar w:fldCharType="separate"/>
          </w:r>
          <w:r>
            <w:rPr>
              <w:rFonts w:hint="eastAsia"/>
              <w:lang w:eastAsia="zh-CN"/>
            </w:rPr>
            <w:t>（</w:t>
          </w:r>
          <w:r>
            <w:rPr>
              <w:rFonts w:hint="eastAsia"/>
              <w:lang w:val="en-US" w:eastAsia="zh-CN"/>
            </w:rPr>
            <w:t>二</w:t>
          </w:r>
          <w:r>
            <w:rPr>
              <w:rFonts w:hint="eastAsia"/>
              <w:lang w:eastAsia="zh-CN"/>
            </w:rPr>
            <w:t>）</w:t>
          </w:r>
          <w:r>
            <w:rPr>
              <w:rFonts w:hint="eastAsia"/>
              <w:lang w:val="en-US" w:eastAsia="zh-CN"/>
            </w:rPr>
            <w:t>研究展望</w:t>
          </w:r>
          <w:r>
            <w:tab/>
          </w:r>
          <w:r>
            <w:fldChar w:fldCharType="begin"/>
          </w:r>
          <w:r>
            <w:instrText xml:space="preserve"> PAGEREF _Toc13156 \h </w:instrText>
          </w:r>
          <w:r>
            <w:fldChar w:fldCharType="separate"/>
          </w:r>
          <w:r>
            <w:t>56</w:t>
          </w:r>
          <w:r>
            <w:fldChar w:fldCharType="end"/>
          </w:r>
          <w:r>
            <w:fldChar w:fldCharType="end"/>
          </w:r>
        </w:p>
        <w:p w14:paraId="7271419A">
          <w:r>
            <w:fldChar w:fldCharType="end"/>
          </w:r>
        </w:p>
      </w:sdtContent>
    </w:sdt>
    <w:p w14:paraId="1DC5FACA"/>
    <w:p w14:paraId="3BE61825">
      <w:pPr>
        <w:pStyle w:val="3"/>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lang w:val="en-US" w:eastAsia="zh-CN"/>
        </w:rPr>
      </w:pPr>
      <w:bookmarkStart w:id="1" w:name="_Toc6506"/>
      <w:r>
        <w:rPr>
          <w:rFonts w:hint="eastAsia" w:ascii="Times New Roman" w:hAnsi="Times New Roman" w:eastAsia="宋体"/>
          <w:lang w:val="en-US" w:eastAsia="zh-CN"/>
        </w:rPr>
        <w:t>一、科创企业AI伦理风险亟待治理</w:t>
      </w:r>
      <w:bookmarkEnd w:id="1"/>
    </w:p>
    <w:p w14:paraId="17AD4336">
      <w:pPr>
        <w:pStyle w:val="4"/>
        <w:numPr>
          <w:ilvl w:val="0"/>
          <w:numId w:val="0"/>
        </w:numPr>
        <w:bidi w:val="0"/>
        <w:ind w:firstLine="562" w:firstLineChars="200"/>
        <w:rPr>
          <w:rFonts w:hint="default"/>
        </w:rPr>
      </w:pPr>
      <w:bookmarkStart w:id="2" w:name="_Toc12881"/>
      <w:r>
        <w:rPr>
          <w:rFonts w:hint="eastAsia" w:ascii="Times New Roman" w:hAnsi="Times New Roman" w:eastAsia="宋体" w:cstheme="majorBidi"/>
          <w:b/>
          <w:color w:val="000000" w:themeColor="text1"/>
          <w:kern w:val="2"/>
          <w:sz w:val="28"/>
          <w:szCs w:val="40"/>
          <w:lang w:val="en-US" w:eastAsia="zh-CN" w:bidi="ar-SA"/>
          <w14:textFill>
            <w14:solidFill>
              <w14:schemeClr w14:val="tx1"/>
            </w14:solidFill>
          </w14:textFill>
        </w:rPr>
        <w:t>（一）</w:t>
      </w:r>
      <w:r>
        <w:rPr>
          <w:rFonts w:hint="default"/>
        </w:rPr>
        <w:t>科创企业</w:t>
      </w:r>
      <w:r>
        <w:rPr>
          <w:rFonts w:hint="eastAsia"/>
          <w:lang w:val="en-US" w:eastAsia="zh-CN"/>
        </w:rPr>
        <w:t>是</w:t>
      </w:r>
      <w:r>
        <w:rPr>
          <w:rFonts w:hint="default"/>
        </w:rPr>
        <w:t>创新浪潮中的关键主体</w:t>
      </w:r>
      <w:bookmarkEnd w:id="2"/>
    </w:p>
    <w:p w14:paraId="51B8EEA0">
      <w:pPr>
        <w:bidi w:val="0"/>
        <w:rPr>
          <w:rFonts w:hint="default"/>
        </w:rPr>
      </w:pPr>
      <w:r>
        <w:rPr>
          <w:rFonts w:hint="default"/>
        </w:rPr>
        <w:t>全球新一轮科技革命和产业变革深入发展，科创企业作为新技术研发、转化和商业化应用的核心主体，在推动产业升级和经济转型中发挥着日益关键的作用。近年来，国家从创业投资、梯度培育到资本市场改革</w:t>
      </w:r>
      <w:r>
        <w:rPr>
          <w:rFonts w:hint="eastAsia"/>
          <w:lang w:eastAsia="zh-CN"/>
        </w:rPr>
        <w:t>，</w:t>
      </w:r>
      <w:r>
        <w:rPr>
          <w:rFonts w:hint="default"/>
        </w:rPr>
        <w:t>持续完善支持科创企业的政策体系，形成了覆盖种子期、初创期、成长期和成熟期的制度支持链条。在种子期和初创期，科技部等七部门联合印发《加快构建科技金融体制 有力支撑高水平科技自立自强的若干政策举措》，设立“国家创业投资引导基金”，引导资本“投早、投小、投长期、投硬科技”</w:t>
      </w:r>
      <w:r>
        <w:rPr>
          <w:rStyle w:val="150"/>
          <w:rFonts w:hint="default"/>
        </w:rPr>
        <w:footnoteReference w:id="0"/>
      </w:r>
      <w:r>
        <w:rPr>
          <w:rFonts w:hint="default"/>
        </w:rPr>
        <w:t>。在初创期和成长期，工业和信息化部修订发布《优质中小企业梯度培育管理办法》，将科技型中小企业纳入梯度培育范围</w:t>
      </w:r>
      <w:r>
        <w:rPr>
          <w:rStyle w:val="150"/>
          <w:rFonts w:hint="default"/>
        </w:rPr>
        <w:footnoteReference w:id="1"/>
      </w:r>
      <w:r>
        <w:rPr>
          <w:rFonts w:hint="default"/>
        </w:rPr>
        <w:t>。对于已具备成熟条件的企业，</w:t>
      </w:r>
      <w:bookmarkStart w:id="3" w:name="OLE_LINK8"/>
      <w:r>
        <w:rPr>
          <w:rFonts w:hint="default"/>
        </w:rPr>
        <w:t>中国证监会于2025年6月发布《关于在科创板设置科创成长层 增强制度包容性适应性的意见》</w:t>
      </w:r>
      <w:bookmarkEnd w:id="3"/>
      <w:r>
        <w:rPr>
          <w:rFonts w:hint="default"/>
        </w:rPr>
        <w:t>，在科创板设置科创成长层，重启未盈利企业上市通道</w:t>
      </w:r>
      <w:r>
        <w:rPr>
          <w:rStyle w:val="150"/>
          <w:rFonts w:hint="default"/>
        </w:rPr>
        <w:footnoteReference w:id="2"/>
      </w:r>
      <w:r>
        <w:rPr>
          <w:rFonts w:hint="eastAsia"/>
          <w:lang w:eastAsia="zh-CN"/>
        </w:rPr>
        <w:t>。</w:t>
      </w:r>
    </w:p>
    <w:p w14:paraId="75626D93">
      <w:pPr>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029200" cy="2974975"/>
            <wp:effectExtent l="0" t="0" r="0" b="0"/>
            <wp:docPr id="2" name="图片 2" descr="d10f498ff70bfa151712e2d5a17a8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10f498ff70bfa151712e2d5a17a85c1"/>
                    <pic:cNvPicPr>
                      <a:picLocks noChangeAspect="1"/>
                    </pic:cNvPicPr>
                  </pic:nvPicPr>
                  <pic:blipFill>
                    <a:blip r:embed="rId8"/>
                    <a:srcRect t="21128"/>
                    <a:stretch>
                      <a:fillRect/>
                    </a:stretch>
                  </pic:blipFill>
                  <pic:spPr>
                    <a:xfrm>
                      <a:off x="0" y="0"/>
                      <a:ext cx="5029200" cy="2974975"/>
                    </a:xfrm>
                    <a:prstGeom prst="rect">
                      <a:avLst/>
                    </a:prstGeom>
                  </pic:spPr>
                </pic:pic>
              </a:graphicData>
            </a:graphic>
          </wp:inline>
        </w:drawing>
      </w:r>
    </w:p>
    <w:p w14:paraId="76F62FCA">
      <w:pPr>
        <w:bidi w:val="0"/>
        <w:ind w:left="0" w:leftChars="0" w:firstLine="0" w:firstLineChars="0"/>
        <w:jc w:val="center"/>
        <w:rPr>
          <w:rFonts w:hint="default" w:eastAsia="宋体"/>
          <w:lang w:eastAsia="zh-CN"/>
        </w:rPr>
      </w:pPr>
      <w:r>
        <w:rPr>
          <w:rFonts w:hint="eastAsia"/>
          <w:sz w:val="21"/>
          <w:szCs w:val="20"/>
          <w:lang w:val="en-US" w:eastAsia="zh-CN"/>
        </w:rPr>
        <w:t>图1-1 科创企业全生命周期政策支持体系</w:t>
      </w:r>
    </w:p>
    <w:p w14:paraId="556027F2">
      <w:pPr>
        <w:bidi w:val="0"/>
        <w:rPr>
          <w:rFonts w:hint="default"/>
        </w:rPr>
      </w:pPr>
      <w:r>
        <w:rPr>
          <w:rFonts w:hint="default"/>
        </w:rPr>
        <w:t>在政策</w:t>
      </w:r>
      <w:r>
        <w:rPr>
          <w:rFonts w:hint="eastAsia"/>
          <w:lang w:val="en-US" w:eastAsia="zh-CN"/>
        </w:rPr>
        <w:t>支持</w:t>
      </w:r>
      <w:r>
        <w:rPr>
          <w:rFonts w:hint="default"/>
        </w:rPr>
        <w:t>下，我国科创企业已形成显著的规模效应和集聚效应。全国高新技术企业数量持续增长，形成</w:t>
      </w:r>
      <w:r>
        <w:rPr>
          <w:rFonts w:hint="eastAsia"/>
          <w:lang w:val="en-US" w:eastAsia="zh-CN"/>
        </w:rPr>
        <w:t>了</w:t>
      </w:r>
      <w:r>
        <w:rPr>
          <w:rFonts w:hint="default"/>
        </w:rPr>
        <w:t>涵盖初创企业、高新技术企业、专精特新“小巨人”、独角兽企业等在内的梯度发展格局。科创板作为科创企业资本化的重要平台，自2019年7月开市以来已走过七年历程，从首批25家企业起步，截至2026年</w:t>
      </w:r>
      <w:r>
        <w:rPr>
          <w:rFonts w:hint="eastAsia"/>
          <w:lang w:val="en-US" w:eastAsia="zh-CN"/>
        </w:rPr>
        <w:t>9</w:t>
      </w:r>
      <w:r>
        <w:rPr>
          <w:rFonts w:hint="default"/>
        </w:rPr>
        <w:t>月已集聚61</w:t>
      </w:r>
      <w:r>
        <w:rPr>
          <w:rFonts w:hint="eastAsia"/>
          <w:lang w:val="en-US" w:eastAsia="zh-CN"/>
        </w:rPr>
        <w:t>6</w:t>
      </w:r>
      <w:r>
        <w:rPr>
          <w:rFonts w:hint="default"/>
        </w:rPr>
        <w:t>家“硬科技”企业，在集成电路、生物医药、高端装备等关键赛道构筑起完整产业集群，</w:t>
      </w:r>
      <w:r>
        <w:rPr>
          <w:rFonts w:hint="eastAsia"/>
          <w:lang w:val="en-US" w:eastAsia="zh-CN"/>
        </w:rPr>
        <w:t>2026年上半年</w:t>
      </w:r>
      <w:r>
        <w:rPr>
          <w:rFonts w:hint="default"/>
        </w:rPr>
        <w:t>研发投入</w:t>
      </w:r>
      <w:r>
        <w:rPr>
          <w:rFonts w:hint="eastAsia"/>
          <w:lang w:val="en-US" w:eastAsia="zh-CN"/>
        </w:rPr>
        <w:t>约</w:t>
      </w:r>
      <w:r>
        <w:rPr>
          <w:rFonts w:hint="default"/>
        </w:rPr>
        <w:t> 1044亿元，研发强度居A股各板块首位，从改革“试验田”成长为服务科技自立自强的核心“主阵地”。</w:t>
      </w:r>
    </w:p>
    <w:p w14:paraId="1A272A07">
      <w:pPr>
        <w:bidi w:val="0"/>
      </w:pPr>
      <w:r>
        <w:rPr>
          <w:rFonts w:hint="default"/>
          <w:color w:val="auto"/>
        </w:rPr>
        <w:t>科创企业的价值创造高度依赖技术创新</w:t>
      </w:r>
      <w:r>
        <w:rPr>
          <w:rFonts w:hint="eastAsia"/>
          <w:color w:val="auto"/>
          <w:lang w:eastAsia="zh-CN"/>
        </w:rPr>
        <w:t>——</w:t>
      </w:r>
      <w:r>
        <w:rPr>
          <w:rFonts w:hint="default"/>
          <w:color w:val="auto"/>
        </w:rPr>
        <w:t>技术路线是否正确、研发投入是否有效、产品</w:t>
      </w:r>
      <w:r>
        <w:rPr>
          <w:rFonts w:hint="eastAsia"/>
          <w:color w:val="auto"/>
          <w:lang w:val="en-US" w:eastAsia="zh-CN"/>
        </w:rPr>
        <w:t>落地</w:t>
      </w:r>
      <w:r>
        <w:rPr>
          <w:rFonts w:hint="default"/>
          <w:color w:val="auto"/>
        </w:rPr>
        <w:t>是否顺利，这些内生因素直接决定了企业的生存与发展。与传统企业依赖规模经济和品牌渠道不同，科创企业的风险源已从外部市场环境内化为技术活动本身，这对风险管理提出了</w:t>
      </w:r>
      <w:r>
        <w:rPr>
          <w:rFonts w:hint="eastAsia"/>
          <w:color w:val="auto"/>
          <w:lang w:val="en-US" w:eastAsia="zh-CN"/>
        </w:rPr>
        <w:t>新</w:t>
      </w:r>
      <w:r>
        <w:rPr>
          <w:rFonts w:hint="default"/>
          <w:color w:val="auto"/>
        </w:rPr>
        <w:t>要求。更为棘手的是，传统的风险评估方法</w:t>
      </w:r>
      <w:r>
        <w:rPr>
          <w:rFonts w:hint="eastAsia"/>
          <w:color w:val="auto"/>
          <w:lang w:eastAsia="zh-CN"/>
        </w:rPr>
        <w:t>，</w:t>
      </w:r>
      <w:r>
        <w:rPr>
          <w:rFonts w:hint="default"/>
          <w:color w:val="auto"/>
        </w:rPr>
        <w:t>无论是损失分布法还是极值理论</w:t>
      </w:r>
      <w:r>
        <w:rPr>
          <w:rFonts w:hint="eastAsia"/>
          <w:color w:val="auto"/>
          <w:lang w:eastAsia="zh-CN"/>
        </w:rPr>
        <w:t>，</w:t>
      </w:r>
      <w:r>
        <w:rPr>
          <w:rFonts w:hint="default"/>
          <w:color w:val="auto"/>
        </w:rPr>
        <w:t>都高度依赖大样本历史损失数据，而科创企业成立时间短、业务迭代快，自身损失历史匮乏。这意味着，科创企业的风险管理不能简单套用传统框架，而必须</w:t>
      </w:r>
      <w:r>
        <w:rPr>
          <w:rFonts w:hint="eastAsia"/>
          <w:color w:val="auto"/>
          <w:lang w:val="en-US" w:eastAsia="zh-CN"/>
        </w:rPr>
        <w:t>结合科创企业的特点</w:t>
      </w:r>
      <w:r>
        <w:rPr>
          <w:rFonts w:hint="default"/>
          <w:color w:val="auto"/>
        </w:rPr>
        <w:t>，探索识别和管理新型风险的新路径。</w:t>
      </w:r>
    </w:p>
    <w:p w14:paraId="49906370">
      <w:pPr>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584065" cy="2868295"/>
            <wp:effectExtent l="0" t="0" r="6985" b="8255"/>
            <wp:docPr id="4" name="图片 4" descr="63ed5ebf-395a-4640-a6a7-b78506126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3ed5ebf-395a-4640-a6a7-b78506126b4c"/>
                    <pic:cNvPicPr>
                      <a:picLocks noChangeAspect="1"/>
                    </pic:cNvPicPr>
                  </pic:nvPicPr>
                  <pic:blipFill>
                    <a:blip r:embed="rId9"/>
                    <a:srcRect t="16568"/>
                    <a:stretch>
                      <a:fillRect/>
                    </a:stretch>
                  </pic:blipFill>
                  <pic:spPr>
                    <a:xfrm>
                      <a:off x="0" y="0"/>
                      <a:ext cx="4584065" cy="2868295"/>
                    </a:xfrm>
                    <a:prstGeom prst="rect">
                      <a:avLst/>
                    </a:prstGeom>
                  </pic:spPr>
                </pic:pic>
              </a:graphicData>
            </a:graphic>
          </wp:inline>
        </w:drawing>
      </w:r>
    </w:p>
    <w:p w14:paraId="274DB658">
      <w:pPr>
        <w:bidi w:val="0"/>
        <w:ind w:left="0" w:leftChars="0" w:firstLine="0" w:firstLineChars="0"/>
        <w:jc w:val="center"/>
        <w:rPr>
          <w:rFonts w:hint="default" w:eastAsia="宋体"/>
          <w:lang w:eastAsia="zh-CN"/>
        </w:rPr>
      </w:pPr>
      <w:r>
        <w:rPr>
          <w:rFonts w:hint="eastAsia"/>
          <w:sz w:val="21"/>
          <w:szCs w:val="20"/>
          <w:lang w:val="en-US" w:eastAsia="zh-CN"/>
        </w:rPr>
        <w:t>图1-2 科创企业的新型风险管理需求</w:t>
      </w:r>
    </w:p>
    <w:p w14:paraId="7A819997">
      <w:pPr>
        <w:pStyle w:val="4"/>
        <w:bidi w:val="0"/>
        <w:rPr>
          <w:rFonts w:hint="eastAsia" w:ascii="Times New Roman" w:hAnsi="Times New Roman" w:eastAsia="宋体" w:cs="Times New Roman"/>
          <w:sz w:val="24"/>
          <w:szCs w:val="24"/>
        </w:rPr>
      </w:pPr>
      <w:bookmarkStart w:id="4" w:name="_Toc4042"/>
      <w:r>
        <w:rPr>
          <w:rFonts w:hint="eastAsia"/>
          <w:lang w:eastAsia="zh-CN"/>
        </w:rPr>
        <w:t>（</w:t>
      </w:r>
      <w:r>
        <w:rPr>
          <w:rFonts w:hint="eastAsia"/>
          <w:lang w:val="en-US" w:eastAsia="zh-CN"/>
        </w:rPr>
        <w:t>二</w:t>
      </w:r>
      <w:r>
        <w:rPr>
          <w:rFonts w:hint="eastAsia"/>
          <w:lang w:eastAsia="zh-CN"/>
        </w:rPr>
        <w:t>）</w:t>
      </w:r>
      <w:r>
        <w:rPr>
          <w:rFonts w:hint="default"/>
        </w:rPr>
        <w:t>AI伦理风险</w:t>
      </w:r>
      <w:r>
        <w:rPr>
          <w:rFonts w:hint="eastAsia"/>
          <w:lang w:val="en-US" w:eastAsia="zh-CN"/>
        </w:rPr>
        <w:t>是</w:t>
      </w:r>
      <w:r>
        <w:rPr>
          <w:rFonts w:hint="default"/>
        </w:rPr>
        <w:t>技术逻辑驱动的风险新形态</w:t>
      </w:r>
      <w:bookmarkEnd w:id="4"/>
    </w:p>
    <w:p w14:paraId="007CEF9D">
      <w:pPr>
        <w:bidi w:val="0"/>
      </w:pPr>
      <w:r>
        <w:rPr>
          <w:rFonts w:hint="eastAsia"/>
          <w:lang w:val="en-US" w:eastAsia="zh-CN"/>
        </w:rPr>
        <w:t>人工智能（Artificial Intelligence，AI）</w:t>
      </w:r>
      <w:r>
        <w:rPr>
          <w:rFonts w:hint="default"/>
        </w:rPr>
        <w:t>是当前</w:t>
      </w:r>
      <w:r>
        <w:rPr>
          <w:rFonts w:hint="eastAsia"/>
          <w:lang w:val="en-US" w:eastAsia="zh-CN"/>
        </w:rPr>
        <w:t>迅速</w:t>
      </w:r>
      <w:r>
        <w:rPr>
          <w:rFonts w:hint="default"/>
        </w:rPr>
        <w:t>发展</w:t>
      </w:r>
      <w:r>
        <w:rPr>
          <w:rFonts w:hint="eastAsia"/>
          <w:lang w:val="en-US" w:eastAsia="zh-CN"/>
        </w:rPr>
        <w:t>的</w:t>
      </w:r>
      <w:r>
        <w:rPr>
          <w:rFonts w:hint="default"/>
        </w:rPr>
        <w:t>前沿技术领域之一。近年来，AI技术实现了从判别式模型到生成式模型、从单模态到多模态、从专用系统到通用基础模型的技术跃迁，应用边界从信息处理延伸至内容创作、自动化决策和物理世界操控。生成式人工智能的爆发式增长，更使AI从辅助工具演变为能够参与复杂分析、自主决策乃至执行任务的</w:t>
      </w:r>
      <w:r>
        <w:rPr>
          <w:rFonts w:hint="eastAsia"/>
          <w:lang w:eastAsia="zh-CN"/>
        </w:rPr>
        <w:t>“</w:t>
      </w:r>
      <w:r>
        <w:rPr>
          <w:rFonts w:hint="default"/>
        </w:rPr>
        <w:t>行动者</w:t>
      </w:r>
      <w:r>
        <w:rPr>
          <w:rFonts w:hint="eastAsia"/>
          <w:lang w:eastAsia="zh-CN"/>
        </w:rPr>
        <w:t>”</w:t>
      </w:r>
      <w:r>
        <w:rPr>
          <w:rFonts w:hint="default"/>
        </w:rPr>
        <w:t>，</w:t>
      </w:r>
      <w:r>
        <w:rPr>
          <w:rFonts w:hint="eastAsia"/>
          <w:lang w:val="en-US" w:eastAsia="zh-CN"/>
        </w:rPr>
        <w:t>AI正</w:t>
      </w:r>
      <w:r>
        <w:rPr>
          <w:rFonts w:hint="default"/>
        </w:rPr>
        <w:t>加速渗透至经济社会的各个层面。</w:t>
      </w:r>
    </w:p>
    <w:p w14:paraId="4A7552C9">
      <w:pPr>
        <w:bidi w:val="0"/>
        <w:rPr>
          <w:rFonts w:hint="eastAsia" w:eastAsia="宋体"/>
          <w:lang w:eastAsia="zh-CN"/>
        </w:rPr>
      </w:pPr>
      <w:r>
        <w:rPr>
          <w:rFonts w:hint="default"/>
        </w:rPr>
        <w:t>然而，</w:t>
      </w:r>
      <w:r>
        <w:rPr>
          <w:rFonts w:hint="eastAsia"/>
          <w:lang w:val="en-US" w:eastAsia="zh-CN"/>
        </w:rPr>
        <w:t>AI</w:t>
      </w:r>
      <w:r>
        <w:rPr>
          <w:rFonts w:hint="default"/>
        </w:rPr>
        <w:t>技术快速</w:t>
      </w:r>
      <w:r>
        <w:rPr>
          <w:rFonts w:hint="eastAsia"/>
          <w:lang w:val="en-US" w:eastAsia="zh-CN"/>
        </w:rPr>
        <w:t>发展，</w:t>
      </w:r>
      <w:r>
        <w:rPr>
          <w:rFonts w:hint="default"/>
        </w:rPr>
        <w:t>治理的滞后</w:t>
      </w:r>
      <w:r>
        <w:rPr>
          <w:rFonts w:hint="eastAsia"/>
          <w:lang w:val="en-US" w:eastAsia="zh-CN"/>
        </w:rPr>
        <w:t>性难以避免</w:t>
      </w:r>
      <w:r>
        <w:rPr>
          <w:rFonts w:hint="default"/>
        </w:rPr>
        <w:t>。相比传统软件系统</w:t>
      </w:r>
      <w:r>
        <w:rPr>
          <w:rFonts w:hint="eastAsia"/>
          <w:lang w:eastAsia="zh-CN"/>
        </w:rPr>
        <w:t>，</w:t>
      </w:r>
      <w:r>
        <w:rPr>
          <w:rFonts w:hint="default"/>
        </w:rPr>
        <w:t>AI系统是在大规模数据驱动下通过学习形成行为模式的概率性系统，其输出具有固有的不确定性和不可预测性。这种由技术属性决定的</w:t>
      </w:r>
      <w:r>
        <w:rPr>
          <w:rFonts w:hint="eastAsia"/>
          <w:lang w:val="en-US" w:eastAsia="zh-CN"/>
        </w:rPr>
        <w:t>不</w:t>
      </w:r>
      <w:r>
        <w:rPr>
          <w:rFonts w:hint="default"/>
        </w:rPr>
        <w:t>确定性，使得既有的技术安全标准和可靠</w:t>
      </w:r>
      <w:r>
        <w:rPr>
          <w:rFonts w:hint="eastAsia"/>
          <w:lang w:val="en-US" w:eastAsia="zh-CN"/>
        </w:rPr>
        <w:t>系统</w:t>
      </w:r>
      <w:r>
        <w:rPr>
          <w:rFonts w:hint="default"/>
        </w:rPr>
        <w:t>框架难以直接适用，也令A</w:t>
      </w:r>
      <w:r>
        <w:rPr>
          <w:rFonts w:hint="eastAsia"/>
          <w:lang w:val="en-US" w:eastAsia="zh-CN"/>
        </w:rPr>
        <w:t>I的开发者与使用者</w:t>
      </w:r>
      <w:r>
        <w:rPr>
          <w:rFonts w:hint="default"/>
        </w:rPr>
        <w:t>面临一系列区别于传统技术的新型治理困境。</w:t>
      </w:r>
      <w:r>
        <w:rPr>
          <w:rFonts w:hint="default"/>
          <w:b/>
          <w:bCs/>
        </w:rPr>
        <w:t>本文将这种困境所指向的风险概念化为“AI伦理风险”，即AI技术在研发、训练、部署和应用过程中，因数据、算法、模型或自主决策等因素偏离既有伦理价值，而对个人、群体、社会及生态环境造成不利影响的不确定性。</w:t>
      </w:r>
    </w:p>
    <w:p w14:paraId="2B922F03">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751195" cy="2844165"/>
            <wp:effectExtent l="0" t="0" r="0" b="0"/>
            <wp:docPr id="16" name="图片 16" descr="2554b8ccd894409d73d022c974e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554b8ccd894409d73d022c974e37460"/>
                    <pic:cNvPicPr>
                      <a:picLocks noChangeAspect="1"/>
                    </pic:cNvPicPr>
                  </pic:nvPicPr>
                  <pic:blipFill>
                    <a:blip r:embed="rId10"/>
                    <a:srcRect t="24422" b="9642"/>
                    <a:stretch>
                      <a:fillRect/>
                    </a:stretch>
                  </pic:blipFill>
                  <pic:spPr>
                    <a:xfrm>
                      <a:off x="0" y="0"/>
                      <a:ext cx="5751195" cy="2844165"/>
                    </a:xfrm>
                    <a:prstGeom prst="rect">
                      <a:avLst/>
                    </a:prstGeom>
                  </pic:spPr>
                </pic:pic>
              </a:graphicData>
            </a:graphic>
          </wp:inline>
        </w:drawing>
      </w:r>
    </w:p>
    <w:p w14:paraId="155B0838">
      <w:pPr>
        <w:bidi w:val="0"/>
        <w:ind w:left="0" w:leftChars="0" w:firstLine="0" w:firstLineChars="0"/>
        <w:jc w:val="center"/>
        <w:rPr>
          <w:rFonts w:hint="default"/>
          <w:sz w:val="21"/>
          <w:szCs w:val="20"/>
          <w:lang w:val="en-US" w:eastAsia="zh-CN"/>
        </w:rPr>
      </w:pPr>
      <w:r>
        <w:rPr>
          <w:rFonts w:hint="eastAsia"/>
          <w:sz w:val="21"/>
          <w:szCs w:val="20"/>
          <w:lang w:val="en-US" w:eastAsia="zh-CN"/>
        </w:rPr>
        <w:t>图1-3 AI伦理风险的内涵解读</w:t>
      </w:r>
    </w:p>
    <w:p w14:paraId="183961EB">
      <w:pPr>
        <w:bidi w:val="0"/>
        <w:rPr>
          <w:rFonts w:hint="default"/>
        </w:rPr>
      </w:pPr>
      <w:r>
        <w:rPr>
          <w:rFonts w:hint="default"/>
        </w:rPr>
        <w:t>随着AI系统越来越多地参与医疗诊断、金融授信、招聘筛选等影响个人重大权益和社会公共利益的决策场景，算法决策缺乏透明度、数据利用侵犯个人隐私、智能系统削弱人类自主性等AI伦理问题开始大量浮现。例如，招聘算法可能从历史数据中学习并放大对特定群体的隐性排斥，信用评分模型可能因训练数据的偏差而对</w:t>
      </w:r>
      <w:r>
        <w:rPr>
          <w:rFonts w:hint="eastAsia"/>
          <w:lang w:val="en-US" w:eastAsia="zh-CN"/>
        </w:rPr>
        <w:t>某些</w:t>
      </w:r>
      <w:r>
        <w:rPr>
          <w:rFonts w:hint="default"/>
        </w:rPr>
        <w:t>人群产生不公正的结果，生成式AI输出的虚假信息可能误导公众认知、冲击社会信任基础。这些问题并非孤立的技术故障，而是AI系统在与社会运行规则互动</w:t>
      </w:r>
      <w:r>
        <w:rPr>
          <w:rFonts w:hint="eastAsia"/>
          <w:lang w:val="en-US" w:eastAsia="zh-CN"/>
        </w:rPr>
        <w:t>的</w:t>
      </w:r>
      <w:r>
        <w:rPr>
          <w:rFonts w:hint="default"/>
        </w:rPr>
        <w:t>过程中产生的结构性风险</w:t>
      </w:r>
      <w:r>
        <w:rPr>
          <w:rFonts w:hint="eastAsia"/>
          <w:lang w:eastAsia="zh-CN"/>
        </w:rPr>
        <w:t>，</w:t>
      </w:r>
      <w:r>
        <w:rPr>
          <w:rFonts w:hint="default"/>
        </w:rPr>
        <w:t>其核心关切并非技术功能是否正常实现，而是系统运行是否与人的基本权利、社会公平及人类自主性等价值体系相冲突。</w:t>
      </w:r>
    </w:p>
    <w:p w14:paraId="6F3BD3B0">
      <w:pPr>
        <w:bidi w:val="0"/>
        <w:rPr>
          <w:rFonts w:hint="eastAsia"/>
        </w:rPr>
      </w:pPr>
      <w:r>
        <w:rPr>
          <w:rFonts w:hint="eastAsia"/>
        </w:rPr>
        <w:t>AI伦理风险已经不再</w:t>
      </w:r>
      <w:r>
        <w:rPr>
          <w:rFonts w:hint="eastAsia"/>
          <w:lang w:val="en-US" w:eastAsia="zh-CN"/>
        </w:rPr>
        <w:t>停留在理论层面</w:t>
      </w:r>
      <w:r>
        <w:rPr>
          <w:rFonts w:hint="eastAsia"/>
        </w:rPr>
        <w:t>，而正在</w:t>
      </w:r>
      <w:r>
        <w:rPr>
          <w:rFonts w:hint="eastAsia"/>
          <w:lang w:val="en-US" w:eastAsia="zh-CN"/>
        </w:rPr>
        <w:t>以具体的形态</w:t>
      </w:r>
      <w:r>
        <w:rPr>
          <w:rFonts w:hint="eastAsia"/>
        </w:rPr>
        <w:t>进入公共视野。国际社会对此高度关注，联合国秘书长古特雷斯多次呼吁建立全球性的AI伦理治理机制，欧盟《人工智能法案》将伦理风险作为核心规制对象，二十国集团领导人峰会宣言也明确强调“以人为本”的AI发展原则</w:t>
      </w:r>
      <w:r>
        <w:rPr>
          <w:rStyle w:val="150"/>
          <w:rFonts w:hint="eastAsia" w:ascii="Times New Roman" w:hAnsi="Times New Roman" w:eastAsia="宋体" w:cs="Times New Roman"/>
          <w:szCs w:val="24"/>
        </w:rPr>
        <w:footnoteReference w:id="3"/>
      </w:r>
      <w:r>
        <w:rPr>
          <w:rFonts w:hint="eastAsia"/>
        </w:rPr>
        <w:t>。在中国，2026世界人工智能大会主席声明指出“技术伦理、数据安全、监管体系等问题也随之凸显”；国家主席习近平在大会主旨讲话中更是以“四问”直指问题核心——“当机器开始思考，人类如何与之相处？当算法参与决策，安全如何保障？当技术挑战伦理，治理如何跟上？当鸿沟不断拉大，普惠如何实现？”这些追问表明，伦理问题已从边缘关切上升为核心议题。</w:t>
      </w:r>
    </w:p>
    <w:p w14:paraId="0CE71741">
      <w:pPr>
        <w:bidi w:val="0"/>
        <w:rPr>
          <w:rFonts w:hint="eastAsia"/>
        </w:rPr>
      </w:pPr>
      <w:r>
        <w:rPr>
          <w:rFonts w:hint="eastAsia"/>
        </w:rPr>
        <w:t>AI伦理风险对科创企业的威胁尤为突出。与传统企业不同，科创企业的商业模式高度依赖技术信任</w:t>
      </w:r>
      <w:r>
        <w:rPr>
          <w:rFonts w:hint="eastAsia"/>
          <w:lang w:eastAsia="zh-CN"/>
        </w:rPr>
        <w:t>，</w:t>
      </w:r>
      <w:r>
        <w:rPr>
          <w:rFonts w:hint="eastAsia"/>
        </w:rPr>
        <w:t>用户对AI系统的信任直接决定了产品的市场接受度和商业可持续性。一旦发生AI伦理事件，科创企业不仅面临直接的诉讼赔偿和监管处罚，还将承受更为深远的声誉损害和用户信任崩塌</w:t>
      </w:r>
      <w:r>
        <w:rPr>
          <w:rFonts w:hint="eastAsia"/>
        </w:rPr>
        <w:fldChar w:fldCharType="begin"/>
      </w:r>
      <w:r>
        <w:rPr>
          <w:rFonts w:hint="eastAsia"/>
        </w:rPr>
        <w:instrText xml:space="preserve"> HYPERLINK "https://m.163.com/dy/article/KJ51IVL50512D3VJ.html?spss=adap_pc" \l "1#1" \t "https://chat.deepseek.com/a/chat/s/_blank" </w:instrText>
      </w:r>
      <w:r>
        <w:rPr>
          <w:rFonts w:hint="eastAsia"/>
        </w:rPr>
        <w:fldChar w:fldCharType="separate"/>
      </w:r>
      <w:r>
        <w:rPr>
          <w:rFonts w:hint="eastAsia"/>
        </w:rPr>
        <w:fldChar w:fldCharType="end"/>
      </w:r>
      <w:r>
        <w:rPr>
          <w:rFonts w:hint="eastAsia"/>
        </w:rPr>
        <w:fldChar w:fldCharType="begin"/>
      </w:r>
      <w:r>
        <w:rPr>
          <w:rFonts w:hint="eastAsia"/>
        </w:rPr>
        <w:instrText xml:space="preserve"> HYPERLINK "https://www.courthousenews.com/waymo-sued-over-discriminatory-ai-identity-verification/" \l "1" \t "https://chat.deepseek.com/a/chat/s/_blank" </w:instrText>
      </w:r>
      <w:r>
        <w:rPr>
          <w:rFonts w:hint="eastAsia"/>
        </w:rPr>
        <w:fldChar w:fldCharType="separate"/>
      </w:r>
      <w:r>
        <w:rPr>
          <w:rFonts w:hint="eastAsia"/>
        </w:rPr>
        <w:fldChar w:fldCharType="end"/>
      </w:r>
      <w:r>
        <w:rPr>
          <w:rFonts w:hint="eastAsia"/>
        </w:rPr>
        <w:t>。2025年，美国自动驾驶公司Waymo因AI身份验证程序错误地将一名用户标记为恐怖分子并拒绝提供服务，被起诉索赔，暴露出AI系统在缺乏人工复核机制时可能造成的严重权益损害</w:t>
      </w:r>
      <w:r>
        <w:rPr>
          <w:rFonts w:hint="eastAsia"/>
        </w:rPr>
        <w:fldChar w:fldCharType="begin"/>
      </w:r>
      <w:r>
        <w:rPr>
          <w:rFonts w:hint="eastAsia"/>
        </w:rPr>
        <w:instrText xml:space="preserve"> HYPERLINK "https://www.courthousenews.com/waymo-sued-over-discriminatory-ai-identity-verification/" \l "1" \t "https://chat.deepseek.com/a/chat/s/_blank" </w:instrText>
      </w:r>
      <w:r>
        <w:rPr>
          <w:rFonts w:hint="eastAsia"/>
        </w:rPr>
        <w:fldChar w:fldCharType="separate"/>
      </w:r>
      <w:r>
        <w:rPr>
          <w:rFonts w:hint="eastAsia"/>
        </w:rPr>
        <w:fldChar w:fldCharType="end"/>
      </w:r>
      <w:r>
        <w:rPr>
          <w:rFonts w:hint="eastAsia"/>
        </w:rPr>
        <w:t>。</w:t>
      </w:r>
      <w:r>
        <w:rPr>
          <w:rStyle w:val="150"/>
          <w:rFonts w:hint="eastAsia"/>
        </w:rPr>
        <w:footnoteReference w:id="4"/>
      </w:r>
      <w:r>
        <w:rPr>
          <w:rFonts w:hint="eastAsia"/>
        </w:rPr>
        <w:t>同年，百度AI因生成虚假的犯罪记录信息侵害用户名誉权而被诉上法庭</w:t>
      </w:r>
      <w:r>
        <w:rPr>
          <w:rFonts w:hint="eastAsia"/>
        </w:rPr>
        <w:fldChar w:fldCharType="begin"/>
      </w:r>
      <w:r>
        <w:rPr>
          <w:rFonts w:hint="eastAsia"/>
        </w:rPr>
        <w:instrText xml:space="preserve"> HYPERLINK "https://m.163.com/dy/article/KJ51IVL50512D3VJ.html?spss=adap_pc" \l "1#1" \t "https://chat.deepseek.com/a/chat/s/_blank" </w:instrText>
      </w:r>
      <w:r>
        <w:rPr>
          <w:rFonts w:hint="eastAsia"/>
        </w:rPr>
        <w:fldChar w:fldCharType="separate"/>
      </w:r>
      <w:r>
        <w:rPr>
          <w:rFonts w:hint="eastAsia"/>
        </w:rPr>
        <w:fldChar w:fldCharType="end"/>
      </w:r>
      <w:r>
        <w:rPr>
          <w:rFonts w:hint="eastAsia"/>
        </w:rPr>
        <w:t>。</w:t>
      </w:r>
      <w:r>
        <w:rPr>
          <w:rStyle w:val="150"/>
          <w:rFonts w:hint="eastAsia"/>
        </w:rPr>
        <w:footnoteReference w:id="5"/>
      </w:r>
      <w:r>
        <w:rPr>
          <w:rFonts w:hint="eastAsia"/>
        </w:rPr>
        <w:t>这类事件表明，AI伦理风险已不再停留于理论层面的价值讨论，而是正在以诉讼、赔偿、监管调查等具体形态转化为科创企业的现实经营成本。</w:t>
      </w:r>
    </w:p>
    <w:p w14:paraId="201A7303">
      <w:pPr>
        <w:bidi w:val="0"/>
        <w:rPr>
          <w:rFonts w:hint="eastAsia"/>
        </w:rPr>
      </w:pPr>
      <w:r>
        <w:rPr>
          <w:rFonts w:hint="eastAsia"/>
        </w:rPr>
        <w:t>与此同时，全球企业界正面临日益扩大的AI治理鸿沟。英国标准协会（BSI）2025年的全球研究报告指出，企业竞相投资AI工具和产品，但缺少适当的监督和保护性流程</w:t>
      </w:r>
      <w:r>
        <w:rPr>
          <w:rFonts w:hint="eastAsia"/>
          <w:lang w:eastAsia="zh-CN"/>
        </w:rPr>
        <w:t>，</w:t>
      </w:r>
      <w:r>
        <w:rPr>
          <w:rFonts w:hint="eastAsia"/>
        </w:rPr>
        <w:t>只有不到四分之一的组织已拥有AI治理计划</w:t>
      </w:r>
      <w:r>
        <w:rPr>
          <w:rFonts w:hint="eastAsia"/>
        </w:rPr>
        <w:fldChar w:fldCharType="begin"/>
      </w:r>
      <w:r>
        <w:rPr>
          <w:rFonts w:hint="eastAsia"/>
        </w:rPr>
        <w:instrText xml:space="preserve"> HYPERLINK "https://www.sohu.com/a/950711974_123753?scm=10001.325_13-325_13.0.0.5_32&amp;spm=smpc.channel_248.block3_308_NDdFbm_1_fd.19.176222731817044CXjJ8_324" \l "1" \t "https://chat.deepseek.com/a/chat/s/_blank" </w:instrText>
      </w:r>
      <w:r>
        <w:rPr>
          <w:rFonts w:hint="eastAsia"/>
        </w:rPr>
        <w:fldChar w:fldCharType="separate"/>
      </w:r>
      <w:r>
        <w:rPr>
          <w:rFonts w:hint="eastAsia"/>
        </w:rPr>
        <w:fldChar w:fldCharType="end"/>
      </w:r>
      <w:r>
        <w:rPr>
          <w:rFonts w:hint="eastAsia"/>
        </w:rPr>
        <w:t>。</w:t>
      </w:r>
      <w:r>
        <w:rPr>
          <w:rStyle w:val="150"/>
          <w:rFonts w:hint="eastAsia"/>
        </w:rPr>
        <w:footnoteReference w:id="6"/>
      </w:r>
      <w:r>
        <w:rPr>
          <w:rFonts w:hint="eastAsia"/>
        </w:rPr>
        <w:t>安永同期发布的《2025全球可信AI治理与数据安全报告》进一步显示，数据泄露风险、法律合规风险和隐私保护风险是企业应用人工智能最关切的三大风险问题</w:t>
      </w:r>
      <w:r>
        <w:rPr>
          <w:rFonts w:hint="eastAsia"/>
        </w:rPr>
        <w:fldChar w:fldCharType="begin"/>
      </w:r>
      <w:r>
        <w:rPr>
          <w:rFonts w:hint="eastAsia"/>
        </w:rPr>
        <w:instrText xml:space="preserve"> HYPERLINK "https://beijing.investgo.cn/article/gb/fxbg/202511/818651.html" \t "https://chat.deepseek.com/a/chat/s/_blank" </w:instrText>
      </w:r>
      <w:r>
        <w:rPr>
          <w:rFonts w:hint="eastAsia"/>
        </w:rPr>
        <w:fldChar w:fldCharType="separate"/>
      </w:r>
      <w:r>
        <w:rPr>
          <w:rFonts w:hint="eastAsia"/>
        </w:rPr>
        <w:fldChar w:fldCharType="end"/>
      </w:r>
      <w:r>
        <w:rPr>
          <w:rFonts w:hint="eastAsia"/>
        </w:rPr>
        <w:t>。</w:t>
      </w:r>
      <w:r>
        <w:rPr>
          <w:rStyle w:val="150"/>
          <w:rFonts w:hint="eastAsia"/>
        </w:rPr>
        <w:footnoteReference w:id="7"/>
      </w:r>
      <w:r>
        <w:rPr>
          <w:rFonts w:hint="eastAsia"/>
        </w:rPr>
        <w:t>对于研发投入高、现金流相对脆弱的科创企业而言，一旦AI伦理风险集中爆发，可能引发的诉讼赔偿、监管处罚、融资渠道收紧乃至估值下降，将直接威胁企业的生存与发展。因此，AI伦理风险管理正在从的合规选项，转变为关乎科创企业生死存亡的核心治理议题。</w:t>
      </w:r>
    </w:p>
    <w:p w14:paraId="36439213">
      <w:pPr>
        <w:pStyle w:val="4"/>
        <w:numPr>
          <w:ilvl w:val="0"/>
          <w:numId w:val="0"/>
        </w:numPr>
        <w:bidi w:val="0"/>
        <w:ind w:left="0" w:leftChars="0" w:firstLine="562" w:firstLineChars="200"/>
        <w:rPr>
          <w:rFonts w:hint="default"/>
        </w:rPr>
      </w:pPr>
      <w:bookmarkStart w:id="5" w:name="_Toc23425"/>
      <w:r>
        <w:rPr>
          <w:rFonts w:hint="eastAsia" w:ascii="Times New Roman" w:hAnsi="Times New Roman" w:eastAsia="宋体" w:cstheme="majorBidi"/>
          <w:b/>
          <w:color w:val="000000" w:themeColor="text1"/>
          <w:kern w:val="2"/>
          <w:sz w:val="28"/>
          <w:szCs w:val="40"/>
          <w:lang w:val="en-US" w:eastAsia="zh-CN" w:bidi="ar-SA"/>
          <w14:textFill>
            <w14:solidFill>
              <w14:schemeClr w14:val="tx1"/>
            </w14:solidFill>
          </w14:textFill>
        </w:rPr>
        <w:t>（</w:t>
      </w:r>
      <w:r>
        <w:rPr>
          <w:rFonts w:hint="eastAsia" w:cstheme="majorBidi"/>
          <w:b/>
          <w:color w:val="000000" w:themeColor="text1"/>
          <w:kern w:val="2"/>
          <w:sz w:val="28"/>
          <w:szCs w:val="40"/>
          <w:lang w:val="en-US" w:eastAsia="zh-CN" w:bidi="ar-SA"/>
          <w14:textFill>
            <w14:solidFill>
              <w14:schemeClr w14:val="tx1"/>
            </w14:solidFill>
          </w14:textFill>
        </w:rPr>
        <w:t>三</w:t>
      </w:r>
      <w:r>
        <w:rPr>
          <w:rFonts w:hint="eastAsia" w:ascii="Times New Roman" w:hAnsi="Times New Roman" w:eastAsia="宋体" w:cstheme="majorBidi"/>
          <w:b/>
          <w:color w:val="000000" w:themeColor="text1"/>
          <w:kern w:val="2"/>
          <w:sz w:val="28"/>
          <w:szCs w:val="40"/>
          <w:lang w:val="en-US" w:eastAsia="zh-CN" w:bidi="ar-SA"/>
          <w14:textFill>
            <w14:solidFill>
              <w14:schemeClr w14:val="tx1"/>
            </w14:solidFill>
          </w14:textFill>
        </w:rPr>
        <w:t>）</w:t>
      </w:r>
      <w:r>
        <w:rPr>
          <w:rFonts w:hint="eastAsia" w:cstheme="majorBidi"/>
          <w:b/>
          <w:color w:val="000000" w:themeColor="text1"/>
          <w:kern w:val="2"/>
          <w:sz w:val="28"/>
          <w:szCs w:val="40"/>
          <w:lang w:val="en-US" w:eastAsia="zh-CN" w:bidi="ar-SA"/>
          <w14:textFill>
            <w14:solidFill>
              <w14:schemeClr w14:val="tx1"/>
            </w14:solidFill>
          </w14:textFill>
        </w:rPr>
        <w:t>AI伦理风险的</w:t>
      </w:r>
      <w:r>
        <w:rPr>
          <w:rFonts w:hint="default"/>
        </w:rPr>
        <w:t>政策演进</w:t>
      </w:r>
      <w:bookmarkEnd w:id="5"/>
    </w:p>
    <w:p w14:paraId="59A5A136">
      <w:pPr>
        <w:bidi w:val="0"/>
      </w:pPr>
      <w:r>
        <w:rPr>
          <w:rFonts w:hint="default"/>
        </w:rPr>
        <w:t>早在AI技术大规模应用之前，学术界和伦理学界就已经开始讨论智能系统的道德地位和责任归属问题</w:t>
      </w:r>
      <w:r>
        <w:rPr>
          <w:rFonts w:hint="eastAsia"/>
          <w:lang w:eastAsia="zh-CN"/>
        </w:rPr>
        <w:t>，</w:t>
      </w:r>
      <w:r>
        <w:rPr>
          <w:rFonts w:hint="default"/>
        </w:rPr>
        <w:t>近年来密集出台的政策法规和治理框架真正推动AI伦理风险从学术讨论走向治理实践。</w:t>
      </w:r>
    </w:p>
    <w:p w14:paraId="1E2A08F1">
      <w:pPr>
        <w:bidi w:val="0"/>
        <w:rPr>
          <w:rFonts w:hint="default"/>
        </w:rPr>
      </w:pPr>
      <w:r>
        <w:rPr>
          <w:rFonts w:hint="default"/>
        </w:rPr>
        <w:t>从国际视角看，AI伦理治理经历了从原则共识到制度建设的演进路径。2019年，经济合作与发展组织（OECD）发布了《人工智能原则》，确立了包容性增长、以人为本的价值观、透明性和可解释性、稳健性和安全性等五项原则，并被二十国集团（G20）采纳。</w:t>
      </w:r>
      <w:r>
        <w:rPr>
          <w:rStyle w:val="150"/>
          <w:rFonts w:hint="default"/>
        </w:rPr>
        <w:footnoteReference w:id="8"/>
      </w:r>
      <w:r>
        <w:rPr>
          <w:rFonts w:hint="default"/>
        </w:rPr>
        <w:t>2021年，联合国教科文组织（UNESCO）193个成员国一致通过了全球首份《人工智能伦理问题建议书》，将AI伦理置于人权和人的尊严、社会正义、多样性与包容性以及环境和生态系统等价值基础之上，提出隐私与数据保护、责任与问责、透明与可解释、人类监督、公平与非歧视、可持续性等核心原则</w:t>
      </w:r>
      <w:r>
        <w:rPr>
          <w:rStyle w:val="150"/>
          <w:rFonts w:hint="default"/>
        </w:rPr>
        <w:footnoteReference w:id="9"/>
      </w:r>
      <w:r>
        <w:rPr>
          <w:rFonts w:hint="default"/>
        </w:rPr>
        <w:t>。2023年，美国国家标准与技术研究院（NIST）发布《人工智能风险管理框架》（AI RMF 1.0），从风险管理角度将AI视为“社会—技术系统”，要求开展全生命周期的风险识别与管理</w:t>
      </w:r>
      <w:r>
        <w:rPr>
          <w:rStyle w:val="150"/>
          <w:rFonts w:hint="default"/>
        </w:rPr>
        <w:footnoteReference w:id="10"/>
      </w:r>
      <w:r>
        <w:rPr>
          <w:rFonts w:hint="default"/>
        </w:rPr>
        <w:t>。</w:t>
      </w:r>
    </w:p>
    <w:p w14:paraId="2F7B1D4F">
      <w:pPr>
        <w:bidi w:val="0"/>
        <w:rPr>
          <w:rFonts w:hint="default"/>
        </w:rPr>
      </w:pPr>
      <w:r>
        <w:rPr>
          <w:rFonts w:hint="default"/>
        </w:rPr>
        <w:t>我国AI伦理治理的政策演进从2017年延续至今，呈现出从宏观规划到具体制度、从原则倡导到操作指引的逐步深化过程。2017年7月，国务院印发《新一代人工智能发展规划》（国发〔2017〕35号），首次提出建立人工智能法律法规、伦理规范与政策体系，奠定了我国AI伦理治理的顶层设计基础</w:t>
      </w:r>
      <w:r>
        <w:rPr>
          <w:rStyle w:val="150"/>
          <w:rFonts w:hint="default"/>
        </w:rPr>
        <w:footnoteReference w:id="11"/>
      </w:r>
      <w:r>
        <w:rPr>
          <w:rFonts w:hint="default"/>
        </w:rPr>
        <w:t>。此后，202</w:t>
      </w:r>
      <w:r>
        <w:rPr>
          <w:rFonts w:hint="eastAsia"/>
          <w:lang w:val="en-US" w:eastAsia="zh-CN"/>
        </w:rPr>
        <w:t>1</w:t>
      </w:r>
      <w:r>
        <w:rPr>
          <w:rFonts w:hint="default"/>
        </w:rPr>
        <w:t>年的《互联网信息服务算法推荐管理规定》和2023年的《生成式人工智能服务管理暂行办法》将治理触角延伸至具体应用场景，形成了可执行的管理</w:t>
      </w:r>
      <w:r>
        <w:rPr>
          <w:rFonts w:hint="eastAsia"/>
          <w:lang w:eastAsia="zh-CN"/>
        </w:rPr>
        <w:t>规定</w:t>
      </w:r>
      <w:r>
        <w:rPr>
          <w:rStyle w:val="150"/>
          <w:rFonts w:hint="default"/>
        </w:rPr>
        <w:footnoteReference w:id="12"/>
      </w:r>
      <w:r>
        <w:rPr>
          <w:rStyle w:val="150"/>
          <w:rFonts w:hint="default"/>
        </w:rPr>
        <w:footnoteReference w:id="13"/>
      </w:r>
      <w:r>
        <w:rPr>
          <w:rFonts w:hint="default"/>
        </w:rPr>
        <w:t>。2024年至2025年间，《人工智能安全治理框架》从1.0版迭代至2.0版，提出了“以人为本、智能向善”的基本理念和“可信应用、防范失控”的新原则</w:t>
      </w:r>
      <w:r>
        <w:rPr>
          <w:rStyle w:val="150"/>
          <w:rFonts w:hint="default"/>
        </w:rPr>
        <w:footnoteReference w:id="14"/>
      </w:r>
      <w:r>
        <w:rPr>
          <w:rFonts w:hint="default"/>
        </w:rPr>
        <w:t>；国务院于2025年8月印发《关于深入实施“人工智能+”行动的意见》（国发〔2025〕11号），明确到2027年率先实现人工智能与六大重点领域的广泛深度融合</w:t>
      </w:r>
      <w:r>
        <w:rPr>
          <w:rStyle w:val="150"/>
          <w:rFonts w:hint="default"/>
        </w:rPr>
        <w:footnoteReference w:id="15"/>
      </w:r>
      <w:r>
        <w:rPr>
          <w:rFonts w:hint="default"/>
        </w:rPr>
        <w:t>。2026年成为AI伦理治理从框架走向操作的关键年份。3月20日，工业和信息化部等十部门联合印发《人工智能科技伦理审查与服务办法（试行）》（工信部联科〔2026〕75号），将AI科技活动可能对人的尊严、公共秩序、生命健康、生态环境和可持续发展等产生的伦理风险纳入审查范围</w:t>
      </w:r>
      <w:r>
        <w:rPr>
          <w:rStyle w:val="150"/>
          <w:rFonts w:hint="default"/>
        </w:rPr>
        <w:footnoteReference w:id="16"/>
      </w:r>
      <w:r>
        <w:rPr>
          <w:rFonts w:hint="default"/>
        </w:rPr>
        <w:t>。5月19日，全国网络安全标准化技术委员会在2026年中国网络文明大会上正式发布《人工智能应用伦理安全指引1.0》（TC260-005），从人与社会、人与自然的关系出发，给出了AI应用伦理安全的核心理念、九大原则和具体安全指引，标志着AI伦理治理进入有明确操作规范的新阶段</w:t>
      </w:r>
      <w:r>
        <w:rPr>
          <w:rStyle w:val="150"/>
          <w:rFonts w:hint="default"/>
        </w:rPr>
        <w:footnoteReference w:id="17"/>
      </w:r>
      <w:r>
        <w:rPr>
          <w:rFonts w:hint="default"/>
        </w:rPr>
        <w:t>。</w:t>
      </w:r>
    </w:p>
    <w:p w14:paraId="70478836">
      <w:pPr>
        <w:bidi w:val="0"/>
        <w:ind w:left="0" w:leftChars="0" w:firstLine="0" w:firstLineChars="0"/>
        <w:rPr>
          <w:rFonts w:hint="eastAsia" w:eastAsia="宋体"/>
          <w:lang w:eastAsia="zh-CN"/>
        </w:rPr>
      </w:pPr>
    </w:p>
    <w:p w14:paraId="3C3D7C08">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749290" cy="2756535"/>
            <wp:effectExtent l="0" t="0" r="0" b="0"/>
            <wp:docPr id="3" name="图片 3" descr="350ee249904b7bbb27587f740bfef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50ee249904b7bbb27587f740bfef15b"/>
                    <pic:cNvPicPr>
                      <a:picLocks noChangeAspect="1"/>
                    </pic:cNvPicPr>
                  </pic:nvPicPr>
                  <pic:blipFill>
                    <a:blip r:embed="rId11"/>
                    <a:srcRect t="14816"/>
                    <a:stretch>
                      <a:fillRect/>
                    </a:stretch>
                  </pic:blipFill>
                  <pic:spPr>
                    <a:xfrm>
                      <a:off x="0" y="0"/>
                      <a:ext cx="5749290" cy="2756535"/>
                    </a:xfrm>
                    <a:prstGeom prst="rect">
                      <a:avLst/>
                    </a:prstGeom>
                  </pic:spPr>
                </pic:pic>
              </a:graphicData>
            </a:graphic>
          </wp:inline>
        </w:drawing>
      </w:r>
    </w:p>
    <w:p w14:paraId="28FE88BE">
      <w:pPr>
        <w:bidi w:val="0"/>
        <w:ind w:left="0" w:leftChars="0" w:firstLine="0" w:firstLineChars="0"/>
        <w:jc w:val="center"/>
        <w:rPr>
          <w:rFonts w:hint="default"/>
          <w:lang w:val="en-US"/>
        </w:rPr>
      </w:pPr>
      <w:r>
        <w:rPr>
          <w:rFonts w:hint="eastAsia"/>
          <w:sz w:val="21"/>
          <w:szCs w:val="20"/>
          <w:lang w:val="en-US" w:eastAsia="zh-CN"/>
        </w:rPr>
        <w:t>图1-4 国内外AI伦理风险治理政策演进</w:t>
      </w:r>
    </w:p>
    <w:p w14:paraId="685CDC62">
      <w:pPr>
        <w:bidi w:val="0"/>
        <w:ind w:left="0" w:leftChars="0" w:firstLine="420" w:firstLineChars="0"/>
        <w:rPr>
          <w:rFonts w:hint="default"/>
        </w:rPr>
      </w:pPr>
      <w:r>
        <w:rPr>
          <w:rFonts w:hint="default"/>
        </w:rPr>
        <w:t>政策演进</w:t>
      </w:r>
      <w:r>
        <w:rPr>
          <w:rFonts w:hint="eastAsia"/>
          <w:lang w:val="en-US" w:eastAsia="zh-CN"/>
        </w:rPr>
        <w:t>的</w:t>
      </w:r>
      <w:r>
        <w:rPr>
          <w:rFonts w:hint="default"/>
        </w:rPr>
        <w:t>脉络清晰地表明，AI伦理治理正在从“要不要管”的价值讨论走向“怎么管、谁来管、管什么”的制度化实践。对于科创企业而言，这意味着AI伦理风险管理不再只是自我约束的自愿行为，而是正在转变为有明确规范、有审查程序、有责任追究的制度要求。能否将外部的伦理要求转化为内部可识别、可评价、可处置的管理能力，正在成为影响科创企业合规成本、融资条件、市场准入和长期发展的关键因素。</w:t>
      </w:r>
    </w:p>
    <w:p w14:paraId="10451E70">
      <w:pPr>
        <w:pStyle w:val="3"/>
        <w:numPr>
          <w:ilvl w:val="0"/>
          <w:numId w:val="11"/>
        </w:numPr>
        <w:bidi w:val="0"/>
        <w:rPr>
          <w:rFonts w:hint="default"/>
        </w:rPr>
      </w:pPr>
      <w:bookmarkStart w:id="6" w:name="_Toc30182"/>
      <w:r>
        <w:rPr>
          <w:rFonts w:hint="default"/>
        </w:rPr>
        <w:t>研究边界、数据基础与框架设计</w:t>
      </w:r>
      <w:bookmarkEnd w:id="6"/>
    </w:p>
    <w:p w14:paraId="28BCF0F0">
      <w:pPr>
        <w:pStyle w:val="4"/>
        <w:numPr>
          <w:ilvl w:val="0"/>
          <w:numId w:val="0"/>
        </w:numPr>
        <w:bidi w:val="0"/>
        <w:ind w:firstLine="562" w:firstLineChars="200"/>
        <w:rPr>
          <w:rFonts w:hint="eastAsia"/>
          <w:lang w:val="en-US" w:eastAsia="zh-CN"/>
        </w:rPr>
      </w:pPr>
      <w:bookmarkStart w:id="7" w:name="_Toc28744"/>
      <w:r>
        <w:rPr>
          <w:rFonts w:hint="eastAsia" w:ascii="Times New Roman" w:hAnsi="Times New Roman" w:eastAsia="宋体" w:cstheme="majorBidi"/>
          <w:b/>
          <w:color w:val="000000" w:themeColor="text1"/>
          <w:kern w:val="2"/>
          <w:sz w:val="28"/>
          <w:szCs w:val="40"/>
          <w:lang w:val="en-US" w:eastAsia="zh-CN" w:bidi="ar-SA"/>
          <w14:textFill>
            <w14:solidFill>
              <w14:schemeClr w14:val="tx1"/>
            </w14:solidFill>
          </w14:textFill>
        </w:rPr>
        <w:t>（一）</w:t>
      </w:r>
      <w:r>
        <w:rPr>
          <w:rFonts w:hint="eastAsia"/>
          <w:lang w:val="en-US" w:eastAsia="zh-CN"/>
        </w:rPr>
        <w:t>研究边界与数据基础</w:t>
      </w:r>
      <w:bookmarkEnd w:id="7"/>
    </w:p>
    <w:p w14:paraId="38ED88C0">
      <w:pPr>
        <w:bidi w:val="0"/>
        <w:rPr>
          <w:rFonts w:hint="default"/>
          <w:lang w:val="en-US" w:eastAsia="zh-CN"/>
        </w:rPr>
      </w:pPr>
      <w:r>
        <w:rPr>
          <w:rFonts w:hint="default"/>
          <w:lang w:val="en-US" w:eastAsia="zh-CN"/>
        </w:rPr>
        <w:t>2026年5月</w:t>
      </w:r>
      <w:r>
        <w:rPr>
          <w:rFonts w:hint="eastAsia"/>
          <w:lang w:val="en-US" w:eastAsia="zh-CN"/>
        </w:rPr>
        <w:t>，</w:t>
      </w:r>
      <w:r>
        <w:rPr>
          <w:rFonts w:hint="default"/>
          <w:lang w:val="en-US" w:eastAsia="zh-CN"/>
        </w:rPr>
        <w:t>全国网络安全标准化技术委员会</w:t>
      </w:r>
      <w:r>
        <w:rPr>
          <w:rFonts w:hint="eastAsia"/>
          <w:lang w:val="en-US" w:eastAsia="zh-CN"/>
        </w:rPr>
        <w:t>最新</w:t>
      </w:r>
      <w:r>
        <w:rPr>
          <w:rFonts w:hint="default"/>
          <w:lang w:val="en-US" w:eastAsia="zh-CN"/>
        </w:rPr>
        <w:t>发布</w:t>
      </w:r>
      <w:r>
        <w:rPr>
          <w:rFonts w:hint="eastAsia"/>
          <w:lang w:val="en-US" w:eastAsia="zh-CN"/>
        </w:rPr>
        <w:t>的</w:t>
      </w:r>
      <w:r>
        <w:rPr>
          <w:rFonts w:hint="default"/>
          <w:lang w:val="en-US" w:eastAsia="zh-CN"/>
        </w:rPr>
        <w:t>《人工智能应用伦理安全指引1.0》（TC260-005）</w:t>
      </w:r>
      <w:r>
        <w:rPr>
          <w:rFonts w:hint="eastAsia"/>
          <w:lang w:val="en-US" w:eastAsia="zh-CN"/>
        </w:rPr>
        <w:t>（以下简称“指引”）</w:t>
      </w:r>
      <w:r>
        <w:rPr>
          <w:rFonts w:hint="default"/>
          <w:lang w:val="en-US" w:eastAsia="zh-CN"/>
        </w:rPr>
        <w:t>旨在</w:t>
      </w:r>
      <w:r>
        <w:rPr>
          <w:rFonts w:hint="eastAsia"/>
          <w:lang w:val="en-US" w:eastAsia="zh-CN"/>
        </w:rPr>
        <w:t>统筹发展和安全</w:t>
      </w:r>
      <w:r>
        <w:rPr>
          <w:rFonts w:hint="default"/>
          <w:lang w:val="en-US" w:eastAsia="zh-CN"/>
        </w:rPr>
        <w:t>，提出了“造福人类、服务社会和可持续发展”的核心理念，将应用伦理安全要求贯穿人工智能应用全过程。《指引》概括了人工智能应用可能带来的六方面结构性影响：人类主导权影响、公共秩序影响、个体认知与社会价值影响、社会分化和歧视影响、生命健康与基本权益影响，以及可持续生态影响。在此基础上，《指引》确立了增进人类福祉、尊重生命权利、坚持公平公正、合理控制风险、保持公开透明、保护隐私安全、确保可控可信、敏捷共治和普惠共享九大伦理安全原则。《指引》的发布标志着AI伦理治理从原则倡导进入操作指引阶段，但如何将其识别的六大伦理安全影响转化为可量化、可比较的分析单元，如何在具体数据条件下开展实证评估，仍是亟待解决的问题。</w:t>
      </w:r>
    </w:p>
    <w:p w14:paraId="1C54A315">
      <w:pPr>
        <w:bidi w:val="0"/>
        <w:ind w:left="0" w:leftChars="0" w:firstLine="0" w:firstLineChars="0"/>
        <w:rPr>
          <w:rFonts w:hint="default"/>
          <w:lang w:val="en-US" w:eastAsia="zh-CN"/>
        </w:rPr>
      </w:pPr>
      <w:r>
        <w:rPr>
          <w:rFonts w:hint="default"/>
          <w:lang w:val="en-US" w:eastAsia="zh-CN"/>
        </w:rPr>
        <w:drawing>
          <wp:inline distT="0" distB="0" distL="114300" distR="114300">
            <wp:extent cx="5751195" cy="3704590"/>
            <wp:effectExtent l="0" t="0" r="0" b="0"/>
            <wp:docPr id="5" name="图片 5" descr="0d48ca5a699f1a9195adad17dbfd7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d48ca5a699f1a9195adad17dbfd7ccd"/>
                    <pic:cNvPicPr>
                      <a:picLocks noChangeAspect="1"/>
                    </pic:cNvPicPr>
                  </pic:nvPicPr>
                  <pic:blipFill>
                    <a:blip r:embed="rId12"/>
                    <a:srcRect t="14117"/>
                    <a:stretch>
                      <a:fillRect/>
                    </a:stretch>
                  </pic:blipFill>
                  <pic:spPr>
                    <a:xfrm>
                      <a:off x="0" y="0"/>
                      <a:ext cx="5751195" cy="3704590"/>
                    </a:xfrm>
                    <a:prstGeom prst="rect">
                      <a:avLst/>
                    </a:prstGeom>
                  </pic:spPr>
                </pic:pic>
              </a:graphicData>
            </a:graphic>
          </wp:inline>
        </w:drawing>
      </w:r>
    </w:p>
    <w:p w14:paraId="6823101C">
      <w:pPr>
        <w:bidi w:val="0"/>
        <w:ind w:left="0" w:leftChars="0" w:firstLine="0" w:firstLineChars="0"/>
        <w:jc w:val="center"/>
        <w:rPr>
          <w:rFonts w:hint="default"/>
          <w:lang w:val="en-US" w:eastAsia="zh-CN"/>
        </w:rPr>
      </w:pPr>
      <w:r>
        <w:rPr>
          <w:rFonts w:hint="eastAsia"/>
          <w:sz w:val="21"/>
          <w:szCs w:val="20"/>
          <w:lang w:val="en-US" w:eastAsia="zh-CN"/>
        </w:rPr>
        <w:t xml:space="preserve">图2-1 </w:t>
      </w:r>
      <w:r>
        <w:rPr>
          <w:rFonts w:hint="default"/>
          <w:sz w:val="21"/>
          <w:szCs w:val="20"/>
          <w:lang w:val="en-US" w:eastAsia="zh-CN"/>
        </w:rPr>
        <w:t>《人工智能应用伦理安全指引1.0》</w:t>
      </w:r>
      <w:r>
        <w:rPr>
          <w:rFonts w:hint="eastAsia"/>
          <w:sz w:val="21"/>
          <w:szCs w:val="20"/>
          <w:lang w:val="en-US" w:eastAsia="zh-CN"/>
        </w:rPr>
        <w:t>内涵解读</w:t>
      </w:r>
    </w:p>
    <w:p w14:paraId="6D171F66">
      <w:pPr>
        <w:bidi w:val="0"/>
        <w:rPr>
          <w:rFonts w:hint="default"/>
          <w:lang w:val="en-US" w:eastAsia="zh-CN"/>
        </w:rPr>
      </w:pPr>
      <w:r>
        <w:rPr>
          <w:rFonts w:hint="default"/>
          <w:lang w:val="en-US" w:eastAsia="zh-CN"/>
        </w:rPr>
        <w:t>在政策框架与实证需求交汇的背景下，本研究</w:t>
      </w:r>
      <w:r>
        <w:rPr>
          <w:rFonts w:hint="eastAsia"/>
          <w:lang w:val="en-US" w:eastAsia="zh-CN"/>
        </w:rPr>
        <w:t>考虑</w:t>
      </w:r>
      <w:r>
        <w:rPr>
          <w:rFonts w:hint="default"/>
          <w:lang w:val="en-US" w:eastAsia="zh-CN"/>
        </w:rPr>
        <w:t>数据可得性</w:t>
      </w:r>
      <w:r>
        <w:rPr>
          <w:rFonts w:hint="eastAsia"/>
          <w:lang w:val="en-US" w:eastAsia="zh-CN"/>
        </w:rPr>
        <w:t>，使用</w:t>
      </w:r>
      <w:r>
        <w:rPr>
          <w:rFonts w:hint="default"/>
          <w:lang w:val="en-US" w:eastAsia="zh-CN"/>
        </w:rPr>
        <w:t>国家基础学科公共科学数据中心发布的“新一代人工智能重点领域伦理风险评估数据集”</w:t>
      </w:r>
      <w:r>
        <w:rPr>
          <w:rFonts w:hint="eastAsia"/>
          <w:lang w:val="en-US" w:eastAsia="zh-CN"/>
        </w:rPr>
        <w:t>。</w:t>
      </w:r>
      <w:r>
        <w:rPr>
          <w:rFonts w:hint="default"/>
          <w:lang w:val="en-US" w:eastAsia="zh-CN"/>
        </w:rPr>
        <w:t>该数据集由中国科学技术信息研究所创建，</w:t>
      </w:r>
      <w:r>
        <w:rPr>
          <w:rFonts w:hint="eastAsia"/>
          <w:lang w:val="en-US" w:eastAsia="zh-CN"/>
        </w:rPr>
        <w:t>是</w:t>
      </w:r>
      <w:r>
        <w:rPr>
          <w:rFonts w:hint="default"/>
          <w:lang w:val="en-US" w:eastAsia="zh-CN"/>
        </w:rPr>
        <w:t>目前</w:t>
      </w:r>
      <w:r>
        <w:rPr>
          <w:rFonts w:hint="eastAsia"/>
          <w:lang w:val="en-US" w:eastAsia="zh-CN"/>
        </w:rPr>
        <w:t>唯一的国家级的</w:t>
      </w:r>
      <w:r>
        <w:rPr>
          <w:rFonts w:hint="default"/>
          <w:lang w:val="en-US" w:eastAsia="zh-CN"/>
        </w:rPr>
        <w:t>公开可获取的、与AI伦理风险直接相关的系统性数据，包含在百度、谷歌、微博、中国知网、Web of Science五个平台收集的AI伦理风险相关文本词频统计，以及在问卷星平台面向专家和公众发放的大规模问卷数据。</w:t>
      </w:r>
      <w:r>
        <w:rPr>
          <w:rFonts w:hint="eastAsia"/>
          <w:lang w:val="en-US" w:eastAsia="zh-CN"/>
        </w:rPr>
        <w:t>根据数据集的结构</w:t>
      </w:r>
      <w:r>
        <w:rPr>
          <w:rFonts w:hint="default"/>
          <w:lang w:val="en-US" w:eastAsia="zh-CN"/>
        </w:rPr>
        <w:t>，本文选择</w:t>
      </w:r>
      <w:r>
        <w:rPr>
          <w:rFonts w:hint="default"/>
          <w:b w:val="0"/>
          <w:bCs w:val="0"/>
          <w:lang w:val="en-US" w:eastAsia="zh-CN"/>
        </w:rPr>
        <w:t>个性化算法、机器视觉、自动驾驶和服务机器人四个重点领域</w:t>
      </w:r>
      <w:r>
        <w:rPr>
          <w:rFonts w:hint="eastAsia"/>
          <w:b w:val="0"/>
          <w:bCs w:val="0"/>
          <w:lang w:val="en-US" w:eastAsia="zh-CN"/>
        </w:rPr>
        <w:t>，对</w:t>
      </w:r>
      <w:r>
        <w:rPr>
          <w:rFonts w:hint="default"/>
          <w:b w:val="0"/>
          <w:bCs w:val="0"/>
          <w:lang w:val="en-US" w:eastAsia="zh-CN"/>
        </w:rPr>
        <w:t>决策不自主受控</w:t>
      </w:r>
      <w:r>
        <w:rPr>
          <w:rFonts w:hint="eastAsia"/>
          <w:b w:val="0"/>
          <w:bCs w:val="0"/>
          <w:lang w:val="en-US" w:eastAsia="zh-CN"/>
        </w:rPr>
        <w:t>、</w:t>
      </w:r>
      <w:r>
        <w:rPr>
          <w:rFonts w:hint="default"/>
          <w:b w:val="0"/>
          <w:bCs w:val="0"/>
          <w:lang w:val="en-US" w:eastAsia="zh-CN"/>
        </w:rPr>
        <w:t>侵犯</w:t>
      </w:r>
      <w:r>
        <w:rPr>
          <w:rFonts w:hint="default"/>
          <w:lang w:val="en-US" w:eastAsia="zh-CN"/>
        </w:rPr>
        <w:t>隐私</w:t>
      </w:r>
      <w:r>
        <w:rPr>
          <w:rFonts w:hint="eastAsia"/>
          <w:lang w:val="en-US" w:eastAsia="zh-CN"/>
        </w:rPr>
        <w:t>、</w:t>
      </w:r>
      <w:r>
        <w:rPr>
          <w:rFonts w:hint="default"/>
          <w:lang w:val="en-US" w:eastAsia="zh-CN"/>
        </w:rPr>
        <w:t>加剧社会偏见或歧视</w:t>
      </w:r>
      <w:r>
        <w:rPr>
          <w:rFonts w:hint="eastAsia"/>
          <w:lang w:val="en-US" w:eastAsia="zh-CN"/>
        </w:rPr>
        <w:t>、</w:t>
      </w:r>
      <w:r>
        <w:rPr>
          <w:rFonts w:hint="default"/>
          <w:lang w:val="en-US" w:eastAsia="zh-CN"/>
        </w:rPr>
        <w:t>破坏社会公平</w:t>
      </w:r>
      <w:r>
        <w:rPr>
          <w:rFonts w:hint="eastAsia"/>
          <w:lang w:val="en-US" w:eastAsia="zh-CN"/>
        </w:rPr>
        <w:t>、</w:t>
      </w:r>
      <w:r>
        <w:rPr>
          <w:rFonts w:hint="default"/>
          <w:lang w:val="en-US" w:eastAsia="zh-CN"/>
        </w:rPr>
        <w:t>权责归属不清或失当</w:t>
      </w:r>
      <w:r>
        <w:rPr>
          <w:rFonts w:hint="eastAsia"/>
          <w:lang w:val="en-US" w:eastAsia="zh-CN"/>
        </w:rPr>
        <w:t>五个方面的伦理风险</w:t>
      </w:r>
      <w:r>
        <w:rPr>
          <w:rFonts w:hint="default"/>
          <w:lang w:val="en-US" w:eastAsia="zh-CN"/>
        </w:rPr>
        <w:fldChar w:fldCharType="begin"/>
      </w:r>
      <w:r>
        <w:rPr>
          <w:rFonts w:hint="default"/>
          <w:lang w:val="en-US" w:eastAsia="zh-CN"/>
        </w:rPr>
        <w:instrText xml:space="preserve"> HYPERLINK "https://www.cac.gov.cn/2026-05/23/c_1781107933166351.htm" \l "1" \t "https://chat.deepseek.com/a/chat/s/_blank" </w:instrText>
      </w:r>
      <w:r>
        <w:rPr>
          <w:rFonts w:hint="default"/>
          <w:lang w:val="en-US" w:eastAsia="zh-CN"/>
        </w:rPr>
        <w:fldChar w:fldCharType="separate"/>
      </w:r>
      <w:r>
        <w:rPr>
          <w:rFonts w:hint="default"/>
          <w:lang w:val="en-US" w:eastAsia="zh-CN"/>
        </w:rPr>
        <w:fldChar w:fldCharType="end"/>
      </w:r>
      <w:r>
        <w:rPr>
          <w:rFonts w:hint="eastAsia"/>
          <w:lang w:val="en-US" w:eastAsia="zh-CN"/>
        </w:rPr>
        <w:t>展开研究，构建20个“领域－风险”单元</w:t>
      </w:r>
      <w:r>
        <w:rPr>
          <w:rFonts w:hint="default"/>
          <w:lang w:val="en-US" w:eastAsia="zh-CN"/>
        </w:rPr>
        <w:t>。</w:t>
      </w:r>
    </w:p>
    <w:p w14:paraId="73214430">
      <w:pPr>
        <w:bidi w:val="0"/>
        <w:rPr>
          <w:rFonts w:hint="eastAsia"/>
          <w:lang w:val="en-US" w:eastAsia="zh-CN"/>
        </w:rPr>
      </w:pPr>
      <w:r>
        <w:rPr>
          <w:rFonts w:hint="eastAsia"/>
          <w:lang w:val="en-US" w:eastAsia="zh-CN"/>
        </w:rPr>
        <w:t>为了研究科创企业的AI伦理风险，本文进一步构建了科创企业AI治理水平数据集，样本为146家科创板上市企业。企业专利数据来源于中知慧海知识产权大数据与智慧服务系统，共获取专利数据86602条，专利申请年份跨度为2006至2026年；企业年报AI词频数据来源于国泰安（CSMAR）数据库，时间区间为2019至2025年。专利数据反映企业实际的技术布局，年报词频反映企业的战略关注和治理意识，实现了科创企业AI硬实力与软实力的结合。</w:t>
      </w:r>
    </w:p>
    <w:p w14:paraId="1CCD85AB">
      <w:pPr>
        <w:pStyle w:val="4"/>
        <w:numPr>
          <w:ilvl w:val="0"/>
          <w:numId w:val="0"/>
        </w:numPr>
        <w:bidi w:val="0"/>
        <w:ind w:left="0" w:leftChars="0" w:firstLine="562" w:firstLineChars="200"/>
        <w:rPr>
          <w:rFonts w:hint="default"/>
        </w:rPr>
      </w:pPr>
      <w:bookmarkStart w:id="8" w:name="_Toc7651"/>
      <w:r>
        <w:rPr>
          <w:rFonts w:hint="eastAsia" w:ascii="Times New Roman" w:hAnsi="Times New Roman" w:eastAsia="宋体" w:cstheme="majorBidi"/>
          <w:b/>
          <w:color w:val="000000" w:themeColor="text1"/>
          <w:kern w:val="2"/>
          <w:sz w:val="28"/>
          <w:szCs w:val="40"/>
          <w:lang w:val="en-US" w:eastAsia="zh-CN" w:bidi="ar-SA"/>
          <w14:textFill>
            <w14:solidFill>
              <w14:schemeClr w14:val="tx1"/>
            </w14:solidFill>
          </w14:textFill>
        </w:rPr>
        <w:t>（</w:t>
      </w:r>
      <w:r>
        <w:rPr>
          <w:rFonts w:hint="eastAsia" w:cstheme="majorBidi"/>
          <w:b/>
          <w:color w:val="000000" w:themeColor="text1"/>
          <w:kern w:val="2"/>
          <w:sz w:val="28"/>
          <w:szCs w:val="40"/>
          <w:lang w:val="en-US" w:eastAsia="zh-CN" w:bidi="ar-SA"/>
          <w14:textFill>
            <w14:solidFill>
              <w14:schemeClr w14:val="tx1"/>
            </w14:solidFill>
          </w14:textFill>
        </w:rPr>
        <w:t>二</w:t>
      </w:r>
      <w:r>
        <w:rPr>
          <w:rFonts w:hint="eastAsia" w:ascii="Times New Roman" w:hAnsi="Times New Roman" w:eastAsia="宋体" w:cstheme="majorBidi"/>
          <w:b/>
          <w:color w:val="000000" w:themeColor="text1"/>
          <w:kern w:val="2"/>
          <w:sz w:val="28"/>
          <w:szCs w:val="40"/>
          <w:lang w:val="en-US" w:eastAsia="zh-CN" w:bidi="ar-SA"/>
          <w14:textFill>
            <w14:solidFill>
              <w14:schemeClr w14:val="tx1"/>
            </w14:solidFill>
          </w14:textFill>
        </w:rPr>
        <w:t>）</w:t>
      </w:r>
      <w:r>
        <w:rPr>
          <w:rFonts w:hint="default"/>
        </w:rPr>
        <w:t>全链条</w:t>
      </w:r>
      <w:r>
        <w:rPr>
          <w:rFonts w:hint="eastAsia"/>
          <w:lang w:val="en-US" w:eastAsia="zh-CN"/>
        </w:rPr>
        <w:t>的研究框架</w:t>
      </w:r>
      <w:bookmarkEnd w:id="8"/>
    </w:p>
    <w:p w14:paraId="0DD0BC24">
      <w:pPr>
        <w:bidi w:val="0"/>
        <w:rPr>
          <w:rFonts w:hint="eastAsia"/>
          <w:lang w:eastAsia="zh-CN"/>
        </w:rPr>
      </w:pPr>
      <w:commentRangeStart w:id="1"/>
      <w:r>
        <w:rPr>
          <w:rFonts w:hint="default"/>
        </w:rPr>
        <w:t>在明确数据约束和研究边界的基础上，本研究构建了“风险识别—风险评估—风险管理—数字化转化”</w:t>
      </w:r>
      <w:r>
        <w:rPr>
          <w:rFonts w:hint="eastAsia"/>
          <w:lang w:val="en-US" w:eastAsia="zh-CN"/>
        </w:rPr>
        <w:t>的</w:t>
      </w:r>
      <w:r>
        <w:rPr>
          <w:rFonts w:hint="default"/>
        </w:rPr>
        <w:t>研究框架</w:t>
      </w:r>
      <w:commentRangeEnd w:id="1"/>
      <w:r>
        <w:commentReference w:id="1"/>
      </w:r>
      <w:r>
        <w:rPr>
          <w:rFonts w:hint="eastAsia"/>
          <w:lang w:eastAsia="zh-CN"/>
        </w:rPr>
        <w:t>。</w:t>
      </w:r>
    </w:p>
    <w:p w14:paraId="75D2DAFE">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751830" cy="3608705"/>
            <wp:effectExtent l="0" t="0" r="0" b="0"/>
            <wp:docPr id="12" name="图片 12" descr="97ce84aa-ace6-4a1b-8ba9-b1d86ffb8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7ce84aa-ace6-4a1b-8ba9-b1d86ffb8f53"/>
                    <pic:cNvPicPr>
                      <a:picLocks noChangeAspect="1"/>
                    </pic:cNvPicPr>
                  </pic:nvPicPr>
                  <pic:blipFill>
                    <a:blip r:embed="rId13"/>
                    <a:srcRect t="11328"/>
                    <a:stretch>
                      <a:fillRect/>
                    </a:stretch>
                  </pic:blipFill>
                  <pic:spPr>
                    <a:xfrm>
                      <a:off x="0" y="0"/>
                      <a:ext cx="5751830" cy="3608705"/>
                    </a:xfrm>
                    <a:prstGeom prst="rect">
                      <a:avLst/>
                    </a:prstGeom>
                  </pic:spPr>
                </pic:pic>
              </a:graphicData>
            </a:graphic>
          </wp:inline>
        </w:drawing>
      </w:r>
    </w:p>
    <w:p w14:paraId="4B346B91">
      <w:pPr>
        <w:bidi w:val="0"/>
        <w:ind w:left="0" w:leftChars="0" w:firstLine="0" w:firstLineChars="0"/>
        <w:jc w:val="center"/>
        <w:rPr>
          <w:rFonts w:hint="eastAsia" w:eastAsia="宋体"/>
          <w:lang w:eastAsia="zh-CN"/>
        </w:rPr>
      </w:pPr>
      <w:r>
        <w:rPr>
          <w:rFonts w:hint="eastAsia"/>
          <w:sz w:val="21"/>
          <w:szCs w:val="20"/>
          <w:lang w:val="en-US" w:eastAsia="zh-CN"/>
        </w:rPr>
        <w:t>图2-2 AI伦理风险的全链条研究框架</w:t>
      </w:r>
    </w:p>
    <w:p w14:paraId="6C3B1BB3">
      <w:pPr>
        <w:bidi w:val="0"/>
        <w:rPr>
          <w:rFonts w:hint="default"/>
        </w:rPr>
      </w:pPr>
      <w:r>
        <w:rPr>
          <w:rFonts w:hint="eastAsia"/>
          <w:lang w:val="en-US" w:eastAsia="zh-CN"/>
        </w:rPr>
        <w:t>第一步是</w:t>
      </w:r>
      <w:r>
        <w:rPr>
          <w:rFonts w:hint="default"/>
        </w:rPr>
        <w:t>AI伦理风险的识别与优先级排序。 针对四个AI应用领域中五类伦理风险共20个分析单元，综合利用公开舆情的词频统计和专家、公众的问卷判断两类数据，构建ERS（Ethical Risk Score）评分模型。模型由三个子模块构成：ERM</w:t>
      </w:r>
      <w:r>
        <w:rPr>
          <w:rFonts w:ascii="Times New Roman" w:hAnsi="Times New Roman" w:eastAsia="宋体" w:cs="Times New Roman"/>
          <w:color w:val="0F1115"/>
          <w:kern w:val="0"/>
          <w:sz w:val="24"/>
          <w:szCs w:val="24"/>
          <w:shd w:val="clear" w:color="auto" w:fill="FFFFFF"/>
        </w:rPr>
        <w:t>（Evidence-based</w:t>
      </w:r>
      <w:r>
        <w:rPr>
          <w:rFonts w:hint="eastAsia" w:cs="Times New Roman"/>
          <w:color w:val="0F1115"/>
          <w:kern w:val="0"/>
          <w:sz w:val="24"/>
          <w:szCs w:val="24"/>
          <w:shd w:val="clear" w:color="auto" w:fill="FFFFFF"/>
          <w:lang w:val="en-US" w:eastAsia="zh-CN"/>
        </w:rPr>
        <w:t xml:space="preserve"> </w:t>
      </w:r>
      <w:r>
        <w:rPr>
          <w:rFonts w:ascii="Times New Roman" w:hAnsi="Times New Roman" w:eastAsia="宋体" w:cs="Times New Roman"/>
          <w:color w:val="0F1115"/>
          <w:kern w:val="0"/>
          <w:sz w:val="24"/>
          <w:szCs w:val="24"/>
          <w:shd w:val="clear" w:color="auto" w:fill="FFFFFF"/>
        </w:rPr>
        <w:t>Risk</w:t>
      </w:r>
      <w:r>
        <w:rPr>
          <w:rFonts w:hint="eastAsia" w:cs="Times New Roman"/>
          <w:color w:val="0F1115"/>
          <w:kern w:val="0"/>
          <w:sz w:val="24"/>
          <w:szCs w:val="24"/>
          <w:shd w:val="clear" w:color="auto" w:fill="FFFFFF"/>
          <w:lang w:val="en-US" w:eastAsia="zh-CN"/>
        </w:rPr>
        <w:t xml:space="preserve"> </w:t>
      </w:r>
      <w:r>
        <w:rPr>
          <w:rFonts w:ascii="Times New Roman" w:hAnsi="Times New Roman" w:eastAsia="宋体" w:cs="Times New Roman"/>
          <w:color w:val="0F1115"/>
          <w:kern w:val="0"/>
          <w:sz w:val="24"/>
          <w:szCs w:val="24"/>
          <w:shd w:val="clear" w:color="auto" w:fill="FFFFFF"/>
        </w:rPr>
        <w:t>Measure）</w:t>
      </w:r>
      <w:r>
        <w:rPr>
          <w:rFonts w:hint="eastAsia"/>
          <w:lang w:val="en-US" w:eastAsia="zh-CN"/>
        </w:rPr>
        <w:t>是</w:t>
      </w:r>
      <w:r>
        <w:rPr>
          <w:rFonts w:hint="default"/>
        </w:rPr>
        <w:t>证据风险度量</w:t>
      </w:r>
      <w:r>
        <w:rPr>
          <w:rFonts w:hint="eastAsia"/>
          <w:lang w:eastAsia="zh-CN"/>
        </w:rPr>
        <w:t>，</w:t>
      </w:r>
      <w:r>
        <w:rPr>
          <w:rFonts w:hint="default"/>
        </w:rPr>
        <w:t>基于模糊推理系统将公开证据所揭示的风险结构转化为风险度量值；WoI</w:t>
      </w:r>
      <w:r>
        <w:rPr>
          <w:rFonts w:ascii="Times New Roman" w:hAnsi="Times New Roman" w:eastAsia="宋体" w:cs="Times New Roman"/>
          <w:color w:val="0F1115"/>
          <w:kern w:val="0"/>
          <w:sz w:val="24"/>
          <w:szCs w:val="24"/>
          <w:shd w:val="clear" w:color="auto" w:fill="FFFFFF"/>
        </w:rPr>
        <w:t>（Weight</w:t>
      </w:r>
      <w:r>
        <w:rPr>
          <w:rFonts w:hint="eastAsia" w:cs="Times New Roman"/>
          <w:color w:val="0F1115"/>
          <w:kern w:val="0"/>
          <w:sz w:val="24"/>
          <w:szCs w:val="24"/>
          <w:shd w:val="clear" w:color="auto" w:fill="FFFFFF"/>
          <w:lang w:val="en-US" w:eastAsia="zh-CN"/>
        </w:rPr>
        <w:t xml:space="preserve"> </w:t>
      </w:r>
      <w:r>
        <w:rPr>
          <w:rFonts w:ascii="Times New Roman" w:hAnsi="Times New Roman" w:eastAsia="宋体" w:cs="Times New Roman"/>
          <w:color w:val="0F1115"/>
          <w:kern w:val="0"/>
          <w:sz w:val="24"/>
          <w:szCs w:val="24"/>
          <w:shd w:val="clear" w:color="auto" w:fill="FFFFFF"/>
        </w:rPr>
        <w:t>of</w:t>
      </w:r>
      <w:r>
        <w:rPr>
          <w:rFonts w:hint="eastAsia" w:cs="Times New Roman"/>
          <w:color w:val="0F1115"/>
          <w:kern w:val="0"/>
          <w:sz w:val="24"/>
          <w:szCs w:val="24"/>
          <w:shd w:val="clear" w:color="auto" w:fill="FFFFFF"/>
          <w:lang w:val="en-US" w:eastAsia="zh-CN"/>
        </w:rPr>
        <w:t xml:space="preserve"> </w:t>
      </w:r>
      <w:r>
        <w:rPr>
          <w:rFonts w:ascii="Times New Roman" w:hAnsi="Times New Roman" w:eastAsia="宋体" w:cs="Times New Roman"/>
          <w:color w:val="0F1115"/>
          <w:kern w:val="0"/>
          <w:sz w:val="24"/>
          <w:szCs w:val="24"/>
          <w:shd w:val="clear" w:color="auto" w:fill="FFFFFF"/>
        </w:rPr>
        <w:t>Importance）</w:t>
      </w:r>
      <w:r>
        <w:rPr>
          <w:rFonts w:hint="eastAsia"/>
          <w:lang w:val="en-US" w:eastAsia="zh-CN"/>
        </w:rPr>
        <w:t>是</w:t>
      </w:r>
      <w:r>
        <w:rPr>
          <w:rFonts w:hint="default"/>
        </w:rPr>
        <w:t>重要性权重</w:t>
      </w:r>
      <w:r>
        <w:rPr>
          <w:rFonts w:hint="eastAsia"/>
          <w:lang w:eastAsia="zh-CN"/>
        </w:rPr>
        <w:t>，</w:t>
      </w:r>
      <w:r>
        <w:rPr>
          <w:rFonts w:hint="default"/>
        </w:rPr>
        <w:t>采用模糊层次分析法（FAHP）处理专家和公众对风险重要性的判断；CF</w:t>
      </w:r>
      <w:r>
        <w:rPr>
          <w:rFonts w:ascii="Times New Roman" w:hAnsi="Times New Roman" w:eastAsia="宋体" w:cs="Times New Roman"/>
          <w:color w:val="0F1115"/>
          <w:kern w:val="0"/>
          <w:sz w:val="24"/>
          <w:szCs w:val="24"/>
          <w:shd w:val="clear" w:color="auto" w:fill="FFFFFF"/>
        </w:rPr>
        <w:t>（Confidence</w:t>
      </w:r>
      <w:r>
        <w:rPr>
          <w:rFonts w:hint="eastAsia" w:cs="Times New Roman"/>
          <w:color w:val="0F1115"/>
          <w:kern w:val="0"/>
          <w:sz w:val="24"/>
          <w:szCs w:val="24"/>
          <w:shd w:val="clear" w:color="auto" w:fill="FFFFFF"/>
          <w:lang w:val="en-US" w:eastAsia="zh-CN"/>
        </w:rPr>
        <w:t xml:space="preserve"> </w:t>
      </w:r>
      <w:r>
        <w:rPr>
          <w:rFonts w:ascii="Times New Roman" w:hAnsi="Times New Roman" w:eastAsia="宋体" w:cs="Times New Roman"/>
          <w:color w:val="0F1115"/>
          <w:kern w:val="0"/>
          <w:sz w:val="24"/>
          <w:szCs w:val="24"/>
          <w:shd w:val="clear" w:color="auto" w:fill="FFFFFF"/>
        </w:rPr>
        <w:t>Factor）</w:t>
      </w:r>
      <w:r>
        <w:rPr>
          <w:rFonts w:hint="eastAsia"/>
          <w:lang w:val="en-US" w:eastAsia="zh-CN"/>
        </w:rPr>
        <w:t>是</w:t>
      </w:r>
      <w:r>
        <w:rPr>
          <w:rFonts w:hint="default"/>
        </w:rPr>
        <w:t>置信因子</w:t>
      </w:r>
      <w:r>
        <w:rPr>
          <w:rFonts w:hint="eastAsia"/>
          <w:lang w:eastAsia="zh-CN"/>
        </w:rPr>
        <w:t>，</w:t>
      </w:r>
      <w:r>
        <w:rPr>
          <w:rFonts w:hint="default"/>
        </w:rPr>
        <w:t>对证据的数量充分度和来源多样性进行修正。三者的乘积形成各“领域—风险”组合的ERS评分，回答“哪些风险更值得优先关注”的问题，为风险管理资源的配置提供优先级参考。</w:t>
      </w:r>
    </w:p>
    <w:p w14:paraId="5AFF9D31">
      <w:pPr>
        <w:bidi w:val="0"/>
        <w:rPr>
          <w:rFonts w:hint="default"/>
        </w:rPr>
      </w:pPr>
      <w:r>
        <w:rPr>
          <w:rFonts w:hint="eastAsia"/>
          <w:lang w:val="en-US" w:eastAsia="zh-CN"/>
        </w:rPr>
        <w:t>第二步是科创</w:t>
      </w:r>
      <w:r>
        <w:rPr>
          <w:rFonts w:hint="default"/>
        </w:rPr>
        <w:t>企业的风险评估与分类。 领域层面的风险优先级需要落到具体企业。本研究从</w:t>
      </w:r>
      <w:r>
        <w:rPr>
          <w:rFonts w:hint="eastAsia"/>
          <w:lang w:val="en-US" w:eastAsia="zh-CN"/>
        </w:rPr>
        <w:t>科创</w:t>
      </w:r>
      <w:r>
        <w:rPr>
          <w:rFonts w:hint="default"/>
        </w:rPr>
        <w:t>企业AI专利布局和年报AI词频两个维度构造企业级指标——专利数据反映企业实际的技术布局，年报词频反映企业对AI的战略关注和治理意识。两个维度</w:t>
      </w:r>
      <w:r>
        <w:rPr>
          <w:rFonts w:hint="eastAsia"/>
          <w:lang w:val="en-US" w:eastAsia="zh-CN"/>
        </w:rPr>
        <w:t>加</w:t>
      </w:r>
      <w:r>
        <w:rPr>
          <w:rFonts w:hint="default"/>
        </w:rPr>
        <w:t>权合成“暴露倍数”指标，衡量</w:t>
      </w:r>
      <w:r>
        <w:rPr>
          <w:rFonts w:hint="eastAsia"/>
          <w:lang w:val="en-US" w:eastAsia="zh-CN"/>
        </w:rPr>
        <w:t>科创</w:t>
      </w:r>
      <w:r>
        <w:rPr>
          <w:rFonts w:hint="default"/>
        </w:rPr>
        <w:t>企业</w:t>
      </w:r>
      <w:r>
        <w:rPr>
          <w:rFonts w:hint="eastAsia"/>
          <w:lang w:val="en-US" w:eastAsia="zh-CN"/>
        </w:rPr>
        <w:t>相对行业平均水平的</w:t>
      </w:r>
      <w:r>
        <w:rPr>
          <w:rFonts w:hint="default"/>
        </w:rPr>
        <w:t>AI</w:t>
      </w:r>
      <w:r>
        <w:rPr>
          <w:rFonts w:hint="eastAsia"/>
          <w:lang w:val="en-US" w:eastAsia="zh-CN"/>
        </w:rPr>
        <w:t>伦理风险频率</w:t>
      </w:r>
      <w:r>
        <w:rPr>
          <w:rFonts w:hint="default"/>
        </w:rPr>
        <w:t>；同时将各领域的ERS评分加权汇总为“企业综合ERS”。以二者为坐标轴进行四象限划分，将146家科创板企业分为高暴露高ERS、低暴露高ERS、低暴露低ERS、高暴露低ERS四种类型，为差异化的风险管理提供截面依据。</w:t>
      </w:r>
    </w:p>
    <w:p w14:paraId="653B2620">
      <w:pPr>
        <w:bidi w:val="0"/>
        <w:rPr>
          <w:rFonts w:hint="default"/>
        </w:rPr>
      </w:pPr>
      <w:r>
        <w:rPr>
          <w:rFonts w:hint="eastAsia"/>
          <w:lang w:val="en-US" w:eastAsia="zh-CN"/>
        </w:rPr>
        <w:t>第三步是</w:t>
      </w:r>
      <w:r>
        <w:rPr>
          <w:rFonts w:hint="default"/>
        </w:rPr>
        <w:t>风险管理策略的匹配。 针对不同象限的风险特征，构建六维风险管理体系：风险自留、损失控制、风险分散、风险对冲、风险撤出和保险转移。六个维度构成从企业内部管理到市场化转移的完整处置链条，使风险评估的结论能够转化为可操作的管理行动。</w:t>
      </w:r>
    </w:p>
    <w:p w14:paraId="707C8B60">
      <w:pPr>
        <w:bidi w:val="0"/>
        <w:rPr>
          <w:rFonts w:hint="default"/>
        </w:rPr>
      </w:pPr>
      <w:r>
        <w:rPr>
          <w:rFonts w:hint="eastAsia"/>
          <w:lang w:val="en-US" w:eastAsia="zh-CN"/>
        </w:rPr>
        <w:t>第四步是</w:t>
      </w:r>
      <w:r>
        <w:rPr>
          <w:rFonts w:hint="default"/>
        </w:rPr>
        <w:t>研究成果的数字化转化平台</w:t>
      </w:r>
      <w:r>
        <w:rPr>
          <w:rFonts w:hint="eastAsia"/>
          <w:lang w:val="en-US" w:eastAsia="zh-CN"/>
        </w:rPr>
        <w:t>建设</w:t>
      </w:r>
      <w:r>
        <w:rPr>
          <w:rFonts w:hint="default"/>
        </w:rPr>
        <w:t>。 将ERS模型、四象限分析方法和六维风险管理体系集成搭建为“AI伦理风险智能识别与治理辅助平台”（</w:t>
      </w:r>
      <w:r>
        <w:rPr>
          <w:rFonts w:hint="default"/>
        </w:rPr>
        <w:fldChar w:fldCharType="begin"/>
      </w:r>
      <w:r>
        <w:rPr>
          <w:rFonts w:hint="default"/>
        </w:rPr>
        <w:instrText xml:space="preserve"> HYPERLINK "https://ai-risk-insurance-8drcv3rchhdfxgyxjjvuck.streamlit.app/" \t "https://chat.deepseek.com/a/chat/s/_blank" </w:instrText>
      </w:r>
      <w:r>
        <w:rPr>
          <w:rFonts w:hint="default"/>
        </w:rPr>
        <w:fldChar w:fldCharType="separate"/>
      </w:r>
      <w:r>
        <w:rPr>
          <w:rFonts w:hint="default"/>
        </w:rPr>
        <w:t>https://ai-risk-insurance-8drcv3rchhdfxgyxjjvuck.streamlit.app/</w:t>
      </w:r>
      <w:r>
        <w:rPr>
          <w:rFonts w:hint="default"/>
        </w:rPr>
        <w:fldChar w:fldCharType="end"/>
      </w:r>
      <w:r>
        <w:rPr>
          <w:rFonts w:hint="default"/>
        </w:rPr>
        <w:t>）。企业用户输入专利布局、年报AI词频等基础信息后，平台自动计算企业综合ERS评分并输出所属象限类型及风险管理建议；平台同时整合国内外AI伦理治理的政策法规与行业资讯，支持政策查询与动态追踪，实现了研究成果从理论框架到可交互工具的转化。</w:t>
      </w:r>
    </w:p>
    <w:p w14:paraId="4BF4AD21">
      <w:pPr>
        <w:pStyle w:val="4"/>
        <w:numPr>
          <w:ilvl w:val="0"/>
          <w:numId w:val="0"/>
        </w:numPr>
        <w:bidi w:val="0"/>
        <w:rPr>
          <w:rFonts w:hint="eastAsia"/>
          <w:lang w:val="en-US" w:eastAsia="zh-CN"/>
        </w:rPr>
      </w:pPr>
      <w:bookmarkStart w:id="9" w:name="_Toc4734"/>
      <w:r>
        <w:rPr>
          <w:rFonts w:hint="eastAsia"/>
          <w:lang w:val="en-US" w:eastAsia="zh-CN"/>
        </w:rPr>
        <w:t>（三）人工智能技术应用</w:t>
      </w:r>
      <w:bookmarkEnd w:id="9"/>
    </w:p>
    <w:p w14:paraId="7E298B11">
      <w:pPr>
        <w:pStyle w:val="5"/>
        <w:numPr>
          <w:ilvl w:val="0"/>
          <w:numId w:val="0"/>
        </w:numPr>
        <w:bidi w:val="0"/>
        <w:ind w:left="0" w:leftChars="0" w:firstLine="482" w:firstLineChars="200"/>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1．</w:t>
      </w:r>
      <w:r>
        <w:rPr>
          <w:rFonts w:hint="default"/>
        </w:rPr>
        <w:t>通义千问大模型在专利分类与智能平台中的应用</w:t>
      </w:r>
    </w:p>
    <w:p w14:paraId="554F04EB">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rPr>
      </w:pPr>
      <w:r>
        <w:rPr>
          <w:rFonts w:hint="default"/>
        </w:rPr>
        <w:t>本研究统一采用通义千问大模型完成数据处理与平台服务两项任务。在专利分类环节，使用通义千问对86602条专利的标题、摘要与IPC分类号进行语义理解与自动归类，划分为机器视觉、服务机器人、个性化算法和自动驾驶四个领域。大模型通过对上下文的深度理解，有效解决了传统关键词匹配难以覆盖同义表述和跨领域交叉技术的问题，分类结果经人工核验，为后续风险暴露指标构建提供了数据基础。在平台服务环节，本研究构建了AI伦理风险智能识别与管理平台</w:t>
      </w:r>
      <w:r>
        <w:rPr>
          <w:rFonts w:hint="eastAsia"/>
          <w:lang w:eastAsia="zh-CN"/>
        </w:rPr>
        <w:t>（https://ai-risk-insurance-8drcv3rchhdfxgyxjjvuck.streamlit.app/）</w:t>
      </w:r>
      <w:r>
        <w:rPr>
          <w:rFonts w:hint="default"/>
        </w:rPr>
        <w:t>，以通义千问为智能引擎，采用RAG架构实现知识增强。用户输入分析请求后，系统从向量数据库检索相关文档，连同用户输入一并提交给通义千问生成回答，使输出可追溯、可验证。平台在系统提示词中嵌入了严格的事实边界约束，确保模型不臆造用户未提供的信息，已支持四个重点领域的伦理风险识别与管理建议生成。</w:t>
      </w:r>
    </w:p>
    <w:p w14:paraId="1A6FC603">
      <w:pPr>
        <w:pStyle w:val="5"/>
        <w:numPr>
          <w:ilvl w:val="0"/>
          <w:numId w:val="0"/>
        </w:numPr>
        <w:bidi w:val="0"/>
        <w:ind w:left="0" w:leftChars="0" w:firstLine="482" w:firstLineChars="200"/>
        <w:rPr>
          <w:rFonts w:hint="default"/>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2．</w:t>
      </w:r>
      <w:r>
        <w:rPr>
          <w:rFonts w:hint="default"/>
        </w:rPr>
        <w:t>模糊逻辑与层次分析法驱动的</w:t>
      </w:r>
      <w:r>
        <w:rPr>
          <w:rFonts w:hint="eastAsia"/>
          <w:lang w:val="en-US" w:eastAsia="zh-CN"/>
        </w:rPr>
        <w:t>AI伦理风险</w:t>
      </w:r>
      <w:r>
        <w:rPr>
          <w:rFonts w:hint="default"/>
        </w:rPr>
        <w:t>ERS评分模型</w:t>
      </w:r>
    </w:p>
    <w:p w14:paraId="41215B4A">
      <w:pPr>
        <w:bidi w:val="0"/>
        <w:rPr>
          <w:rFonts w:hint="eastAsia" w:eastAsia="宋体"/>
          <w:lang w:val="en-US" w:eastAsia="zh-CN"/>
        </w:rPr>
      </w:pPr>
      <w:r>
        <w:rPr>
          <w:rFonts w:hint="default"/>
        </w:rPr>
        <w:t>ERS评分模型融合了两种人工智能方法以应对伦理风险评估中的模糊性与不确定性。Mamdani型模糊推理系统用于证据风险度量（ERM）计算</w:t>
      </w:r>
      <w:r>
        <w:rPr>
          <w:rFonts w:hint="eastAsia"/>
          <w:lang w:eastAsia="zh-CN"/>
        </w:rPr>
        <w:t>，</w:t>
      </w:r>
      <w:r>
        <w:rPr>
          <w:rFonts w:hint="default"/>
        </w:rPr>
        <w:t>以五类风险维度的结构占比为输入，通过模糊规则库和重心法解模糊化，将定性判断转化为[0,100]的量化风险值。模糊层次分析法（FAHP）用于风险重要性权重（WoI）计算</w:t>
      </w:r>
      <w:r>
        <w:rPr>
          <w:rFonts w:hint="eastAsia"/>
          <w:lang w:eastAsia="zh-CN"/>
        </w:rPr>
        <w:t>，</w:t>
      </w:r>
      <w:r>
        <w:rPr>
          <w:rFonts w:hint="default"/>
        </w:rPr>
        <w:t>将3134份有效问卷中收集的38960条两两比较判断表示为三角模糊数，经几何平均后构造模糊判断矩阵并计算权重。两组权重按5:1比例合成最终WoI</w:t>
      </w:r>
      <w:r>
        <w:rPr>
          <w:rFonts w:hint="eastAsia"/>
          <w:lang w:eastAsia="zh-CN"/>
        </w:rPr>
        <w:t>，</w:t>
      </w:r>
      <w:r>
        <w:rPr>
          <w:rFonts w:hint="eastAsia"/>
          <w:lang w:val="en-US" w:eastAsia="zh-CN"/>
        </w:rPr>
        <w:t>最终算得AI伦理风险ERS</w:t>
      </w:r>
      <w:r>
        <w:rPr>
          <w:rFonts w:hint="eastAsia"/>
          <w:lang w:eastAsia="zh-CN"/>
        </w:rPr>
        <w:t>。</w:t>
      </w:r>
    </w:p>
    <w:p w14:paraId="43623403">
      <w:pPr>
        <w:pStyle w:val="4"/>
        <w:numPr>
          <w:ilvl w:val="0"/>
          <w:numId w:val="12"/>
        </w:numPr>
        <w:bidi w:val="0"/>
        <w:rPr>
          <w:rFonts w:hint="eastAsia"/>
          <w:lang w:val="en-US" w:eastAsia="zh-CN"/>
        </w:rPr>
      </w:pPr>
      <w:bookmarkStart w:id="10" w:name="_Toc343"/>
      <w:r>
        <w:rPr>
          <w:rFonts w:hint="eastAsia"/>
          <w:lang w:val="en-US" w:eastAsia="zh-CN"/>
        </w:rPr>
        <w:t>风险研究创新点</w:t>
      </w:r>
      <w:bookmarkEnd w:id="10"/>
    </w:p>
    <w:p w14:paraId="0F1F2872">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1．</w:t>
      </w:r>
      <w:r>
        <w:rPr>
          <w:rFonts w:hint="default"/>
        </w:rPr>
        <w:t>构建了AI伦理风险的ERS量化评估模型</w:t>
      </w:r>
    </w:p>
    <w:p w14:paraId="6B9E119D">
      <w:pPr>
        <w:bidi w:val="0"/>
        <w:rPr>
          <w:rFonts w:hint="default"/>
        </w:rPr>
      </w:pPr>
      <w:r>
        <w:rPr>
          <w:rFonts w:hint="default"/>
        </w:rPr>
        <w:t>现有研究多采用定性讨论或单一数据源统计，难以处理公开舆情、专家判断和公众偏好这三类异质信息的系统融合。本研究的创新在于将伦理风险评估拆解为三个独立分量——ERM采用模糊推理系统替代线性加权处理伦理判断的模糊边界，WoI通过分层FAHP架构分别聚合专家与公众判断，CF以数量充分度与来源多样性的几何平均修正证据可靠性。三者乘积结构确保任一维度缺陷无法被其他维度补偿，使伦理风险优先级获得了可量化、可复现的排序依据。</w:t>
      </w:r>
    </w:p>
    <w:p w14:paraId="2224C025">
      <w:pPr>
        <w:pStyle w:val="5"/>
        <w:numPr>
          <w:ilvl w:val="0"/>
          <w:numId w:val="0"/>
        </w:numPr>
        <w:bidi w:val="0"/>
        <w:ind w:left="0" w:leftChars="0" w:firstLine="482" w:firstLineChars="200"/>
        <w:rPr>
          <w:rFonts w:hint="default"/>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2．</w:t>
      </w:r>
      <w:r>
        <w:rPr>
          <w:rFonts w:hint="default"/>
        </w:rPr>
        <w:t>构建了专利与词频驱动的企业风险双指标评估框架</w:t>
      </w:r>
    </w:p>
    <w:p w14:paraId="6C6D1B20">
      <w:pPr>
        <w:bidi w:val="0"/>
        <w:rPr>
          <w:rFonts w:hint="default"/>
        </w:rPr>
      </w:pPr>
      <w:r>
        <w:rPr>
          <w:rFonts w:hint="default"/>
        </w:rPr>
        <w:t>科创企业成立时间短、自身损失历史匮乏，传统损失分布法等依赖大样本历史数据的方法难以适用。本研究的创新在于放弃对传统财务损失数据的依赖，转而利用专利数据和年报词频数据作为替代性风险指标。根据两类数据的特性差异，暴露倍数采用词频主导、专利辅助衡量风险频率；企业综合ERS采用专利主导、词频辅助衡量风险严重性，并对词频暴露倍数进行对数压缩以处理右偏分布，实现了两类数据源的互补利用。</w:t>
      </w:r>
    </w:p>
    <w:p w14:paraId="20C5F3DA">
      <w:pPr>
        <w:pStyle w:val="5"/>
        <w:numPr>
          <w:ilvl w:val="0"/>
          <w:numId w:val="0"/>
        </w:numPr>
        <w:bidi w:val="0"/>
        <w:ind w:left="0" w:leftChars="0" w:firstLine="482" w:firstLineChars="200"/>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3．</w:t>
      </w:r>
      <w:r>
        <w:rPr>
          <w:rFonts w:hint="default"/>
        </w:rPr>
        <w:t>构建了四象限驱动的六维风险管理闭环体系</w:t>
      </w:r>
    </w:p>
    <w:p w14:paraId="645BF41D">
      <w:pPr>
        <w:bidi w:val="0"/>
        <w:rPr>
          <w:rFonts w:hint="default"/>
        </w:rPr>
      </w:pPr>
      <w:r>
        <w:rPr>
          <w:rFonts w:hint="default"/>
        </w:rPr>
        <w:t>现有AI伦理治理框架多停留于原则倡导，缺乏风险特征与管理工具之间的结构化匹配。本研究的创新在于依据</w:t>
      </w:r>
      <w:r>
        <w:rPr>
          <w:rFonts w:hint="eastAsia"/>
          <w:lang w:eastAsia="zh-CN"/>
        </w:rPr>
        <w:t>“</w:t>
      </w:r>
      <w:r>
        <w:rPr>
          <w:rFonts w:hint="default"/>
        </w:rPr>
        <w:t>频率—损失</w:t>
      </w:r>
      <w:r>
        <w:rPr>
          <w:rFonts w:hint="eastAsia"/>
          <w:lang w:eastAsia="zh-CN"/>
        </w:rPr>
        <w:t>”</w:t>
      </w:r>
      <w:r>
        <w:rPr>
          <w:rFonts w:hint="default"/>
        </w:rPr>
        <w:t>四象限精准配置六种管理工具：低频低损象限采用风险自留，通过AI伦理储备金和容忍度阈值实现内部消化；高频低损象限由损失控制、风险分散与风险自留协同应对；低频高损象限部署风险对冲与保险转移双重防线；高频高损或不可逆风险启动基于退出指数REI的分级撤出。六种工具与四象限形成映射，使企业能够依据自身风险分布特征逐级匹配管理措施。</w:t>
      </w:r>
    </w:p>
    <w:p w14:paraId="5F1D51C4">
      <w:pPr>
        <w:pStyle w:val="5"/>
        <w:numPr>
          <w:ilvl w:val="0"/>
          <w:numId w:val="0"/>
        </w:numPr>
        <w:bidi w:val="0"/>
        <w:ind w:left="0" w:leftChars="0" w:firstLine="482" w:firstLineChars="200"/>
        <w:rPr>
          <w:rFonts w:hint="default"/>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4．</w:t>
      </w:r>
      <w:r>
        <w:rPr>
          <w:rFonts w:hint="default"/>
        </w:rPr>
        <w:t>搭建了AI伦理风险智能识别与管理平台</w:t>
      </w:r>
    </w:p>
    <w:p w14:paraId="4C4BEF81">
      <w:pPr>
        <w:bidi w:val="0"/>
        <w:rPr>
          <w:rFonts w:hint="default"/>
        </w:rPr>
      </w:pPr>
      <w:r>
        <w:rPr>
          <w:rFonts w:hint="default"/>
        </w:rPr>
        <w:t>现有研究通常止步于论文发表，研究成果难以直接服务企业实践。本研究的贡献在于采用RAG架构使每次输出有可追溯的文档依据，通过系统提示词中的事实边界约束从工程层面抑制大模型</w:t>
      </w:r>
      <w:r>
        <w:rPr>
          <w:rFonts w:hint="eastAsia"/>
          <w:lang w:eastAsia="zh-CN"/>
        </w:rPr>
        <w:t>“</w:t>
      </w:r>
      <w:r>
        <w:rPr>
          <w:rFonts w:hint="default"/>
        </w:rPr>
        <w:t>幻觉</w:t>
      </w:r>
      <w:r>
        <w:rPr>
          <w:rFonts w:hint="eastAsia"/>
          <w:lang w:eastAsia="zh-CN"/>
        </w:rPr>
        <w:t>”</w:t>
      </w:r>
      <w:r>
        <w:rPr>
          <w:rFonts w:hint="default"/>
        </w:rPr>
        <w:t>，并按“已识别—潜在—未发现”三级分层输出避免过度解读。四个典型场景的测试验证了完整链路有效性，使ERS模型和六维管理体系获得了真实的用户交互场景与持续迭代的验证基础。</w:t>
      </w:r>
    </w:p>
    <w:p w14:paraId="5CD4ED9B">
      <w:pPr>
        <w:numPr>
          <w:ilvl w:val="0"/>
          <w:numId w:val="0"/>
        </w:numPr>
        <w:rPr>
          <w:rFonts w:hint="default"/>
          <w:lang w:val="en-US" w:eastAsia="zh-CN"/>
        </w:rPr>
      </w:pPr>
    </w:p>
    <w:p w14:paraId="7F4615BD">
      <w:pPr>
        <w:pStyle w:val="3"/>
        <w:bidi w:val="0"/>
        <w:rPr>
          <w:rFonts w:hint="eastAsia" w:eastAsia="宋体"/>
          <w:lang w:eastAsia="zh-CN"/>
        </w:rPr>
      </w:pPr>
      <w:bookmarkStart w:id="11" w:name="_Toc16381"/>
      <w:r>
        <w:rPr>
          <w:rFonts w:hint="eastAsia"/>
          <w:lang w:val="en-US" w:eastAsia="zh-CN"/>
        </w:rPr>
        <w:t>三、</w:t>
      </w:r>
      <w:r>
        <w:rPr>
          <w:rFonts w:hint="default"/>
        </w:rPr>
        <w:t>AI伦理风险的识别与</w:t>
      </w:r>
      <w:r>
        <w:rPr>
          <w:rFonts w:hint="eastAsia"/>
          <w:lang w:val="en-US" w:eastAsia="zh-CN"/>
        </w:rPr>
        <w:t>量化</w:t>
      </w:r>
      <w:bookmarkEnd w:id="11"/>
    </w:p>
    <w:p w14:paraId="3C466A86">
      <w:pPr>
        <w:pStyle w:val="4"/>
        <w:bidi w:val="0"/>
        <w:rPr>
          <w:rFonts w:hint="eastAsia" w:ascii="Times New Roman" w:hAnsi="Times New Roman" w:eastAsia="宋体"/>
          <w:lang w:eastAsia="zh-CN"/>
        </w:rPr>
      </w:pPr>
      <w:bookmarkStart w:id="12" w:name="_Toc20203"/>
      <w:r>
        <w:rPr>
          <w:rFonts w:hint="eastAsia" w:ascii="Times New Roman" w:hAnsi="Times New Roman" w:eastAsia="宋体"/>
          <w:lang w:eastAsia="zh-CN"/>
        </w:rPr>
        <w:t>（</w:t>
      </w:r>
      <w:r>
        <w:rPr>
          <w:rFonts w:hint="eastAsia" w:ascii="Times New Roman" w:hAnsi="Times New Roman" w:eastAsia="宋体"/>
          <w:lang w:val="en-US" w:eastAsia="zh-CN"/>
        </w:rPr>
        <w:t>一</w:t>
      </w:r>
      <w:r>
        <w:rPr>
          <w:rFonts w:hint="eastAsia" w:ascii="Times New Roman" w:hAnsi="Times New Roman" w:eastAsia="宋体"/>
          <w:lang w:eastAsia="zh-CN"/>
        </w:rPr>
        <w:t>）数据来源与描述性分析</w:t>
      </w:r>
      <w:bookmarkEnd w:id="12"/>
    </w:p>
    <w:p w14:paraId="4F1294B9">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本章使用的数据均</w:t>
      </w:r>
      <w:r>
        <w:rPr>
          <w:rFonts w:hint="eastAsia" w:ascii="Times New Roman" w:hAnsi="Times New Roman" w:eastAsia="宋体" w:cs="Times New Roman"/>
          <w:color w:val="0F1115"/>
          <w:kern w:val="0"/>
          <w:sz w:val="24"/>
          <w:szCs w:val="24"/>
          <w:shd w:val="clear" w:color="auto" w:fill="FFFFFF"/>
          <w:lang w:val="en-US" w:eastAsia="zh-CN"/>
        </w:rPr>
        <w:t>来源于</w:t>
      </w:r>
      <w:r>
        <w:rPr>
          <w:rFonts w:hint="eastAsia" w:cs="Times New Roman"/>
          <w:color w:val="0F1115"/>
          <w:kern w:val="0"/>
          <w:sz w:val="24"/>
          <w:szCs w:val="24"/>
          <w:shd w:val="clear" w:color="auto" w:fill="FFFFFF"/>
          <w:lang w:val="en-US" w:eastAsia="zh-CN"/>
        </w:rPr>
        <w:t>前述</w:t>
      </w:r>
      <w:r>
        <w:rPr>
          <w:rFonts w:ascii="Times New Roman" w:hAnsi="Times New Roman" w:eastAsia="宋体" w:cs="Times New Roman"/>
          <w:color w:val="0F1115"/>
          <w:kern w:val="0"/>
          <w:sz w:val="24"/>
          <w:szCs w:val="24"/>
          <w:shd w:val="clear" w:color="auto" w:fill="FFFFFF"/>
        </w:rPr>
        <w:t>国家基础学科公共科学数据中心发布的课题</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四个重点领域</w:t>
      </w:r>
      <w:r>
        <w:rPr>
          <w:rFonts w:hint="eastAsia" w:cs="Times New Roman"/>
          <w:color w:val="0F1115"/>
          <w:kern w:val="0"/>
          <w:sz w:val="24"/>
          <w:szCs w:val="24"/>
          <w:shd w:val="clear" w:color="auto" w:fill="FFFFFF"/>
          <w:lang w:eastAsia="zh-CN"/>
        </w:rPr>
        <w:t>AI</w:t>
      </w:r>
      <w:r>
        <w:rPr>
          <w:rFonts w:ascii="Times New Roman" w:hAnsi="Times New Roman" w:eastAsia="宋体" w:cs="Times New Roman"/>
          <w:color w:val="0F1115"/>
          <w:kern w:val="0"/>
          <w:sz w:val="24"/>
          <w:szCs w:val="24"/>
          <w:shd w:val="clear" w:color="auto" w:fill="FFFFFF"/>
        </w:rPr>
        <w:t>伦理风险评估数据</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。该数据集包含两部分：其一为词频统计数据，即在百度、谷歌、微博、中国知网、Web</w:t>
      </w:r>
      <w:r>
        <w:rPr>
          <w:rFonts w:hint="eastAsia" w:cs="Times New Roman"/>
          <w:color w:val="0F1115"/>
          <w:kern w:val="0"/>
          <w:sz w:val="24"/>
          <w:szCs w:val="24"/>
          <w:shd w:val="clear" w:color="auto" w:fill="FFFFFF"/>
          <w:lang w:val="en-US" w:eastAsia="zh-CN"/>
        </w:rPr>
        <w:t xml:space="preserve"> </w:t>
      </w:r>
      <w:r>
        <w:rPr>
          <w:rFonts w:ascii="Times New Roman" w:hAnsi="Times New Roman" w:eastAsia="宋体" w:cs="Times New Roman"/>
          <w:color w:val="0F1115"/>
          <w:kern w:val="0"/>
          <w:sz w:val="24"/>
          <w:szCs w:val="24"/>
          <w:shd w:val="clear" w:color="auto" w:fill="FFFFFF"/>
        </w:rPr>
        <w:t>of</w:t>
      </w:r>
      <w:r>
        <w:rPr>
          <w:rFonts w:hint="eastAsia" w:cs="Times New Roman"/>
          <w:color w:val="0F1115"/>
          <w:kern w:val="0"/>
          <w:sz w:val="24"/>
          <w:szCs w:val="24"/>
          <w:shd w:val="clear" w:color="auto" w:fill="FFFFFF"/>
          <w:lang w:val="en-US" w:eastAsia="zh-CN"/>
        </w:rPr>
        <w:t xml:space="preserve"> </w:t>
      </w:r>
      <w:r>
        <w:rPr>
          <w:rFonts w:ascii="Times New Roman" w:hAnsi="Times New Roman" w:eastAsia="宋体" w:cs="Times New Roman"/>
          <w:color w:val="0F1115"/>
          <w:kern w:val="0"/>
          <w:sz w:val="24"/>
          <w:szCs w:val="24"/>
          <w:shd w:val="clear" w:color="auto" w:fill="FFFFFF"/>
        </w:rPr>
        <w:t>Science五个平台</w:t>
      </w:r>
      <w:r>
        <w:rPr>
          <w:rFonts w:hint="eastAsia" w:cs="Times New Roman"/>
          <w:color w:val="0F1115"/>
          <w:kern w:val="0"/>
          <w:sz w:val="24"/>
          <w:szCs w:val="24"/>
          <w:shd w:val="clear" w:color="auto" w:fill="FFFFFF"/>
          <w:lang w:val="en-US" w:eastAsia="zh-CN"/>
        </w:rPr>
        <w:t>收集</w:t>
      </w:r>
      <w:r>
        <w:rPr>
          <w:rFonts w:ascii="Times New Roman" w:hAnsi="Times New Roman" w:eastAsia="宋体" w:cs="Times New Roman"/>
          <w:color w:val="0F1115"/>
          <w:kern w:val="0"/>
          <w:sz w:val="24"/>
          <w:szCs w:val="24"/>
          <w:shd w:val="clear" w:color="auto" w:fill="FFFFFF"/>
        </w:rPr>
        <w:t>的</w:t>
      </w:r>
      <w:r>
        <w:rPr>
          <w:rFonts w:hint="eastAsia" w:cs="Times New Roman"/>
          <w:color w:val="0F1115"/>
          <w:kern w:val="0"/>
          <w:sz w:val="24"/>
          <w:szCs w:val="24"/>
          <w:shd w:val="clear" w:color="auto" w:fill="FFFFFF"/>
          <w:lang w:eastAsia="zh-CN"/>
        </w:rPr>
        <w:t>AI</w:t>
      </w:r>
      <w:r>
        <w:rPr>
          <w:rFonts w:ascii="Times New Roman" w:hAnsi="Times New Roman" w:eastAsia="宋体" w:cs="Times New Roman"/>
          <w:color w:val="0F1115"/>
          <w:kern w:val="0"/>
          <w:sz w:val="24"/>
          <w:szCs w:val="24"/>
          <w:shd w:val="clear" w:color="auto" w:fill="FFFFFF"/>
        </w:rPr>
        <w:t>伦理风险相关文本，经人工标注得到的词频统计；其二为问卷数据，即在问卷星平台面向专家和公众发放的四个领域伦理风险问卷，经脱敏后提供。</w:t>
      </w:r>
    </w:p>
    <w:p w14:paraId="2BD4BD3A">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hint="eastAsia" w:ascii="Times New Roman" w:hAnsi="Times New Roman" w:eastAsia="宋体" w:cs="Times New Roman"/>
          <w:color w:val="0F1115"/>
          <w:kern w:val="0"/>
          <w:sz w:val="24"/>
          <w:szCs w:val="24"/>
          <w:shd w:val="clear" w:color="auto" w:fill="FFFFFF"/>
        </w:rPr>
        <w:t>词频统计数据</w:t>
      </w:r>
      <w:r>
        <w:rPr>
          <w:rFonts w:ascii="Times New Roman" w:hAnsi="Times New Roman" w:eastAsia="宋体" w:cs="Times New Roman"/>
          <w:color w:val="0F1115"/>
          <w:kern w:val="0"/>
          <w:sz w:val="24"/>
          <w:szCs w:val="24"/>
          <w:shd w:val="clear" w:color="auto" w:fill="FFFFFF"/>
        </w:rPr>
        <w:t>按</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领域—风险—来源</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整理为100个统计单元（4个领域×5类风险×5个来源），共得到4148条有效记录。问卷中的直接比较题和完整排序题统一转换为38960条两两判断。各领域的样本构成见表3-1，</w:t>
      </w:r>
      <w:r>
        <w:rPr>
          <w:rFonts w:hint="eastAsia" w:ascii="Times New Roman" w:hAnsi="Times New Roman" w:eastAsia="宋体" w:cs="Times New Roman"/>
          <w:color w:val="0F1115"/>
          <w:kern w:val="0"/>
          <w:sz w:val="24"/>
          <w:szCs w:val="24"/>
          <w:shd w:val="clear" w:color="auto" w:fill="FFFFFF"/>
        </w:rPr>
        <w:t>数据</w:t>
      </w:r>
      <w:r>
        <w:rPr>
          <w:rFonts w:ascii="Times New Roman" w:hAnsi="Times New Roman" w:eastAsia="宋体" w:cs="Times New Roman"/>
          <w:color w:val="0F1115"/>
          <w:kern w:val="0"/>
          <w:sz w:val="24"/>
          <w:szCs w:val="24"/>
          <w:shd w:val="clear" w:color="auto" w:fill="FFFFFF"/>
        </w:rPr>
        <w:t>来源和风险类型分布见表3-2。</w:t>
      </w:r>
    </w:p>
    <w:p w14:paraId="37626C28">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表3-</w:t>
      </w:r>
      <w:r>
        <w:rPr>
          <w:rFonts w:hint="eastAsia" w:ascii="Times New Roman" w:hAnsi="Times New Roman" w:eastAsia="宋体" w:cs="Times New Roman"/>
          <w:color w:val="0F1115"/>
          <w:kern w:val="0"/>
          <w:sz w:val="24"/>
          <w:szCs w:val="24"/>
          <w:shd w:val="clear" w:color="auto" w:fill="FFFFFF"/>
        </w:rPr>
        <w:t>1</w:t>
      </w:r>
      <w:r>
        <w:rPr>
          <w:rFonts w:ascii="Times New Roman" w:hAnsi="Times New Roman" w:eastAsia="宋体" w:cs="Times New Roman"/>
          <w:color w:val="0F1115"/>
          <w:kern w:val="0"/>
          <w:sz w:val="24"/>
          <w:szCs w:val="24"/>
          <w:shd w:val="clear" w:color="auto" w:fill="FFFFFF"/>
        </w:rPr>
        <w:t>显示</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四个领域</w:t>
      </w:r>
      <w:r>
        <w:rPr>
          <w:rFonts w:hint="eastAsia" w:ascii="Times New Roman" w:hAnsi="Times New Roman" w:eastAsia="宋体" w:cs="Times New Roman"/>
          <w:color w:val="0F1115"/>
          <w:kern w:val="0"/>
          <w:sz w:val="24"/>
          <w:szCs w:val="24"/>
          <w:shd w:val="clear" w:color="auto" w:fill="FFFFFF"/>
        </w:rPr>
        <w:t>的舆情数据都比较充分，</w:t>
      </w:r>
      <w:r>
        <w:rPr>
          <w:rFonts w:ascii="Times New Roman" w:hAnsi="Times New Roman" w:eastAsia="宋体" w:cs="Times New Roman"/>
          <w:color w:val="0F1115"/>
          <w:kern w:val="0"/>
          <w:sz w:val="24"/>
          <w:szCs w:val="24"/>
          <w:shd w:val="clear" w:color="auto" w:fill="FFFFFF"/>
        </w:rPr>
        <w:t>机器视觉的有效证据记录最多，占30.0%</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服务机器人相对较少，占18.5%，说明样本没有过度集中于某一个应用领域</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百度来源的记录占43.6%，百度、知网和微博三类来源合计占80.9%，表明</w:t>
      </w:r>
      <w:r>
        <w:rPr>
          <w:rFonts w:hint="eastAsia" w:ascii="Times New Roman" w:hAnsi="Times New Roman" w:eastAsia="宋体" w:cs="Times New Roman"/>
          <w:color w:val="0F1115"/>
          <w:kern w:val="0"/>
          <w:sz w:val="24"/>
          <w:szCs w:val="24"/>
          <w:shd w:val="clear" w:color="auto" w:fill="FFFFFF"/>
        </w:rPr>
        <w:t>数据</w:t>
      </w:r>
      <w:r>
        <w:rPr>
          <w:rFonts w:ascii="Times New Roman" w:hAnsi="Times New Roman" w:eastAsia="宋体" w:cs="Times New Roman"/>
          <w:color w:val="0F1115"/>
          <w:kern w:val="0"/>
          <w:sz w:val="24"/>
          <w:szCs w:val="24"/>
          <w:shd w:val="clear" w:color="auto" w:fill="FFFFFF"/>
        </w:rPr>
        <w:t>在来源上较为集中</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就风险类型而言，侵犯隐私与权责归属不清或失当合计占47.1%，是当前数据中记录较多的两类风险</w:t>
      </w:r>
      <w:r>
        <w:rPr>
          <w:rFonts w:hint="eastAsia" w:ascii="Times New Roman" w:hAnsi="Times New Roman" w:eastAsia="宋体" w:cs="Times New Roman"/>
          <w:color w:val="0F1115"/>
          <w:kern w:val="0"/>
          <w:sz w:val="24"/>
          <w:szCs w:val="24"/>
          <w:shd w:val="clear" w:color="auto" w:fill="FFFFFF"/>
        </w:rPr>
        <w:t>，表明数据</w:t>
      </w:r>
      <w:r>
        <w:rPr>
          <w:rFonts w:hint="eastAsia" w:cs="Times New Roman"/>
          <w:color w:val="0F1115"/>
          <w:kern w:val="0"/>
          <w:sz w:val="24"/>
          <w:szCs w:val="24"/>
          <w:shd w:val="clear" w:color="auto" w:fill="FFFFFF"/>
          <w:lang w:val="en-US" w:eastAsia="zh-CN"/>
        </w:rPr>
        <w:t>覆盖了</w:t>
      </w:r>
      <w:r>
        <w:rPr>
          <w:rFonts w:hint="eastAsia" w:ascii="Times New Roman" w:hAnsi="Times New Roman" w:eastAsia="宋体" w:cs="Times New Roman"/>
          <w:color w:val="0F1115"/>
          <w:kern w:val="0"/>
          <w:sz w:val="24"/>
          <w:szCs w:val="24"/>
          <w:shd w:val="clear" w:color="auto" w:fill="FFFFFF"/>
        </w:rPr>
        <w:t>相对</w:t>
      </w:r>
      <w:r>
        <w:rPr>
          <w:rFonts w:hint="eastAsia" w:cs="Times New Roman"/>
          <w:color w:val="0F1115"/>
          <w:kern w:val="0"/>
          <w:sz w:val="24"/>
          <w:szCs w:val="24"/>
          <w:shd w:val="clear" w:color="auto" w:fill="FFFFFF"/>
          <w:lang w:val="en-US" w:eastAsia="zh-CN"/>
        </w:rPr>
        <w:t>全面的风险类型</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因此，后续ERM计算先处理各来源内部的风险结构，再进行加权汇总，并使用CF修正来源多样性。</w:t>
      </w:r>
    </w:p>
    <w:p w14:paraId="0F9871EA">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表3-</w:t>
      </w:r>
      <w:r>
        <w:rPr>
          <w:rFonts w:hint="eastAsia" w:ascii="Times New Roman" w:hAnsi="Times New Roman" w:eastAsia="宋体" w:cs="Times New Roman"/>
          <w:color w:val="000000"/>
          <w:kern w:val="0"/>
          <w:sz w:val="21"/>
          <w:szCs w:val="21"/>
        </w:rPr>
        <w:t>1舆情数据</w:t>
      </w:r>
      <w:r>
        <w:rPr>
          <w:rFonts w:ascii="Times New Roman" w:hAnsi="Times New Roman" w:eastAsia="宋体" w:cs="Times New Roman"/>
          <w:color w:val="000000"/>
          <w:kern w:val="0"/>
          <w:sz w:val="21"/>
          <w:szCs w:val="21"/>
        </w:rPr>
        <w:t>来源与风险类型分布</w:t>
      </w:r>
    </w:p>
    <w:tbl>
      <w:tblPr>
        <w:tblStyle w:val="189"/>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5"/>
        <w:gridCol w:w="2767"/>
        <w:gridCol w:w="2685"/>
        <w:gridCol w:w="1974"/>
      </w:tblGrid>
      <w:tr w14:paraId="57B0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999" w:type="pct"/>
            <w:tcBorders>
              <w:top w:val="single" w:color="000000" w:sz="12" w:space="0"/>
              <w:left w:val="nil"/>
              <w:bottom w:val="single" w:color="000000" w:sz="4" w:space="0"/>
              <w:right w:val="nil"/>
              <w:tl2br w:val="nil"/>
            </w:tcBorders>
            <w:shd w:val="clear" w:color="auto" w:fill="FFFFFF"/>
            <w:vAlign w:val="center"/>
          </w:tcPr>
          <w:p w14:paraId="024C8F4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统计维度</w:t>
            </w:r>
          </w:p>
        </w:tc>
        <w:tc>
          <w:tcPr>
            <w:tcW w:w="1490" w:type="pct"/>
            <w:tcBorders>
              <w:top w:val="single" w:color="000000" w:sz="12" w:space="0"/>
              <w:left w:val="nil"/>
              <w:bottom w:val="single" w:color="000000" w:sz="4" w:space="0"/>
              <w:right w:val="nil"/>
            </w:tcBorders>
            <w:shd w:val="clear" w:color="auto" w:fill="FFFFFF"/>
            <w:vAlign w:val="center"/>
          </w:tcPr>
          <w:p w14:paraId="41E62B9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类别</w:t>
            </w:r>
          </w:p>
        </w:tc>
        <w:tc>
          <w:tcPr>
            <w:tcW w:w="1446" w:type="pct"/>
            <w:tcBorders>
              <w:top w:val="single" w:color="000000" w:sz="12" w:space="0"/>
              <w:left w:val="nil"/>
              <w:bottom w:val="single" w:color="000000" w:sz="4" w:space="0"/>
              <w:right w:val="nil"/>
            </w:tcBorders>
            <w:shd w:val="clear" w:color="auto" w:fill="FFFFFF"/>
            <w:vAlign w:val="center"/>
          </w:tcPr>
          <w:p w14:paraId="1D5E94D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有效证据记录数</w:t>
            </w:r>
          </w:p>
        </w:tc>
        <w:tc>
          <w:tcPr>
            <w:tcW w:w="1063" w:type="pct"/>
            <w:tcBorders>
              <w:top w:val="single" w:color="000000" w:sz="12" w:space="0"/>
              <w:left w:val="nil"/>
              <w:bottom w:val="single" w:color="000000" w:sz="4" w:space="0"/>
              <w:right w:val="nil"/>
            </w:tcBorders>
            <w:shd w:val="clear" w:color="auto" w:fill="FFFFFF"/>
            <w:vAlign w:val="center"/>
          </w:tcPr>
          <w:p w14:paraId="63D13A4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占比</w:t>
            </w:r>
          </w:p>
        </w:tc>
      </w:tr>
      <w:tr w14:paraId="2AD2F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9" w:type="pct"/>
            <w:tcBorders>
              <w:top w:val="single" w:color="000000" w:sz="4" w:space="0"/>
              <w:left w:val="nil"/>
              <w:bottom w:val="nil"/>
              <w:right w:val="nil"/>
            </w:tcBorders>
            <w:shd w:val="clear" w:color="auto" w:fill="FFFFFF"/>
            <w:vAlign w:val="center"/>
          </w:tcPr>
          <w:p w14:paraId="6272150D">
            <w:pPr>
              <w:keepNext w:val="0"/>
              <w:keepLines w:val="0"/>
              <w:pageBreakBefore w:val="0"/>
              <w:widowControl/>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rPr>
            </w:pPr>
            <w:r>
              <w:rPr>
                <w:rFonts w:hint="eastAsia" w:ascii="Times New Roman" w:hAnsi="Times New Roman" w:eastAsia="宋体" w:cs="宋体"/>
                <w:b w:val="0"/>
                <w:color w:val="000000"/>
                <w:kern w:val="0"/>
                <w:sz w:val="21"/>
                <w:szCs w:val="21"/>
              </w:rPr>
              <w:t>具体领域</w:t>
            </w:r>
          </w:p>
        </w:tc>
        <w:tc>
          <w:tcPr>
            <w:tcW w:w="1490" w:type="pct"/>
            <w:tcBorders>
              <w:top w:val="single" w:color="000000" w:sz="4" w:space="0"/>
              <w:left w:val="nil"/>
              <w:bottom w:val="nil"/>
              <w:right w:val="nil"/>
            </w:tcBorders>
            <w:shd w:val="clear" w:color="auto" w:fill="FFFFFF"/>
            <w:vAlign w:val="center"/>
          </w:tcPr>
          <w:p w14:paraId="0138D02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个性化算法</w:t>
            </w:r>
          </w:p>
        </w:tc>
        <w:tc>
          <w:tcPr>
            <w:tcW w:w="1446" w:type="pct"/>
            <w:tcBorders>
              <w:top w:val="single" w:color="000000" w:sz="4" w:space="0"/>
              <w:left w:val="nil"/>
              <w:bottom w:val="nil"/>
              <w:right w:val="nil"/>
            </w:tcBorders>
            <w:shd w:val="clear" w:color="auto" w:fill="FFFFFF"/>
            <w:vAlign w:val="center"/>
          </w:tcPr>
          <w:p w14:paraId="19E6EF4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1109</w:t>
            </w:r>
          </w:p>
        </w:tc>
        <w:tc>
          <w:tcPr>
            <w:tcW w:w="1063" w:type="pct"/>
            <w:tcBorders>
              <w:top w:val="single" w:color="000000" w:sz="4" w:space="0"/>
              <w:left w:val="nil"/>
              <w:bottom w:val="nil"/>
              <w:right w:val="nil"/>
            </w:tcBorders>
            <w:shd w:val="clear" w:color="auto" w:fill="FFFFFF"/>
            <w:vAlign w:val="center"/>
          </w:tcPr>
          <w:p w14:paraId="7E134BE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26.7%</w:t>
            </w:r>
          </w:p>
        </w:tc>
      </w:tr>
      <w:tr w14:paraId="29481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5615B01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p>
        </w:tc>
        <w:tc>
          <w:tcPr>
            <w:tcW w:w="1490" w:type="pct"/>
            <w:tcBorders>
              <w:top w:val="nil"/>
              <w:left w:val="nil"/>
              <w:bottom w:val="nil"/>
              <w:right w:val="nil"/>
            </w:tcBorders>
            <w:shd w:val="clear" w:color="auto" w:fill="FFFFFF"/>
            <w:vAlign w:val="center"/>
          </w:tcPr>
          <w:p w14:paraId="77817C4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机器视觉</w:t>
            </w:r>
          </w:p>
        </w:tc>
        <w:tc>
          <w:tcPr>
            <w:tcW w:w="1446" w:type="pct"/>
            <w:tcBorders>
              <w:top w:val="nil"/>
              <w:left w:val="nil"/>
              <w:bottom w:val="nil"/>
              <w:right w:val="nil"/>
            </w:tcBorders>
            <w:shd w:val="clear" w:color="auto" w:fill="FFFFFF"/>
            <w:vAlign w:val="center"/>
          </w:tcPr>
          <w:p w14:paraId="28752CF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1244</w:t>
            </w:r>
          </w:p>
        </w:tc>
        <w:tc>
          <w:tcPr>
            <w:tcW w:w="1063" w:type="pct"/>
            <w:tcBorders>
              <w:top w:val="nil"/>
              <w:left w:val="nil"/>
              <w:bottom w:val="nil"/>
              <w:right w:val="nil"/>
            </w:tcBorders>
            <w:shd w:val="clear" w:color="auto" w:fill="FFFFFF"/>
            <w:vAlign w:val="center"/>
          </w:tcPr>
          <w:p w14:paraId="062AAD9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30.0%</w:t>
            </w:r>
          </w:p>
        </w:tc>
      </w:tr>
      <w:tr w14:paraId="658E9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9" w:type="pct"/>
            <w:tcBorders>
              <w:top w:val="nil"/>
              <w:left w:val="nil"/>
              <w:bottom w:val="nil"/>
              <w:right w:val="nil"/>
            </w:tcBorders>
            <w:shd w:val="clear" w:color="auto" w:fill="FFFFFF"/>
            <w:vAlign w:val="center"/>
          </w:tcPr>
          <w:p w14:paraId="7A660DA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p>
        </w:tc>
        <w:tc>
          <w:tcPr>
            <w:tcW w:w="1490" w:type="pct"/>
            <w:tcBorders>
              <w:top w:val="nil"/>
              <w:left w:val="nil"/>
              <w:bottom w:val="nil"/>
              <w:right w:val="nil"/>
            </w:tcBorders>
            <w:shd w:val="clear" w:color="auto" w:fill="FFFFFF"/>
            <w:vAlign w:val="center"/>
          </w:tcPr>
          <w:p w14:paraId="0F84B4A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自动驾驶</w:t>
            </w:r>
          </w:p>
        </w:tc>
        <w:tc>
          <w:tcPr>
            <w:tcW w:w="1446" w:type="pct"/>
            <w:tcBorders>
              <w:top w:val="nil"/>
              <w:left w:val="nil"/>
              <w:bottom w:val="nil"/>
              <w:right w:val="nil"/>
            </w:tcBorders>
            <w:shd w:val="clear" w:color="auto" w:fill="FFFFFF"/>
            <w:vAlign w:val="center"/>
          </w:tcPr>
          <w:p w14:paraId="08E0EFD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1028</w:t>
            </w:r>
          </w:p>
        </w:tc>
        <w:tc>
          <w:tcPr>
            <w:tcW w:w="1063" w:type="pct"/>
            <w:tcBorders>
              <w:top w:val="nil"/>
              <w:left w:val="nil"/>
              <w:bottom w:val="nil"/>
              <w:right w:val="nil"/>
            </w:tcBorders>
            <w:shd w:val="clear" w:color="auto" w:fill="FFFFFF"/>
            <w:vAlign w:val="center"/>
          </w:tcPr>
          <w:p w14:paraId="23D8507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24.8%</w:t>
            </w:r>
          </w:p>
        </w:tc>
      </w:tr>
      <w:tr w14:paraId="038C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7C8F7D3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p>
        </w:tc>
        <w:tc>
          <w:tcPr>
            <w:tcW w:w="1490" w:type="pct"/>
            <w:tcBorders>
              <w:top w:val="nil"/>
              <w:left w:val="nil"/>
              <w:bottom w:val="nil"/>
              <w:right w:val="nil"/>
            </w:tcBorders>
            <w:shd w:val="clear" w:color="auto" w:fill="FFFFFF"/>
            <w:vAlign w:val="center"/>
          </w:tcPr>
          <w:p w14:paraId="72981A1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服务机器人</w:t>
            </w:r>
          </w:p>
        </w:tc>
        <w:tc>
          <w:tcPr>
            <w:tcW w:w="1446" w:type="pct"/>
            <w:tcBorders>
              <w:top w:val="nil"/>
              <w:left w:val="nil"/>
              <w:bottom w:val="nil"/>
              <w:right w:val="nil"/>
            </w:tcBorders>
            <w:shd w:val="clear" w:color="auto" w:fill="FFFFFF"/>
            <w:vAlign w:val="center"/>
          </w:tcPr>
          <w:p w14:paraId="2E6711B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767</w:t>
            </w:r>
          </w:p>
        </w:tc>
        <w:tc>
          <w:tcPr>
            <w:tcW w:w="1063" w:type="pct"/>
            <w:tcBorders>
              <w:top w:val="nil"/>
              <w:left w:val="nil"/>
              <w:bottom w:val="nil"/>
              <w:right w:val="nil"/>
            </w:tcBorders>
            <w:shd w:val="clear" w:color="auto" w:fill="FFFFFF"/>
            <w:vAlign w:val="center"/>
          </w:tcPr>
          <w:p w14:paraId="7EED6D7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18.5%</w:t>
            </w:r>
          </w:p>
        </w:tc>
      </w:tr>
      <w:tr w14:paraId="3EBEB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123FE9D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风险维度</w:t>
            </w:r>
          </w:p>
        </w:tc>
        <w:tc>
          <w:tcPr>
            <w:tcW w:w="1490" w:type="pct"/>
            <w:tcBorders>
              <w:top w:val="nil"/>
              <w:left w:val="nil"/>
              <w:bottom w:val="nil"/>
              <w:right w:val="nil"/>
            </w:tcBorders>
            <w:shd w:val="clear" w:color="auto" w:fill="FFFFFF"/>
            <w:vAlign w:val="center"/>
          </w:tcPr>
          <w:p w14:paraId="4D6035E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决策不自主受控</w:t>
            </w:r>
          </w:p>
        </w:tc>
        <w:tc>
          <w:tcPr>
            <w:tcW w:w="1446" w:type="pct"/>
            <w:tcBorders>
              <w:top w:val="nil"/>
              <w:left w:val="nil"/>
              <w:bottom w:val="nil"/>
              <w:right w:val="nil"/>
            </w:tcBorders>
            <w:shd w:val="clear" w:color="auto" w:fill="FFFFFF"/>
            <w:vAlign w:val="center"/>
          </w:tcPr>
          <w:p w14:paraId="11F5CAD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833</w:t>
            </w:r>
          </w:p>
        </w:tc>
        <w:tc>
          <w:tcPr>
            <w:tcW w:w="1063" w:type="pct"/>
            <w:tcBorders>
              <w:top w:val="nil"/>
              <w:left w:val="nil"/>
              <w:bottom w:val="nil"/>
              <w:right w:val="nil"/>
            </w:tcBorders>
            <w:shd w:val="clear" w:color="auto" w:fill="FFFFFF"/>
            <w:vAlign w:val="center"/>
          </w:tcPr>
          <w:p w14:paraId="1680C81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20.1%</w:t>
            </w:r>
          </w:p>
        </w:tc>
      </w:tr>
      <w:tr w14:paraId="6F796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054F432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p>
        </w:tc>
        <w:tc>
          <w:tcPr>
            <w:tcW w:w="1490" w:type="pct"/>
            <w:tcBorders>
              <w:top w:val="nil"/>
              <w:left w:val="nil"/>
              <w:bottom w:val="nil"/>
              <w:right w:val="nil"/>
            </w:tcBorders>
            <w:shd w:val="clear" w:color="auto" w:fill="FFFFFF"/>
            <w:vAlign w:val="center"/>
          </w:tcPr>
          <w:p w14:paraId="147EA64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侵犯隐私</w:t>
            </w:r>
          </w:p>
        </w:tc>
        <w:tc>
          <w:tcPr>
            <w:tcW w:w="1446" w:type="pct"/>
            <w:tcBorders>
              <w:top w:val="nil"/>
              <w:left w:val="nil"/>
              <w:bottom w:val="nil"/>
              <w:right w:val="nil"/>
            </w:tcBorders>
            <w:shd w:val="clear" w:color="auto" w:fill="FFFFFF"/>
            <w:vAlign w:val="center"/>
          </w:tcPr>
          <w:p w14:paraId="3F41D0B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1038</w:t>
            </w:r>
          </w:p>
        </w:tc>
        <w:tc>
          <w:tcPr>
            <w:tcW w:w="1063" w:type="pct"/>
            <w:tcBorders>
              <w:top w:val="nil"/>
              <w:left w:val="nil"/>
              <w:bottom w:val="nil"/>
              <w:right w:val="nil"/>
            </w:tcBorders>
            <w:shd w:val="clear" w:color="auto" w:fill="FFFFFF"/>
            <w:vAlign w:val="center"/>
          </w:tcPr>
          <w:p w14:paraId="7BFC559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25.0%</w:t>
            </w:r>
          </w:p>
        </w:tc>
      </w:tr>
      <w:tr w14:paraId="3323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0939AD7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p>
        </w:tc>
        <w:tc>
          <w:tcPr>
            <w:tcW w:w="1490" w:type="pct"/>
            <w:tcBorders>
              <w:top w:val="nil"/>
              <w:left w:val="nil"/>
              <w:bottom w:val="nil"/>
              <w:right w:val="nil"/>
            </w:tcBorders>
            <w:shd w:val="clear" w:color="auto" w:fill="FFFFFF"/>
            <w:vAlign w:val="center"/>
          </w:tcPr>
          <w:p w14:paraId="453AB81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加剧社会偏见或歧视</w:t>
            </w:r>
          </w:p>
        </w:tc>
        <w:tc>
          <w:tcPr>
            <w:tcW w:w="1446" w:type="pct"/>
            <w:tcBorders>
              <w:top w:val="nil"/>
              <w:left w:val="nil"/>
              <w:bottom w:val="nil"/>
              <w:right w:val="nil"/>
            </w:tcBorders>
            <w:shd w:val="clear" w:color="auto" w:fill="FFFFFF"/>
            <w:vAlign w:val="center"/>
          </w:tcPr>
          <w:p w14:paraId="738DEDE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686</w:t>
            </w:r>
          </w:p>
        </w:tc>
        <w:tc>
          <w:tcPr>
            <w:tcW w:w="1063" w:type="pct"/>
            <w:tcBorders>
              <w:top w:val="nil"/>
              <w:left w:val="nil"/>
              <w:bottom w:val="nil"/>
              <w:right w:val="nil"/>
            </w:tcBorders>
            <w:shd w:val="clear" w:color="auto" w:fill="FFFFFF"/>
            <w:vAlign w:val="center"/>
          </w:tcPr>
          <w:p w14:paraId="30A8C40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16.5%</w:t>
            </w:r>
          </w:p>
        </w:tc>
      </w:tr>
      <w:tr w14:paraId="102C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2F3EE82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p>
        </w:tc>
        <w:tc>
          <w:tcPr>
            <w:tcW w:w="1490" w:type="pct"/>
            <w:tcBorders>
              <w:top w:val="nil"/>
              <w:left w:val="nil"/>
              <w:bottom w:val="nil"/>
              <w:right w:val="nil"/>
            </w:tcBorders>
            <w:shd w:val="clear" w:color="auto" w:fill="FFFFFF"/>
            <w:vAlign w:val="center"/>
          </w:tcPr>
          <w:p w14:paraId="4D0ABF6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破坏社会公平</w:t>
            </w:r>
          </w:p>
        </w:tc>
        <w:tc>
          <w:tcPr>
            <w:tcW w:w="1446" w:type="pct"/>
            <w:tcBorders>
              <w:top w:val="nil"/>
              <w:left w:val="nil"/>
              <w:bottom w:val="nil"/>
              <w:right w:val="nil"/>
            </w:tcBorders>
            <w:shd w:val="clear" w:color="auto" w:fill="FFFFFF"/>
            <w:vAlign w:val="center"/>
          </w:tcPr>
          <w:p w14:paraId="770F46C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673</w:t>
            </w:r>
          </w:p>
        </w:tc>
        <w:tc>
          <w:tcPr>
            <w:tcW w:w="1063" w:type="pct"/>
            <w:tcBorders>
              <w:top w:val="nil"/>
              <w:left w:val="nil"/>
              <w:bottom w:val="nil"/>
              <w:right w:val="nil"/>
            </w:tcBorders>
            <w:shd w:val="clear" w:color="auto" w:fill="FFFFFF"/>
            <w:vAlign w:val="center"/>
          </w:tcPr>
          <w:p w14:paraId="54C2860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16.2%</w:t>
            </w:r>
          </w:p>
        </w:tc>
      </w:tr>
      <w:tr w14:paraId="7625E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52FD5B8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p>
        </w:tc>
        <w:tc>
          <w:tcPr>
            <w:tcW w:w="1490" w:type="pct"/>
            <w:tcBorders>
              <w:top w:val="nil"/>
              <w:left w:val="nil"/>
              <w:bottom w:val="nil"/>
              <w:right w:val="nil"/>
            </w:tcBorders>
            <w:shd w:val="clear" w:color="auto" w:fill="FFFFFF"/>
            <w:vAlign w:val="center"/>
          </w:tcPr>
          <w:p w14:paraId="78EEB09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权责归属不清或失当</w:t>
            </w:r>
          </w:p>
        </w:tc>
        <w:tc>
          <w:tcPr>
            <w:tcW w:w="1446" w:type="pct"/>
            <w:tcBorders>
              <w:top w:val="nil"/>
              <w:left w:val="nil"/>
              <w:bottom w:val="nil"/>
              <w:right w:val="nil"/>
            </w:tcBorders>
            <w:shd w:val="clear" w:color="auto" w:fill="FFFFFF"/>
            <w:vAlign w:val="center"/>
          </w:tcPr>
          <w:p w14:paraId="1F5D49D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918</w:t>
            </w:r>
          </w:p>
        </w:tc>
        <w:tc>
          <w:tcPr>
            <w:tcW w:w="1063" w:type="pct"/>
            <w:tcBorders>
              <w:top w:val="nil"/>
              <w:left w:val="nil"/>
              <w:bottom w:val="nil"/>
              <w:right w:val="nil"/>
            </w:tcBorders>
            <w:shd w:val="clear" w:color="auto" w:fill="FFFFFF"/>
            <w:vAlign w:val="center"/>
          </w:tcPr>
          <w:p w14:paraId="1041D32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22.1%</w:t>
            </w:r>
          </w:p>
        </w:tc>
      </w:tr>
      <w:tr w14:paraId="7C194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4F98E0A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hint="eastAsia" w:ascii="Times New Roman" w:hAnsi="Times New Roman" w:eastAsia="宋体" w:cs="宋体"/>
                <w:b w:val="0"/>
                <w:color w:val="000000"/>
                <w:kern w:val="0"/>
                <w:sz w:val="21"/>
                <w:szCs w:val="21"/>
              </w:rPr>
              <w:t>数据</w:t>
            </w:r>
            <w:r>
              <w:rPr>
                <w:rFonts w:ascii="Times New Roman" w:hAnsi="Times New Roman" w:eastAsia="宋体" w:cs="宋体"/>
                <w:b w:val="0"/>
                <w:color w:val="000000"/>
                <w:kern w:val="0"/>
                <w:sz w:val="21"/>
                <w:szCs w:val="21"/>
                <w:lang w:eastAsia="en-US"/>
              </w:rPr>
              <w:t>来源</w:t>
            </w:r>
          </w:p>
        </w:tc>
        <w:tc>
          <w:tcPr>
            <w:tcW w:w="1490" w:type="pct"/>
            <w:tcBorders>
              <w:top w:val="nil"/>
              <w:left w:val="nil"/>
              <w:bottom w:val="nil"/>
              <w:right w:val="nil"/>
            </w:tcBorders>
            <w:shd w:val="clear" w:color="auto" w:fill="FFFFFF"/>
            <w:vAlign w:val="center"/>
          </w:tcPr>
          <w:p w14:paraId="5E8BD6E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Times New Roman"/>
                <w:color w:val="0F1115"/>
                <w:kern w:val="0"/>
                <w:sz w:val="21"/>
                <w:szCs w:val="21"/>
                <w:shd w:val="clear" w:color="auto" w:fill="FFFFFF"/>
              </w:rPr>
              <w:t>Web</w:t>
            </w:r>
            <w:r>
              <w:rPr>
                <w:rFonts w:hint="eastAsia" w:cs="Times New Roman"/>
                <w:color w:val="0F1115"/>
                <w:kern w:val="0"/>
                <w:sz w:val="21"/>
                <w:szCs w:val="21"/>
                <w:shd w:val="clear" w:color="auto" w:fill="FFFFFF"/>
                <w:lang w:val="en-US" w:eastAsia="zh-CN"/>
              </w:rPr>
              <w:t xml:space="preserve"> </w:t>
            </w:r>
            <w:r>
              <w:rPr>
                <w:rFonts w:ascii="Times New Roman" w:hAnsi="Times New Roman" w:eastAsia="宋体" w:cs="Times New Roman"/>
                <w:color w:val="0F1115"/>
                <w:kern w:val="0"/>
                <w:sz w:val="21"/>
                <w:szCs w:val="21"/>
                <w:shd w:val="clear" w:color="auto" w:fill="FFFFFF"/>
              </w:rPr>
              <w:t>of</w:t>
            </w:r>
            <w:r>
              <w:rPr>
                <w:rFonts w:hint="eastAsia" w:cs="Times New Roman"/>
                <w:color w:val="0F1115"/>
                <w:kern w:val="0"/>
                <w:sz w:val="21"/>
                <w:szCs w:val="21"/>
                <w:shd w:val="clear" w:color="auto" w:fill="FFFFFF"/>
                <w:lang w:val="en-US" w:eastAsia="zh-CN"/>
              </w:rPr>
              <w:t xml:space="preserve"> </w:t>
            </w:r>
            <w:r>
              <w:rPr>
                <w:rFonts w:ascii="Times New Roman" w:hAnsi="Times New Roman" w:eastAsia="宋体" w:cs="Times New Roman"/>
                <w:color w:val="0F1115"/>
                <w:kern w:val="0"/>
                <w:sz w:val="21"/>
                <w:szCs w:val="21"/>
                <w:shd w:val="clear" w:color="auto" w:fill="FFFFFF"/>
              </w:rPr>
              <w:t>Science</w:t>
            </w:r>
          </w:p>
        </w:tc>
        <w:tc>
          <w:tcPr>
            <w:tcW w:w="1446" w:type="pct"/>
            <w:tcBorders>
              <w:top w:val="nil"/>
              <w:left w:val="nil"/>
              <w:bottom w:val="nil"/>
              <w:right w:val="nil"/>
            </w:tcBorders>
            <w:shd w:val="clear" w:color="auto" w:fill="FFFFFF"/>
            <w:vAlign w:val="center"/>
          </w:tcPr>
          <w:p w14:paraId="1799839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414</w:t>
            </w:r>
          </w:p>
        </w:tc>
        <w:tc>
          <w:tcPr>
            <w:tcW w:w="1063" w:type="pct"/>
            <w:tcBorders>
              <w:top w:val="nil"/>
              <w:left w:val="nil"/>
              <w:bottom w:val="nil"/>
              <w:right w:val="nil"/>
            </w:tcBorders>
            <w:shd w:val="clear" w:color="auto" w:fill="FFFFFF"/>
            <w:vAlign w:val="center"/>
          </w:tcPr>
          <w:p w14:paraId="211DB34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10.0%</w:t>
            </w:r>
          </w:p>
        </w:tc>
      </w:tr>
      <w:tr w14:paraId="4C2DD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7EFEE15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p>
        </w:tc>
        <w:tc>
          <w:tcPr>
            <w:tcW w:w="1490" w:type="pct"/>
            <w:tcBorders>
              <w:top w:val="nil"/>
              <w:left w:val="nil"/>
              <w:bottom w:val="nil"/>
              <w:right w:val="nil"/>
            </w:tcBorders>
            <w:shd w:val="clear" w:color="auto" w:fill="FFFFFF"/>
            <w:vAlign w:val="center"/>
          </w:tcPr>
          <w:p w14:paraId="4698E44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知网</w:t>
            </w:r>
          </w:p>
        </w:tc>
        <w:tc>
          <w:tcPr>
            <w:tcW w:w="1446" w:type="pct"/>
            <w:tcBorders>
              <w:top w:val="nil"/>
              <w:left w:val="nil"/>
              <w:bottom w:val="nil"/>
              <w:right w:val="nil"/>
            </w:tcBorders>
            <w:shd w:val="clear" w:color="auto" w:fill="FFFFFF"/>
            <w:vAlign w:val="center"/>
          </w:tcPr>
          <w:p w14:paraId="65DF6D8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794</w:t>
            </w:r>
          </w:p>
        </w:tc>
        <w:tc>
          <w:tcPr>
            <w:tcW w:w="1063" w:type="pct"/>
            <w:tcBorders>
              <w:top w:val="nil"/>
              <w:left w:val="nil"/>
              <w:bottom w:val="nil"/>
              <w:right w:val="nil"/>
            </w:tcBorders>
            <w:shd w:val="clear" w:color="auto" w:fill="FFFFFF"/>
            <w:vAlign w:val="center"/>
          </w:tcPr>
          <w:p w14:paraId="295EC5F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19.1%</w:t>
            </w:r>
          </w:p>
        </w:tc>
      </w:tr>
      <w:tr w14:paraId="4AAB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0E6274D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p>
        </w:tc>
        <w:tc>
          <w:tcPr>
            <w:tcW w:w="1490" w:type="pct"/>
            <w:tcBorders>
              <w:top w:val="nil"/>
              <w:left w:val="nil"/>
              <w:bottom w:val="nil"/>
              <w:right w:val="nil"/>
            </w:tcBorders>
            <w:shd w:val="clear" w:color="auto" w:fill="FFFFFF"/>
            <w:vAlign w:val="center"/>
          </w:tcPr>
          <w:p w14:paraId="6D13FBB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谷歌</w:t>
            </w:r>
          </w:p>
        </w:tc>
        <w:tc>
          <w:tcPr>
            <w:tcW w:w="1446" w:type="pct"/>
            <w:tcBorders>
              <w:top w:val="nil"/>
              <w:left w:val="nil"/>
              <w:bottom w:val="nil"/>
              <w:right w:val="nil"/>
            </w:tcBorders>
            <w:shd w:val="clear" w:color="auto" w:fill="FFFFFF"/>
            <w:vAlign w:val="center"/>
          </w:tcPr>
          <w:p w14:paraId="34352B0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379</w:t>
            </w:r>
          </w:p>
        </w:tc>
        <w:tc>
          <w:tcPr>
            <w:tcW w:w="1063" w:type="pct"/>
            <w:tcBorders>
              <w:top w:val="nil"/>
              <w:left w:val="nil"/>
              <w:bottom w:val="nil"/>
              <w:right w:val="nil"/>
            </w:tcBorders>
            <w:shd w:val="clear" w:color="auto" w:fill="FFFFFF"/>
            <w:vAlign w:val="center"/>
          </w:tcPr>
          <w:p w14:paraId="292AEAB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9.1%</w:t>
            </w:r>
          </w:p>
        </w:tc>
      </w:tr>
      <w:tr w14:paraId="6F3C7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0441D99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p>
        </w:tc>
        <w:tc>
          <w:tcPr>
            <w:tcW w:w="1490" w:type="pct"/>
            <w:tcBorders>
              <w:top w:val="nil"/>
              <w:left w:val="nil"/>
              <w:bottom w:val="nil"/>
              <w:right w:val="nil"/>
            </w:tcBorders>
            <w:shd w:val="clear" w:color="auto" w:fill="FFFFFF"/>
            <w:vAlign w:val="center"/>
          </w:tcPr>
          <w:p w14:paraId="09DED56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百度</w:t>
            </w:r>
          </w:p>
        </w:tc>
        <w:tc>
          <w:tcPr>
            <w:tcW w:w="1446" w:type="pct"/>
            <w:tcBorders>
              <w:top w:val="nil"/>
              <w:left w:val="nil"/>
              <w:bottom w:val="nil"/>
              <w:right w:val="nil"/>
            </w:tcBorders>
            <w:shd w:val="clear" w:color="auto" w:fill="FFFFFF"/>
            <w:vAlign w:val="center"/>
          </w:tcPr>
          <w:p w14:paraId="1B015EA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1807</w:t>
            </w:r>
          </w:p>
        </w:tc>
        <w:tc>
          <w:tcPr>
            <w:tcW w:w="1063" w:type="pct"/>
            <w:tcBorders>
              <w:top w:val="nil"/>
              <w:left w:val="nil"/>
              <w:bottom w:val="nil"/>
              <w:right w:val="nil"/>
            </w:tcBorders>
            <w:shd w:val="clear" w:color="auto" w:fill="FFFFFF"/>
            <w:vAlign w:val="center"/>
          </w:tcPr>
          <w:p w14:paraId="154DB64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43.6%</w:t>
            </w:r>
          </w:p>
        </w:tc>
      </w:tr>
      <w:tr w14:paraId="783F7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single" w:color="000000" w:sz="12" w:space="0"/>
              <w:right w:val="nil"/>
            </w:tcBorders>
            <w:shd w:val="clear" w:color="auto" w:fill="FFFFFF"/>
            <w:vAlign w:val="center"/>
          </w:tcPr>
          <w:p w14:paraId="0C287FE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p>
        </w:tc>
        <w:tc>
          <w:tcPr>
            <w:tcW w:w="1490" w:type="pct"/>
            <w:tcBorders>
              <w:top w:val="nil"/>
              <w:left w:val="nil"/>
              <w:bottom w:val="single" w:color="000000" w:sz="12" w:space="0"/>
              <w:right w:val="nil"/>
            </w:tcBorders>
            <w:shd w:val="clear" w:color="auto" w:fill="FFFFFF"/>
            <w:vAlign w:val="center"/>
          </w:tcPr>
          <w:p w14:paraId="34F216C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微博</w:t>
            </w:r>
          </w:p>
        </w:tc>
        <w:tc>
          <w:tcPr>
            <w:tcW w:w="1446" w:type="pct"/>
            <w:tcBorders>
              <w:top w:val="nil"/>
              <w:left w:val="nil"/>
              <w:bottom w:val="single" w:color="000000" w:sz="12" w:space="0"/>
              <w:right w:val="nil"/>
            </w:tcBorders>
            <w:shd w:val="clear" w:color="auto" w:fill="FFFFFF"/>
            <w:vAlign w:val="center"/>
          </w:tcPr>
          <w:p w14:paraId="6F0B33C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754</w:t>
            </w:r>
          </w:p>
        </w:tc>
        <w:tc>
          <w:tcPr>
            <w:tcW w:w="1063" w:type="pct"/>
            <w:tcBorders>
              <w:top w:val="nil"/>
              <w:left w:val="nil"/>
              <w:bottom w:val="single" w:color="000000" w:sz="12" w:space="0"/>
              <w:right w:val="nil"/>
            </w:tcBorders>
            <w:shd w:val="clear" w:color="auto" w:fill="FFFFFF"/>
            <w:vAlign w:val="center"/>
          </w:tcPr>
          <w:p w14:paraId="25C9DF9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18.2%</w:t>
            </w:r>
          </w:p>
        </w:tc>
      </w:tr>
    </w:tbl>
    <w:p w14:paraId="77585FE8">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表3-</w:t>
      </w:r>
      <w:r>
        <w:rPr>
          <w:rFonts w:hint="eastAsia" w:ascii="Times New Roman" w:hAnsi="Times New Roman" w:eastAsia="宋体" w:cs="Times New Roman"/>
          <w:color w:val="0F1115"/>
          <w:kern w:val="0"/>
          <w:sz w:val="24"/>
          <w:szCs w:val="24"/>
          <w:shd w:val="clear" w:color="auto" w:fill="FFFFFF"/>
        </w:rPr>
        <w:t>2显示</w:t>
      </w:r>
      <w:r>
        <w:rPr>
          <w:rFonts w:ascii="Times New Roman" w:hAnsi="Times New Roman" w:eastAsia="宋体" w:cs="Times New Roman"/>
          <w:color w:val="0F1115"/>
          <w:kern w:val="0"/>
          <w:sz w:val="24"/>
          <w:szCs w:val="24"/>
          <w:shd w:val="clear" w:color="auto" w:fill="FFFFFF"/>
        </w:rPr>
        <w:t>，本次调查共获得有效答卷3134份</w:t>
      </w:r>
      <w:r>
        <w:rPr>
          <w:rFonts w:hint="eastAsia" w:ascii="Times New Roman" w:hAnsi="Times New Roman" w:eastAsia="宋体" w:cs="Times New Roman"/>
          <w:color w:val="0F1115"/>
          <w:kern w:val="0"/>
          <w:sz w:val="24"/>
          <w:szCs w:val="24"/>
          <w:shd w:val="clear" w:color="auto" w:fill="FFFFFF"/>
        </w:rPr>
        <w:t>，其中</w:t>
      </w:r>
      <w:r>
        <w:rPr>
          <w:rFonts w:ascii="Times New Roman" w:hAnsi="Times New Roman" w:eastAsia="宋体" w:cs="Times New Roman"/>
          <w:color w:val="0F1115"/>
          <w:kern w:val="0"/>
          <w:sz w:val="24"/>
          <w:szCs w:val="24"/>
          <w:shd w:val="clear" w:color="auto" w:fill="FFFFFF"/>
        </w:rPr>
        <w:t>专家317份、公众2817份，公众样本量约为专家的8.9倍，体现了广泛的公众参与基础</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但专家人均贡献的判断数显著高于公众，约为后者的4.4倍，说明专家群体对指标体系的理解更深入、判断效率更高。38960条标准化两两判断数分布在各答卷组之间较为均衡，未出现因某组数据量过少而影响后续分析效度的情况。</w:t>
      </w:r>
    </w:p>
    <w:p w14:paraId="553A9D3C">
      <w:pPr>
        <w:pageBreakBefore w:val="0"/>
        <w:widowControl/>
        <w:shd w:val="clear" w:color="auto" w:fill="FFFFFF"/>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color w:val="0F1115"/>
          <w:kern w:val="0"/>
          <w:sz w:val="21"/>
          <w:szCs w:val="21"/>
          <w:shd w:val="clear" w:color="auto" w:fill="FFFFFF"/>
        </w:rPr>
      </w:pPr>
      <w:r>
        <w:rPr>
          <w:rFonts w:ascii="Times New Roman" w:hAnsi="Times New Roman" w:eastAsia="宋体" w:cs="Times New Roman"/>
          <w:color w:val="000000"/>
          <w:kern w:val="0"/>
          <w:sz w:val="21"/>
          <w:szCs w:val="18"/>
        </w:rPr>
        <w:t>表3-</w:t>
      </w:r>
      <w:r>
        <w:rPr>
          <w:rFonts w:hint="eastAsia" w:ascii="Times New Roman" w:hAnsi="Times New Roman" w:eastAsia="宋体" w:cs="Times New Roman"/>
          <w:color w:val="000000"/>
          <w:kern w:val="0"/>
          <w:sz w:val="21"/>
          <w:szCs w:val="18"/>
        </w:rPr>
        <w:t>2</w:t>
      </w:r>
      <w:r>
        <w:rPr>
          <w:rFonts w:ascii="Times New Roman" w:hAnsi="Times New Roman" w:eastAsia="宋体" w:cs="Times New Roman"/>
          <w:color w:val="000000"/>
          <w:kern w:val="0"/>
          <w:sz w:val="21"/>
          <w:szCs w:val="18"/>
        </w:rPr>
        <w:t>问卷样本构成</w:t>
      </w:r>
    </w:p>
    <w:tbl>
      <w:tblPr>
        <w:tblStyle w:val="18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5"/>
        <w:gridCol w:w="2376"/>
        <w:gridCol w:w="2365"/>
        <w:gridCol w:w="2168"/>
      </w:tblGrid>
      <w:tr w14:paraId="7ECE8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9" w:type="pct"/>
            <w:tcBorders>
              <w:top w:val="single" w:color="000000" w:sz="12" w:space="0"/>
              <w:left w:val="nil"/>
              <w:bottom w:val="single" w:color="000000" w:sz="4" w:space="0"/>
              <w:right w:val="nil"/>
              <w:tl2br w:val="nil"/>
            </w:tcBorders>
            <w:shd w:val="clear" w:color="auto" w:fill="FFFFFF"/>
          </w:tcPr>
          <w:p w14:paraId="0C66E66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rPr>
            </w:pPr>
            <w:r>
              <w:rPr>
                <w:rFonts w:hint="eastAsia" w:ascii="Times New Roman" w:hAnsi="Times New Roman" w:eastAsia="宋体" w:cs="宋体"/>
                <w:b w:val="0"/>
                <w:color w:val="000000"/>
                <w:kern w:val="0"/>
                <w:sz w:val="21"/>
                <w:szCs w:val="21"/>
              </w:rPr>
              <w:t>具体领域</w:t>
            </w:r>
          </w:p>
        </w:tc>
        <w:tc>
          <w:tcPr>
            <w:tcW w:w="1279" w:type="pct"/>
            <w:tcBorders>
              <w:top w:val="single" w:color="000000" w:sz="12" w:space="0"/>
              <w:left w:val="nil"/>
              <w:bottom w:val="single" w:color="000000" w:sz="4" w:space="0"/>
              <w:right w:val="nil"/>
            </w:tcBorders>
            <w:shd w:val="clear" w:color="auto" w:fill="FFFFFF"/>
            <w:vAlign w:val="center"/>
          </w:tcPr>
          <w:p w14:paraId="1723F17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rPr>
            </w:pPr>
            <w:r>
              <w:rPr>
                <w:rFonts w:ascii="Times New Roman" w:hAnsi="Times New Roman" w:eastAsia="宋体" w:cs="宋体"/>
                <w:b w:val="0"/>
                <w:color w:val="000000"/>
                <w:kern w:val="0"/>
                <w:sz w:val="21"/>
                <w:szCs w:val="21"/>
              </w:rPr>
              <w:t>专家有效答卷数</w:t>
            </w:r>
          </w:p>
        </w:tc>
        <w:tc>
          <w:tcPr>
            <w:tcW w:w="1273" w:type="pct"/>
            <w:tcBorders>
              <w:top w:val="single" w:color="000000" w:sz="12" w:space="0"/>
              <w:left w:val="nil"/>
              <w:bottom w:val="single" w:color="000000" w:sz="4" w:space="0"/>
              <w:right w:val="nil"/>
            </w:tcBorders>
            <w:shd w:val="clear" w:color="auto" w:fill="FFFFFF"/>
            <w:vAlign w:val="center"/>
          </w:tcPr>
          <w:p w14:paraId="01DAAB1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rPr>
            </w:pPr>
            <w:r>
              <w:rPr>
                <w:rFonts w:ascii="Times New Roman" w:hAnsi="Times New Roman" w:eastAsia="宋体" w:cs="宋体"/>
                <w:b w:val="0"/>
                <w:color w:val="000000"/>
                <w:kern w:val="0"/>
                <w:sz w:val="21"/>
                <w:szCs w:val="21"/>
              </w:rPr>
              <w:t>公众有效答卷数</w:t>
            </w:r>
          </w:p>
        </w:tc>
        <w:tc>
          <w:tcPr>
            <w:tcW w:w="1167" w:type="pct"/>
            <w:tcBorders>
              <w:top w:val="single" w:color="000000" w:sz="12" w:space="0"/>
              <w:left w:val="nil"/>
              <w:bottom w:val="single" w:color="000000" w:sz="4" w:space="0"/>
              <w:right w:val="nil"/>
            </w:tcBorders>
            <w:shd w:val="clear" w:color="auto" w:fill="FFFFFF"/>
            <w:vAlign w:val="center"/>
          </w:tcPr>
          <w:p w14:paraId="3E35FFA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标准化两两判断数</w:t>
            </w:r>
          </w:p>
        </w:tc>
      </w:tr>
      <w:tr w14:paraId="65CE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9" w:type="pct"/>
            <w:tcBorders>
              <w:top w:val="single" w:color="000000" w:sz="4" w:space="0"/>
              <w:left w:val="nil"/>
              <w:bottom w:val="nil"/>
              <w:right w:val="nil"/>
            </w:tcBorders>
            <w:shd w:val="clear" w:color="auto" w:fill="FFFFFF"/>
            <w:vAlign w:val="center"/>
          </w:tcPr>
          <w:p w14:paraId="351B75C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个性化算法</w:t>
            </w:r>
          </w:p>
        </w:tc>
        <w:tc>
          <w:tcPr>
            <w:tcW w:w="1279" w:type="pct"/>
            <w:tcBorders>
              <w:top w:val="single" w:color="000000" w:sz="4" w:space="0"/>
              <w:left w:val="nil"/>
              <w:bottom w:val="nil"/>
              <w:right w:val="nil"/>
            </w:tcBorders>
            <w:shd w:val="clear" w:color="auto" w:fill="FFFFFF"/>
            <w:vAlign w:val="center"/>
          </w:tcPr>
          <w:p w14:paraId="70E5829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88</w:t>
            </w:r>
          </w:p>
        </w:tc>
        <w:tc>
          <w:tcPr>
            <w:tcW w:w="1273" w:type="pct"/>
            <w:tcBorders>
              <w:top w:val="single" w:color="000000" w:sz="4" w:space="0"/>
              <w:left w:val="nil"/>
              <w:bottom w:val="nil"/>
              <w:right w:val="nil"/>
            </w:tcBorders>
            <w:shd w:val="clear" w:color="auto" w:fill="FFFFFF"/>
            <w:vAlign w:val="center"/>
          </w:tcPr>
          <w:p w14:paraId="4F5F281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1149</w:t>
            </w:r>
          </w:p>
        </w:tc>
        <w:tc>
          <w:tcPr>
            <w:tcW w:w="1167" w:type="pct"/>
            <w:tcBorders>
              <w:top w:val="single" w:color="000000" w:sz="4" w:space="0"/>
              <w:left w:val="nil"/>
              <w:bottom w:val="nil"/>
              <w:right w:val="nil"/>
            </w:tcBorders>
            <w:shd w:val="clear" w:color="auto" w:fill="FFFFFF"/>
            <w:vAlign w:val="center"/>
          </w:tcPr>
          <w:p w14:paraId="4FAD45E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12978</w:t>
            </w:r>
          </w:p>
        </w:tc>
      </w:tr>
      <w:tr w14:paraId="0D020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9" w:type="pct"/>
            <w:tcBorders>
              <w:top w:val="nil"/>
              <w:left w:val="nil"/>
              <w:bottom w:val="nil"/>
              <w:right w:val="nil"/>
            </w:tcBorders>
            <w:shd w:val="clear" w:color="auto" w:fill="FFFFFF"/>
            <w:vAlign w:val="center"/>
          </w:tcPr>
          <w:p w14:paraId="13D6E61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机器视觉</w:t>
            </w:r>
          </w:p>
        </w:tc>
        <w:tc>
          <w:tcPr>
            <w:tcW w:w="1279" w:type="pct"/>
            <w:tcBorders>
              <w:top w:val="nil"/>
              <w:left w:val="nil"/>
              <w:bottom w:val="nil"/>
              <w:right w:val="nil"/>
            </w:tcBorders>
            <w:shd w:val="clear" w:color="auto" w:fill="FFFFFF"/>
            <w:vAlign w:val="center"/>
          </w:tcPr>
          <w:p w14:paraId="7CEF91E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85</w:t>
            </w:r>
          </w:p>
        </w:tc>
        <w:tc>
          <w:tcPr>
            <w:tcW w:w="1273" w:type="pct"/>
            <w:tcBorders>
              <w:top w:val="nil"/>
              <w:left w:val="nil"/>
              <w:bottom w:val="nil"/>
              <w:right w:val="nil"/>
            </w:tcBorders>
            <w:shd w:val="clear" w:color="auto" w:fill="FFFFFF"/>
            <w:vAlign w:val="center"/>
          </w:tcPr>
          <w:p w14:paraId="7CD2859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529</w:t>
            </w:r>
          </w:p>
        </w:tc>
        <w:tc>
          <w:tcPr>
            <w:tcW w:w="1167" w:type="pct"/>
            <w:tcBorders>
              <w:top w:val="nil"/>
              <w:left w:val="nil"/>
              <w:bottom w:val="nil"/>
              <w:right w:val="nil"/>
            </w:tcBorders>
            <w:shd w:val="clear" w:color="auto" w:fill="FFFFFF"/>
            <w:vAlign w:val="center"/>
          </w:tcPr>
          <w:p w14:paraId="07A2019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6737</w:t>
            </w:r>
          </w:p>
        </w:tc>
      </w:tr>
      <w:tr w14:paraId="3743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9" w:type="pct"/>
            <w:tcBorders>
              <w:top w:val="nil"/>
              <w:left w:val="nil"/>
              <w:bottom w:val="nil"/>
              <w:right w:val="nil"/>
            </w:tcBorders>
            <w:shd w:val="clear" w:color="auto" w:fill="FFFFFF"/>
            <w:vAlign w:val="center"/>
          </w:tcPr>
          <w:p w14:paraId="78391E6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自动驾驶</w:t>
            </w:r>
          </w:p>
        </w:tc>
        <w:tc>
          <w:tcPr>
            <w:tcW w:w="1279" w:type="pct"/>
            <w:tcBorders>
              <w:top w:val="nil"/>
              <w:left w:val="nil"/>
              <w:bottom w:val="nil"/>
              <w:right w:val="nil"/>
            </w:tcBorders>
            <w:shd w:val="clear" w:color="auto" w:fill="FFFFFF"/>
            <w:vAlign w:val="center"/>
          </w:tcPr>
          <w:p w14:paraId="29CD4CB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73</w:t>
            </w:r>
          </w:p>
        </w:tc>
        <w:tc>
          <w:tcPr>
            <w:tcW w:w="1273" w:type="pct"/>
            <w:tcBorders>
              <w:top w:val="nil"/>
              <w:left w:val="nil"/>
              <w:bottom w:val="nil"/>
              <w:right w:val="nil"/>
            </w:tcBorders>
            <w:shd w:val="clear" w:color="auto" w:fill="FFFFFF"/>
            <w:vAlign w:val="center"/>
          </w:tcPr>
          <w:p w14:paraId="6689712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558</w:t>
            </w:r>
          </w:p>
        </w:tc>
        <w:tc>
          <w:tcPr>
            <w:tcW w:w="1167" w:type="pct"/>
            <w:tcBorders>
              <w:top w:val="nil"/>
              <w:left w:val="nil"/>
              <w:bottom w:val="nil"/>
              <w:right w:val="nil"/>
            </w:tcBorders>
            <w:shd w:val="clear" w:color="auto" w:fill="FFFFFF"/>
            <w:vAlign w:val="center"/>
          </w:tcPr>
          <w:p w14:paraId="440D731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9465</w:t>
            </w:r>
          </w:p>
        </w:tc>
      </w:tr>
      <w:tr w14:paraId="3E55B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9" w:type="pct"/>
            <w:tcBorders>
              <w:top w:val="nil"/>
              <w:left w:val="nil"/>
              <w:bottom w:val="nil"/>
              <w:right w:val="nil"/>
            </w:tcBorders>
            <w:shd w:val="clear" w:color="auto" w:fill="FFFFFF"/>
            <w:vAlign w:val="center"/>
          </w:tcPr>
          <w:p w14:paraId="6920956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服务机器人</w:t>
            </w:r>
          </w:p>
        </w:tc>
        <w:tc>
          <w:tcPr>
            <w:tcW w:w="1279" w:type="pct"/>
            <w:tcBorders>
              <w:top w:val="nil"/>
              <w:left w:val="nil"/>
              <w:bottom w:val="nil"/>
              <w:right w:val="nil"/>
            </w:tcBorders>
            <w:shd w:val="clear" w:color="auto" w:fill="FFFFFF"/>
            <w:vAlign w:val="center"/>
          </w:tcPr>
          <w:p w14:paraId="129DD87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71</w:t>
            </w:r>
          </w:p>
        </w:tc>
        <w:tc>
          <w:tcPr>
            <w:tcW w:w="1273" w:type="pct"/>
            <w:tcBorders>
              <w:top w:val="nil"/>
              <w:left w:val="nil"/>
              <w:bottom w:val="nil"/>
              <w:right w:val="nil"/>
            </w:tcBorders>
            <w:shd w:val="clear" w:color="auto" w:fill="FFFFFF"/>
            <w:vAlign w:val="center"/>
          </w:tcPr>
          <w:p w14:paraId="298D3E7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581</w:t>
            </w:r>
          </w:p>
        </w:tc>
        <w:tc>
          <w:tcPr>
            <w:tcW w:w="1167" w:type="pct"/>
            <w:tcBorders>
              <w:top w:val="nil"/>
              <w:left w:val="nil"/>
              <w:bottom w:val="nil"/>
              <w:right w:val="nil"/>
            </w:tcBorders>
            <w:shd w:val="clear" w:color="auto" w:fill="FFFFFF"/>
            <w:vAlign w:val="center"/>
          </w:tcPr>
          <w:p w14:paraId="39F976C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9780</w:t>
            </w:r>
          </w:p>
        </w:tc>
      </w:tr>
      <w:tr w14:paraId="573CE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9" w:type="pct"/>
            <w:tcBorders>
              <w:top w:val="nil"/>
              <w:left w:val="nil"/>
              <w:bottom w:val="single" w:color="000000" w:sz="12" w:space="0"/>
              <w:right w:val="nil"/>
            </w:tcBorders>
            <w:shd w:val="clear" w:color="auto" w:fill="FFFFFF"/>
          </w:tcPr>
          <w:p w14:paraId="68847D0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hint="eastAsia" w:ascii="Times New Roman" w:hAnsi="Times New Roman" w:eastAsia="宋体" w:cs="宋体"/>
                <w:b w:val="0"/>
                <w:color w:val="000000"/>
                <w:kern w:val="0"/>
                <w:sz w:val="21"/>
                <w:szCs w:val="21"/>
              </w:rPr>
              <w:t>合计</w:t>
            </w:r>
          </w:p>
        </w:tc>
        <w:tc>
          <w:tcPr>
            <w:tcW w:w="1279" w:type="pct"/>
            <w:tcBorders>
              <w:top w:val="nil"/>
              <w:left w:val="nil"/>
              <w:bottom w:val="single" w:color="000000" w:sz="12" w:space="0"/>
              <w:right w:val="nil"/>
            </w:tcBorders>
            <w:shd w:val="clear" w:color="auto" w:fill="FFFFFF"/>
            <w:vAlign w:val="center"/>
          </w:tcPr>
          <w:p w14:paraId="5E6268A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317</w:t>
            </w:r>
          </w:p>
        </w:tc>
        <w:tc>
          <w:tcPr>
            <w:tcW w:w="1273" w:type="pct"/>
            <w:tcBorders>
              <w:top w:val="nil"/>
              <w:left w:val="nil"/>
              <w:bottom w:val="single" w:color="000000" w:sz="12" w:space="0"/>
              <w:right w:val="nil"/>
            </w:tcBorders>
            <w:shd w:val="clear" w:color="auto" w:fill="FFFFFF"/>
            <w:vAlign w:val="center"/>
          </w:tcPr>
          <w:p w14:paraId="734D735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2817</w:t>
            </w:r>
          </w:p>
        </w:tc>
        <w:tc>
          <w:tcPr>
            <w:tcW w:w="1167" w:type="pct"/>
            <w:tcBorders>
              <w:top w:val="nil"/>
              <w:left w:val="nil"/>
              <w:bottom w:val="single" w:color="000000" w:sz="12" w:space="0"/>
              <w:right w:val="nil"/>
            </w:tcBorders>
            <w:shd w:val="clear" w:color="auto" w:fill="FFFFFF"/>
            <w:vAlign w:val="center"/>
          </w:tcPr>
          <w:p w14:paraId="30F0654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38960</w:t>
            </w:r>
          </w:p>
        </w:tc>
      </w:tr>
    </w:tbl>
    <w:p w14:paraId="2B481692">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表3-3显示，20个评价单元的有效证据记录数均值为207.40，中位数为202.00，二者较为接近；标准差为72.70，说明不同评价单元的记录规模仍有一定差异。按单一来源统计时，记录数均值为41.48，中位数为31.00，说明少数记录量较大的来源提高了总体均值，这与表3-2所示的来源集中现象一致。风险维度模型权重的均值为0.20，是五类权重组内归一化的结果。</w:t>
      </w:r>
    </w:p>
    <w:p w14:paraId="520F3B8D">
      <w:pPr>
        <w:pageBreakBefore w:val="0"/>
        <w:widowControl/>
        <w:kinsoku/>
        <w:wordWrap/>
        <w:overflowPunct/>
        <w:topLinePunct w:val="0"/>
        <w:autoSpaceDE/>
        <w:autoSpaceDN/>
        <w:bidi w:val="0"/>
        <w:adjustRightInd/>
        <w:snapToGrid/>
        <w:spacing w:line="360" w:lineRule="auto"/>
        <w:jc w:val="center"/>
        <w:textAlignment w:val="auto"/>
        <w:rPr>
          <w:rFonts w:ascii="Times New Roman" w:hAnsi="Times New Roman" w:eastAsia="宋体" w:cs="Times New Roman"/>
          <w:color w:val="000000"/>
          <w:kern w:val="0"/>
          <w:sz w:val="21"/>
          <w:szCs w:val="18"/>
        </w:rPr>
      </w:pPr>
      <w:r>
        <w:rPr>
          <w:rFonts w:ascii="Times New Roman" w:hAnsi="Times New Roman" w:eastAsia="宋体" w:cs="Times New Roman"/>
          <w:color w:val="000000"/>
          <w:kern w:val="0"/>
          <w:sz w:val="21"/>
          <w:szCs w:val="18"/>
        </w:rPr>
        <w:t>表3-3ERS输入变量的描述性统计</w:t>
      </w:r>
    </w:p>
    <w:tbl>
      <w:tblPr>
        <w:tblStyle w:val="18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7"/>
        <w:gridCol w:w="2329"/>
        <w:gridCol w:w="851"/>
        <w:gridCol w:w="797"/>
        <w:gridCol w:w="851"/>
        <w:gridCol w:w="851"/>
        <w:gridCol w:w="1696"/>
      </w:tblGrid>
      <w:tr w14:paraId="4159E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7" w:type="pct"/>
            <w:tcBorders>
              <w:top w:val="single" w:color="000000" w:sz="12" w:space="0"/>
              <w:left w:val="nil"/>
              <w:bottom w:val="single" w:color="000000" w:sz="4" w:space="0"/>
              <w:right w:val="nil"/>
              <w:tl2br w:val="nil"/>
            </w:tcBorders>
            <w:shd w:val="clear" w:color="auto" w:fill="FFFFFF"/>
            <w:vAlign w:val="center"/>
          </w:tcPr>
          <w:p w14:paraId="4524402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变量</w:t>
            </w:r>
          </w:p>
        </w:tc>
        <w:tc>
          <w:tcPr>
            <w:tcW w:w="1254" w:type="pct"/>
            <w:tcBorders>
              <w:top w:val="single" w:color="000000" w:sz="12" w:space="0"/>
              <w:left w:val="nil"/>
              <w:bottom w:val="single" w:color="000000" w:sz="4" w:space="0"/>
              <w:right w:val="nil"/>
            </w:tcBorders>
            <w:shd w:val="clear" w:color="auto" w:fill="FFFFFF"/>
            <w:vAlign w:val="center"/>
          </w:tcPr>
          <w:p w14:paraId="7662C77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观测单位</w:t>
            </w:r>
          </w:p>
        </w:tc>
        <w:tc>
          <w:tcPr>
            <w:tcW w:w="458" w:type="pct"/>
            <w:tcBorders>
              <w:top w:val="single" w:color="000000" w:sz="12" w:space="0"/>
              <w:left w:val="nil"/>
              <w:bottom w:val="single" w:color="000000" w:sz="4" w:space="0"/>
              <w:right w:val="nil"/>
            </w:tcBorders>
            <w:shd w:val="clear" w:color="auto" w:fill="FFFFFF"/>
            <w:vAlign w:val="center"/>
          </w:tcPr>
          <w:p w14:paraId="7BA47C3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观测数</w:t>
            </w:r>
          </w:p>
        </w:tc>
        <w:tc>
          <w:tcPr>
            <w:tcW w:w="429" w:type="pct"/>
            <w:tcBorders>
              <w:top w:val="single" w:color="000000" w:sz="12" w:space="0"/>
              <w:left w:val="nil"/>
              <w:bottom w:val="single" w:color="000000" w:sz="4" w:space="0"/>
              <w:right w:val="nil"/>
            </w:tcBorders>
            <w:shd w:val="clear" w:color="auto" w:fill="FFFFFF"/>
            <w:vAlign w:val="center"/>
          </w:tcPr>
          <w:p w14:paraId="11F1C22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均值</w:t>
            </w:r>
          </w:p>
        </w:tc>
        <w:tc>
          <w:tcPr>
            <w:tcW w:w="458" w:type="pct"/>
            <w:tcBorders>
              <w:top w:val="single" w:color="000000" w:sz="12" w:space="0"/>
              <w:left w:val="nil"/>
              <w:bottom w:val="single" w:color="000000" w:sz="4" w:space="0"/>
              <w:right w:val="nil"/>
            </w:tcBorders>
            <w:shd w:val="clear" w:color="auto" w:fill="FFFFFF"/>
            <w:vAlign w:val="center"/>
          </w:tcPr>
          <w:p w14:paraId="203D31D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标准差</w:t>
            </w:r>
          </w:p>
        </w:tc>
        <w:tc>
          <w:tcPr>
            <w:tcW w:w="458" w:type="pct"/>
            <w:tcBorders>
              <w:top w:val="single" w:color="000000" w:sz="12" w:space="0"/>
              <w:left w:val="nil"/>
              <w:bottom w:val="single" w:color="000000" w:sz="4" w:space="0"/>
              <w:right w:val="nil"/>
            </w:tcBorders>
            <w:shd w:val="clear" w:color="auto" w:fill="FFFFFF"/>
            <w:vAlign w:val="center"/>
          </w:tcPr>
          <w:p w14:paraId="6D1E455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中位数</w:t>
            </w:r>
          </w:p>
        </w:tc>
        <w:tc>
          <w:tcPr>
            <w:tcW w:w="913" w:type="pct"/>
            <w:tcBorders>
              <w:top w:val="single" w:color="000000" w:sz="12" w:space="0"/>
              <w:left w:val="nil"/>
              <w:bottom w:val="single" w:color="000000" w:sz="4" w:space="0"/>
              <w:right w:val="nil"/>
            </w:tcBorders>
            <w:shd w:val="clear" w:color="auto" w:fill="FFFFFF"/>
            <w:vAlign w:val="center"/>
          </w:tcPr>
          <w:p w14:paraId="590F682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最小值—最大值</w:t>
            </w:r>
          </w:p>
        </w:tc>
      </w:tr>
      <w:tr w14:paraId="54BFC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pct"/>
            <w:tcBorders>
              <w:top w:val="single" w:color="000000" w:sz="4" w:space="0"/>
              <w:left w:val="nil"/>
              <w:bottom w:val="nil"/>
              <w:right w:val="nil"/>
            </w:tcBorders>
            <w:shd w:val="clear" w:color="auto" w:fill="FFFFFF"/>
            <w:vAlign w:val="center"/>
          </w:tcPr>
          <w:p w14:paraId="3FF814B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有效证据记录数</w:t>
            </w:r>
          </w:p>
        </w:tc>
        <w:tc>
          <w:tcPr>
            <w:tcW w:w="1254" w:type="pct"/>
            <w:tcBorders>
              <w:top w:val="single" w:color="000000" w:sz="4" w:space="0"/>
              <w:left w:val="nil"/>
              <w:bottom w:val="nil"/>
              <w:right w:val="nil"/>
            </w:tcBorders>
            <w:shd w:val="clear" w:color="auto" w:fill="FFFFFF"/>
            <w:vAlign w:val="center"/>
          </w:tcPr>
          <w:p w14:paraId="7D26FB9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领域—风险</w:t>
            </w:r>
          </w:p>
        </w:tc>
        <w:tc>
          <w:tcPr>
            <w:tcW w:w="458" w:type="pct"/>
            <w:tcBorders>
              <w:top w:val="single" w:color="000000" w:sz="4" w:space="0"/>
              <w:left w:val="nil"/>
              <w:bottom w:val="nil"/>
              <w:right w:val="nil"/>
            </w:tcBorders>
            <w:shd w:val="clear" w:color="auto" w:fill="FFFFFF"/>
            <w:vAlign w:val="center"/>
          </w:tcPr>
          <w:p w14:paraId="4C3D35E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20</w:t>
            </w:r>
          </w:p>
        </w:tc>
        <w:tc>
          <w:tcPr>
            <w:tcW w:w="429" w:type="pct"/>
            <w:tcBorders>
              <w:top w:val="single" w:color="000000" w:sz="4" w:space="0"/>
              <w:left w:val="nil"/>
              <w:bottom w:val="nil"/>
              <w:right w:val="nil"/>
            </w:tcBorders>
            <w:shd w:val="clear" w:color="auto" w:fill="FFFFFF"/>
            <w:vAlign w:val="center"/>
          </w:tcPr>
          <w:p w14:paraId="497B247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207.40</w:t>
            </w:r>
          </w:p>
        </w:tc>
        <w:tc>
          <w:tcPr>
            <w:tcW w:w="458" w:type="pct"/>
            <w:tcBorders>
              <w:top w:val="single" w:color="000000" w:sz="4" w:space="0"/>
              <w:left w:val="nil"/>
              <w:bottom w:val="nil"/>
              <w:right w:val="nil"/>
            </w:tcBorders>
            <w:shd w:val="clear" w:color="auto" w:fill="FFFFFF"/>
            <w:vAlign w:val="center"/>
          </w:tcPr>
          <w:p w14:paraId="3C11185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72.70</w:t>
            </w:r>
          </w:p>
        </w:tc>
        <w:tc>
          <w:tcPr>
            <w:tcW w:w="458" w:type="pct"/>
            <w:tcBorders>
              <w:top w:val="single" w:color="000000" w:sz="4" w:space="0"/>
              <w:left w:val="nil"/>
              <w:bottom w:val="nil"/>
              <w:right w:val="nil"/>
            </w:tcBorders>
            <w:shd w:val="clear" w:color="auto" w:fill="FFFFFF"/>
            <w:vAlign w:val="center"/>
          </w:tcPr>
          <w:p w14:paraId="5CCA7B5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202.00</w:t>
            </w:r>
          </w:p>
        </w:tc>
        <w:tc>
          <w:tcPr>
            <w:tcW w:w="913" w:type="pct"/>
            <w:tcBorders>
              <w:top w:val="single" w:color="000000" w:sz="4" w:space="0"/>
              <w:left w:val="nil"/>
              <w:bottom w:val="nil"/>
              <w:right w:val="nil"/>
            </w:tcBorders>
            <w:shd w:val="clear" w:color="auto" w:fill="FFFFFF"/>
            <w:vAlign w:val="center"/>
          </w:tcPr>
          <w:p w14:paraId="567F140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99—394</w:t>
            </w:r>
          </w:p>
        </w:tc>
      </w:tr>
      <w:tr w14:paraId="710B8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pct"/>
            <w:tcBorders>
              <w:top w:val="nil"/>
              <w:left w:val="nil"/>
              <w:bottom w:val="nil"/>
              <w:right w:val="nil"/>
            </w:tcBorders>
            <w:shd w:val="clear" w:color="auto" w:fill="FFFFFF"/>
            <w:vAlign w:val="center"/>
          </w:tcPr>
          <w:p w14:paraId="72953D3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单来源有效记录数</w:t>
            </w:r>
          </w:p>
        </w:tc>
        <w:tc>
          <w:tcPr>
            <w:tcW w:w="1254" w:type="pct"/>
            <w:tcBorders>
              <w:top w:val="nil"/>
              <w:left w:val="nil"/>
              <w:bottom w:val="nil"/>
              <w:right w:val="nil"/>
            </w:tcBorders>
            <w:shd w:val="clear" w:color="auto" w:fill="FFFFFF"/>
            <w:vAlign w:val="center"/>
          </w:tcPr>
          <w:p w14:paraId="062C2F5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领域—风险—来源</w:t>
            </w:r>
          </w:p>
        </w:tc>
        <w:tc>
          <w:tcPr>
            <w:tcW w:w="458" w:type="pct"/>
            <w:tcBorders>
              <w:top w:val="nil"/>
              <w:left w:val="nil"/>
              <w:bottom w:val="nil"/>
              <w:right w:val="nil"/>
            </w:tcBorders>
            <w:shd w:val="clear" w:color="auto" w:fill="FFFFFF"/>
            <w:vAlign w:val="center"/>
          </w:tcPr>
          <w:p w14:paraId="629750D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100</w:t>
            </w:r>
          </w:p>
        </w:tc>
        <w:tc>
          <w:tcPr>
            <w:tcW w:w="429" w:type="pct"/>
            <w:tcBorders>
              <w:top w:val="nil"/>
              <w:left w:val="nil"/>
              <w:bottom w:val="nil"/>
              <w:right w:val="nil"/>
            </w:tcBorders>
            <w:shd w:val="clear" w:color="auto" w:fill="FFFFFF"/>
            <w:vAlign w:val="center"/>
          </w:tcPr>
          <w:p w14:paraId="5197E71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41.48</w:t>
            </w:r>
          </w:p>
        </w:tc>
        <w:tc>
          <w:tcPr>
            <w:tcW w:w="458" w:type="pct"/>
            <w:tcBorders>
              <w:top w:val="nil"/>
              <w:left w:val="nil"/>
              <w:bottom w:val="nil"/>
              <w:right w:val="nil"/>
            </w:tcBorders>
            <w:shd w:val="clear" w:color="auto" w:fill="FFFFFF"/>
            <w:vAlign w:val="center"/>
          </w:tcPr>
          <w:p w14:paraId="0A0C3AF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33.64</w:t>
            </w:r>
          </w:p>
        </w:tc>
        <w:tc>
          <w:tcPr>
            <w:tcW w:w="458" w:type="pct"/>
            <w:tcBorders>
              <w:top w:val="nil"/>
              <w:left w:val="nil"/>
              <w:bottom w:val="nil"/>
              <w:right w:val="nil"/>
            </w:tcBorders>
            <w:shd w:val="clear" w:color="auto" w:fill="FFFFFF"/>
            <w:vAlign w:val="center"/>
          </w:tcPr>
          <w:p w14:paraId="6352EE8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31.00</w:t>
            </w:r>
          </w:p>
        </w:tc>
        <w:tc>
          <w:tcPr>
            <w:tcW w:w="913" w:type="pct"/>
            <w:tcBorders>
              <w:top w:val="nil"/>
              <w:left w:val="nil"/>
              <w:bottom w:val="nil"/>
              <w:right w:val="nil"/>
            </w:tcBorders>
            <w:shd w:val="clear" w:color="auto" w:fill="FFFFFF"/>
            <w:vAlign w:val="center"/>
          </w:tcPr>
          <w:p w14:paraId="738B96E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0—102</w:t>
            </w:r>
          </w:p>
        </w:tc>
      </w:tr>
      <w:tr w14:paraId="5C966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pct"/>
            <w:tcBorders>
              <w:top w:val="nil"/>
              <w:left w:val="nil"/>
              <w:bottom w:val="single" w:color="000000" w:sz="12" w:space="0"/>
              <w:right w:val="nil"/>
            </w:tcBorders>
            <w:shd w:val="clear" w:color="auto" w:fill="FFFFFF"/>
            <w:vAlign w:val="center"/>
          </w:tcPr>
          <w:p w14:paraId="4D2D2B9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风险维度模型权重</w:t>
            </w:r>
          </w:p>
        </w:tc>
        <w:tc>
          <w:tcPr>
            <w:tcW w:w="1254" w:type="pct"/>
            <w:tcBorders>
              <w:top w:val="nil"/>
              <w:left w:val="nil"/>
              <w:bottom w:val="single" w:color="000000" w:sz="12" w:space="0"/>
              <w:right w:val="nil"/>
            </w:tcBorders>
            <w:shd w:val="clear" w:color="auto" w:fill="FFFFFF"/>
            <w:vAlign w:val="center"/>
          </w:tcPr>
          <w:p w14:paraId="24DE341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rPr>
            </w:pPr>
            <w:r>
              <w:rPr>
                <w:rFonts w:ascii="Times New Roman" w:hAnsi="Times New Roman" w:eastAsia="宋体" w:cs="宋体"/>
                <w:b w:val="0"/>
                <w:color w:val="000000"/>
                <w:kern w:val="0"/>
                <w:sz w:val="21"/>
                <w:szCs w:val="21"/>
              </w:rPr>
              <w:t>领域—风险—风险维度</w:t>
            </w:r>
          </w:p>
        </w:tc>
        <w:tc>
          <w:tcPr>
            <w:tcW w:w="458" w:type="pct"/>
            <w:tcBorders>
              <w:top w:val="nil"/>
              <w:left w:val="nil"/>
              <w:bottom w:val="single" w:color="000000" w:sz="12" w:space="0"/>
              <w:right w:val="nil"/>
            </w:tcBorders>
            <w:shd w:val="clear" w:color="auto" w:fill="FFFFFF"/>
            <w:vAlign w:val="center"/>
          </w:tcPr>
          <w:p w14:paraId="4F3F33E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100</w:t>
            </w:r>
          </w:p>
        </w:tc>
        <w:tc>
          <w:tcPr>
            <w:tcW w:w="429" w:type="pct"/>
            <w:tcBorders>
              <w:top w:val="nil"/>
              <w:left w:val="nil"/>
              <w:bottom w:val="single" w:color="000000" w:sz="12" w:space="0"/>
              <w:right w:val="nil"/>
            </w:tcBorders>
            <w:shd w:val="clear" w:color="auto" w:fill="FFFFFF"/>
            <w:vAlign w:val="center"/>
          </w:tcPr>
          <w:p w14:paraId="1A7ADA3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0.2000</w:t>
            </w:r>
          </w:p>
        </w:tc>
        <w:tc>
          <w:tcPr>
            <w:tcW w:w="458" w:type="pct"/>
            <w:tcBorders>
              <w:top w:val="nil"/>
              <w:left w:val="nil"/>
              <w:bottom w:val="single" w:color="000000" w:sz="12" w:space="0"/>
              <w:right w:val="nil"/>
            </w:tcBorders>
            <w:shd w:val="clear" w:color="auto" w:fill="FFFFFF"/>
            <w:vAlign w:val="center"/>
          </w:tcPr>
          <w:p w14:paraId="65FEDC9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0.1053</w:t>
            </w:r>
          </w:p>
        </w:tc>
        <w:tc>
          <w:tcPr>
            <w:tcW w:w="458" w:type="pct"/>
            <w:tcBorders>
              <w:top w:val="nil"/>
              <w:left w:val="nil"/>
              <w:bottom w:val="single" w:color="000000" w:sz="12" w:space="0"/>
              <w:right w:val="nil"/>
            </w:tcBorders>
            <w:shd w:val="clear" w:color="auto" w:fill="FFFFFF"/>
            <w:vAlign w:val="center"/>
          </w:tcPr>
          <w:p w14:paraId="4EA9E58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0.1925</w:t>
            </w:r>
          </w:p>
        </w:tc>
        <w:tc>
          <w:tcPr>
            <w:tcW w:w="913" w:type="pct"/>
            <w:tcBorders>
              <w:top w:val="nil"/>
              <w:left w:val="nil"/>
              <w:bottom w:val="single" w:color="000000" w:sz="12" w:space="0"/>
              <w:right w:val="nil"/>
            </w:tcBorders>
            <w:shd w:val="clear" w:color="auto" w:fill="FFFFFF"/>
            <w:vAlign w:val="center"/>
          </w:tcPr>
          <w:p w14:paraId="6CBFEA1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0.0000—0.5932</w:t>
            </w:r>
          </w:p>
        </w:tc>
      </w:tr>
    </w:tbl>
    <w:p w14:paraId="538946CB">
      <w:pPr>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cs="Times New Roman"/>
          <w:color w:val="595959"/>
          <w:sz w:val="20"/>
          <w:szCs w:val="20"/>
        </w:rPr>
      </w:pPr>
      <w:r>
        <w:rPr>
          <w:rFonts w:ascii="Times New Roman" w:hAnsi="Times New Roman" w:eastAsia="宋体" w:cs="Times New Roman"/>
          <w:color w:val="595959"/>
          <w:sz w:val="20"/>
          <w:szCs w:val="20"/>
        </w:rPr>
        <w:t>注：标准差按总体标准差计算。风险维度模型权重在每个</w:t>
      </w:r>
      <w:r>
        <w:rPr>
          <w:rFonts w:hint="eastAsia" w:cs="Times New Roman"/>
          <w:color w:val="595959"/>
          <w:sz w:val="20"/>
          <w:szCs w:val="20"/>
          <w:lang w:eastAsia="zh-CN"/>
        </w:rPr>
        <w:t>“</w:t>
      </w:r>
      <w:r>
        <w:rPr>
          <w:rFonts w:ascii="Times New Roman" w:hAnsi="Times New Roman" w:eastAsia="宋体" w:cs="Times New Roman"/>
          <w:color w:val="595959"/>
          <w:sz w:val="20"/>
          <w:szCs w:val="20"/>
        </w:rPr>
        <w:t>领域—风险</w:t>
      </w:r>
      <w:r>
        <w:rPr>
          <w:rFonts w:hint="eastAsia" w:cs="Times New Roman"/>
          <w:color w:val="595959"/>
          <w:sz w:val="20"/>
          <w:szCs w:val="20"/>
          <w:lang w:eastAsia="zh-CN"/>
        </w:rPr>
        <w:t>”</w:t>
      </w:r>
      <w:r>
        <w:rPr>
          <w:rFonts w:ascii="Times New Roman" w:hAnsi="Times New Roman" w:eastAsia="宋体" w:cs="Times New Roman"/>
          <w:color w:val="595959"/>
          <w:sz w:val="20"/>
          <w:szCs w:val="20"/>
        </w:rPr>
        <w:t>组内归一化，组内五类权重之和为1。表中的11个零值来自问卷未设置相应题项，不表示现实中不存在该风险维度。</w:t>
      </w:r>
    </w:p>
    <w:p w14:paraId="2F860543">
      <w:pPr>
        <w:pStyle w:val="4"/>
        <w:bidi w:val="0"/>
        <w:rPr>
          <w:rFonts w:hint="default"/>
          <w:lang w:val="en-US"/>
        </w:rPr>
      </w:pPr>
      <w:bookmarkStart w:id="13" w:name="_Toc15411"/>
      <w:r>
        <w:rPr>
          <w:rFonts w:hint="eastAsia"/>
          <w:lang w:eastAsia="zh-CN"/>
        </w:rPr>
        <w:t>（</w:t>
      </w:r>
      <w:r>
        <w:rPr>
          <w:rFonts w:hint="eastAsia"/>
          <w:lang w:val="en-US" w:eastAsia="zh-CN"/>
        </w:rPr>
        <w:t>二</w:t>
      </w:r>
      <w:r>
        <w:rPr>
          <w:rFonts w:hint="eastAsia"/>
          <w:lang w:eastAsia="zh-CN"/>
        </w:rPr>
        <w:t>）</w:t>
      </w:r>
      <w:r>
        <w:rPr>
          <w:rFonts w:hint="eastAsia"/>
          <w:lang w:val="en-US" w:eastAsia="zh-CN"/>
        </w:rPr>
        <w:t>AI伦理风险指标的构建</w:t>
      </w:r>
      <w:bookmarkEnd w:id="13"/>
    </w:p>
    <w:p w14:paraId="15158636">
      <w:pPr>
        <w:bidi w:val="0"/>
        <w:rPr>
          <w:rFonts w:hint="eastAsia"/>
        </w:rPr>
      </w:pPr>
      <w:r>
        <w:rPr>
          <w:rFonts w:hint="eastAsia"/>
        </w:rPr>
        <w:t>Dyoub、Letteri和Lisi（2025）提出的ff4ERA架构指出，伦理风险评估（ERA）面临固有的不确定性、模糊性和信息不完备性，传统的二元逻辑难以有效处理伦理判断中的渐变和模糊边界。为此，他们提出了一个整合模糊逻辑、模糊层次分析法（FAHP）和置信因子（CF）的框架ff4ERA，将每一类伦理风险的评分（ERS）分解为三个分量的乘积：通过Mamdani型模糊推理系统计算的风险水平（risk level）、通过FAHP导出的风险重要性权重（WoI），以及反映证据置信程度的CF。该框架为多源异构信息条件下的伦理风险评估提供了一套清晰可操作的整合方法——这一思路与本研究面临的数据条件高度吻合</w:t>
      </w:r>
      <w:r>
        <w:rPr>
          <w:rStyle w:val="150"/>
          <w:rFonts w:hint="eastAsia"/>
        </w:rPr>
        <w:footnoteReference w:id="18"/>
      </w:r>
      <w:r>
        <w:rPr>
          <w:rFonts w:hint="eastAsia"/>
        </w:rPr>
        <w:t>。</w:t>
      </w:r>
    </w:p>
    <w:p w14:paraId="7C969AF7">
      <w:pPr>
        <w:bidi w:val="0"/>
        <w:rPr>
          <w:rFonts w:hint="eastAsia"/>
        </w:rPr>
      </w:pPr>
      <w:r>
        <w:rPr>
          <w:rFonts w:hint="eastAsia"/>
        </w:rPr>
        <w:t>受ff4ERA架构启发，本节结合舆情和问卷数据构造</w:t>
      </w:r>
      <w:r>
        <w:rPr>
          <w:rFonts w:hint="eastAsia"/>
          <w:lang w:val="en-US" w:eastAsia="zh-CN"/>
        </w:rPr>
        <w:t>AI伦理风险</w:t>
      </w:r>
      <w:r>
        <w:rPr>
          <w:rFonts w:hint="eastAsia"/>
        </w:rPr>
        <w:t>ERS，识别不同“领域—风险”组合的相对关注优先级。当前，AI伦理风险识别受到三类信息约束：不同公开来源的风险证据存在差异；风险重要程度包含专家和公众的价值判断；不同“领域—风险”组合的证据数量和来源覆盖程度也不一致。故本节考察个性化算法、机器视觉、自动驾驶和服务机器人四个领域的决策不自主受控、侵犯隐私、加剧社会偏见或歧视、破坏社会公平、权责归属不清或失当五类核心伦理风险，共形成20个评价单元。</w:t>
      </w:r>
    </w:p>
    <w:p w14:paraId="1438145D">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hint="eastAsia" w:ascii="Times New Roman" w:hAnsi="Times New Roman" w:eastAsia="宋体" w:cs="Times New Roman"/>
          <w:color w:val="0F1115"/>
          <w:kern w:val="0"/>
          <w:sz w:val="24"/>
          <w:szCs w:val="24"/>
          <w:shd w:val="clear" w:color="auto" w:fill="FFFFFF"/>
        </w:rPr>
        <w:t>本节</w:t>
      </w:r>
      <w:r>
        <w:rPr>
          <w:rFonts w:ascii="Times New Roman" w:hAnsi="Times New Roman" w:eastAsia="宋体" w:cs="Times New Roman"/>
          <w:color w:val="0F1115"/>
          <w:kern w:val="0"/>
          <w:sz w:val="24"/>
          <w:szCs w:val="24"/>
          <w:shd w:val="clear" w:color="auto" w:fill="FFFFFF"/>
        </w:rPr>
        <w:t>构建</w:t>
      </w:r>
      <w:r>
        <w:rPr>
          <w:rFonts w:hint="eastAsia" w:ascii="Times New Roman" w:hAnsi="Times New Roman" w:eastAsia="宋体" w:cs="Times New Roman"/>
          <w:color w:val="0F1115"/>
          <w:kern w:val="0"/>
          <w:sz w:val="24"/>
          <w:szCs w:val="24"/>
          <w:shd w:val="clear" w:color="auto" w:fill="FFFFFF"/>
        </w:rPr>
        <w:t>AI伦理</w:t>
      </w:r>
      <w:r>
        <w:rPr>
          <w:rFonts w:ascii="Times New Roman" w:hAnsi="Times New Roman" w:eastAsia="宋体" w:cs="Times New Roman"/>
          <w:color w:val="0F1115"/>
          <w:kern w:val="0"/>
          <w:sz w:val="24"/>
          <w:szCs w:val="24"/>
          <w:shd w:val="clear" w:color="auto" w:fill="FFFFFF"/>
        </w:rPr>
        <w:t>风险ERS识别模型</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设</w:t>
      </w:r>
      <w:r>
        <w:rPr>
          <w:rFonts w:hint="eastAsia" w:cs="Times New Roman"/>
          <w:color w:val="0F1115"/>
          <w:kern w:val="0"/>
          <w:sz w:val="24"/>
          <w:szCs w:val="24"/>
          <w:shd w:val="clear" w:color="auto" w:fill="FFFFFF"/>
          <w:lang w:eastAsia="zh-CN"/>
        </w:rPr>
        <w:t>AI</w:t>
      </w:r>
      <w:r>
        <w:rPr>
          <w:rFonts w:ascii="Times New Roman" w:hAnsi="Times New Roman" w:eastAsia="宋体" w:cs="Times New Roman"/>
          <w:color w:val="0F1115"/>
          <w:kern w:val="0"/>
          <w:sz w:val="24"/>
          <w:szCs w:val="24"/>
          <w:shd w:val="clear" w:color="auto" w:fill="FFFFFF"/>
        </w:rPr>
        <w:t>应用领域集合为I，伦理风险集合为J</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对于任一组合</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i,j</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，模型需要将公开证据所揭示的风险结构、</w:t>
      </w:r>
      <w:r>
        <w:rPr>
          <w:rFonts w:hint="eastAsia" w:ascii="Times New Roman" w:hAnsi="Times New Roman" w:eastAsia="宋体" w:cs="Times New Roman"/>
          <w:color w:val="0F1115"/>
          <w:kern w:val="0"/>
          <w:sz w:val="24"/>
          <w:szCs w:val="24"/>
          <w:shd w:val="clear" w:color="auto" w:fill="FFFFFF"/>
        </w:rPr>
        <w:t>专家和公众</w:t>
      </w:r>
      <w:r>
        <w:rPr>
          <w:rFonts w:ascii="Times New Roman" w:hAnsi="Times New Roman" w:eastAsia="宋体" w:cs="Times New Roman"/>
          <w:color w:val="0F1115"/>
          <w:kern w:val="0"/>
          <w:sz w:val="24"/>
          <w:szCs w:val="24"/>
          <w:shd w:val="clear" w:color="auto" w:fill="FFFFFF"/>
        </w:rPr>
        <w:t>对风险重要性的判断以及支撑上述识别的证据充分程度</w:t>
      </w:r>
      <w:r>
        <w:rPr>
          <w:rFonts w:hint="eastAsia" w:ascii="Times New Roman" w:hAnsi="Times New Roman" w:eastAsia="宋体" w:cs="Times New Roman"/>
          <w:color w:val="0F1115"/>
          <w:kern w:val="0"/>
          <w:sz w:val="24"/>
          <w:szCs w:val="24"/>
          <w:shd w:val="clear" w:color="auto" w:fill="FFFFFF"/>
        </w:rPr>
        <w:t>转化</w:t>
      </w:r>
      <w:r>
        <w:rPr>
          <w:rFonts w:ascii="Times New Roman" w:hAnsi="Times New Roman" w:eastAsia="宋体" w:cs="Times New Roman"/>
          <w:color w:val="0F1115"/>
          <w:kern w:val="0"/>
          <w:sz w:val="24"/>
          <w:szCs w:val="24"/>
          <w:shd w:val="clear" w:color="auto" w:fill="FFFFFF"/>
        </w:rPr>
        <w:t>为统一且可比较的度量。</w:t>
      </w:r>
      <w:r>
        <w:rPr>
          <w:rFonts w:hint="eastAsia"/>
        </w:rPr>
        <w:t>基于ff4ERA的三维分解逻辑</w:t>
      </w:r>
      <w:r>
        <w:rPr>
          <w:rFonts w:hint="eastAsia"/>
          <w:lang w:eastAsia="zh-CN"/>
        </w:rPr>
        <w:t>，</w:t>
      </w:r>
      <w:r>
        <w:rPr>
          <w:rFonts w:ascii="Times New Roman" w:hAnsi="Times New Roman" w:eastAsia="宋体" w:cs="Times New Roman"/>
          <w:color w:val="0F1115"/>
          <w:kern w:val="0"/>
          <w:sz w:val="24"/>
          <w:szCs w:val="24"/>
          <w:shd w:val="clear" w:color="auto" w:fill="FFFFFF"/>
        </w:rPr>
        <w:t>将风险优先级分解为三个相互补充的维度：证据风险度量ERM、相对重要性权重WoI以及证据充分度修正CF。ERM回答现有证据呈现</w:t>
      </w:r>
      <w:r>
        <w:rPr>
          <w:rFonts w:hint="eastAsia" w:cs="Times New Roman"/>
          <w:color w:val="0F1115"/>
          <w:kern w:val="0"/>
          <w:sz w:val="24"/>
          <w:szCs w:val="24"/>
          <w:shd w:val="clear" w:color="auto" w:fill="FFFFFF"/>
          <w:lang w:val="en-US" w:eastAsia="zh-CN"/>
        </w:rPr>
        <w:t>AI伦理风险</w:t>
      </w:r>
      <w:r>
        <w:rPr>
          <w:rFonts w:ascii="Times New Roman" w:hAnsi="Times New Roman" w:eastAsia="宋体" w:cs="Times New Roman"/>
          <w:color w:val="0F1115"/>
          <w:kern w:val="0"/>
          <w:sz w:val="24"/>
          <w:szCs w:val="24"/>
          <w:shd w:val="clear" w:color="auto" w:fill="FFFFFF"/>
        </w:rPr>
        <w:t>何种风险结构</w:t>
      </w:r>
      <w:r>
        <w:rPr>
          <w:rFonts w:hint="eastAsia" w:cs="Times New Roman"/>
          <w:color w:val="0F1115"/>
          <w:kern w:val="0"/>
          <w:sz w:val="24"/>
          <w:szCs w:val="24"/>
          <w:shd w:val="clear" w:color="auto" w:fill="FFFFFF"/>
          <w:lang w:val="en-US" w:eastAsia="zh-CN"/>
        </w:rPr>
        <w:t>的问题</w:t>
      </w:r>
      <w:r>
        <w:rPr>
          <w:rFonts w:ascii="Times New Roman" w:hAnsi="Times New Roman" w:eastAsia="宋体" w:cs="Times New Roman"/>
          <w:color w:val="0F1115"/>
          <w:kern w:val="0"/>
          <w:sz w:val="24"/>
          <w:szCs w:val="24"/>
          <w:shd w:val="clear" w:color="auto" w:fill="FFFFFF"/>
        </w:rPr>
        <w:t>，WoI回答该风险在利益相关者判断中有多重要</w:t>
      </w:r>
      <w:r>
        <w:rPr>
          <w:rFonts w:hint="eastAsia" w:cs="Times New Roman"/>
          <w:color w:val="0F1115"/>
          <w:kern w:val="0"/>
          <w:sz w:val="24"/>
          <w:szCs w:val="24"/>
          <w:shd w:val="clear" w:color="auto" w:fill="FFFFFF"/>
          <w:lang w:val="en-US" w:eastAsia="zh-CN"/>
        </w:rPr>
        <w:t>的问题</w:t>
      </w:r>
      <w:r>
        <w:rPr>
          <w:rFonts w:ascii="Times New Roman" w:hAnsi="Times New Roman" w:eastAsia="宋体" w:cs="Times New Roman"/>
          <w:color w:val="0F1115"/>
          <w:kern w:val="0"/>
          <w:sz w:val="24"/>
          <w:szCs w:val="24"/>
          <w:shd w:val="clear" w:color="auto" w:fill="FFFFFF"/>
        </w:rPr>
        <w:t>，CF则进一步刻画上述识别由多充分的证据所支撑。三者共同决定最终</w:t>
      </w:r>
      <w:r>
        <w:rPr>
          <w:rFonts w:hint="eastAsia" w:ascii="Times New Roman" w:hAnsi="Times New Roman" w:eastAsia="宋体" w:cs="Times New Roman"/>
          <w:color w:val="0F1115"/>
          <w:kern w:val="0"/>
          <w:sz w:val="24"/>
          <w:szCs w:val="24"/>
          <w:shd w:val="clear" w:color="auto" w:fill="FFFFFF"/>
        </w:rPr>
        <w:t>AI伦理</w:t>
      </w:r>
      <w:r>
        <w:rPr>
          <w:rFonts w:ascii="Times New Roman" w:hAnsi="Times New Roman" w:eastAsia="宋体" w:cs="Times New Roman"/>
          <w:color w:val="0F1115"/>
          <w:kern w:val="0"/>
          <w:sz w:val="24"/>
          <w:szCs w:val="24"/>
          <w:shd w:val="clear" w:color="auto" w:fill="FFFFFF"/>
        </w:rPr>
        <w:t>风险ERS：</w:t>
      </w:r>
    </w:p>
    <w:p w14:paraId="05784359">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rPr>
      </w:pPr>
      <w:r>
        <w:rPr>
          <w:rFonts w:ascii="Times New Roman" w:hAnsi="Times New Roman" w:eastAsia="宋体" w:cs="宋体"/>
          <w:kern w:val="0"/>
        </w:rPr>
        <w:t>ERSᵢⱼ=ERMᵢⱼ×WoIᵢⱼ×CFᵢⱼ(3-1)</w:t>
      </w:r>
    </w:p>
    <w:p w14:paraId="1AC947E3">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hint="eastAsia" w:ascii="Times New Roman" w:hAnsi="Times New Roman" w:eastAsia="宋体" w:cs="Times New Roman"/>
          <w:color w:val="0F1115"/>
          <w:kern w:val="0"/>
          <w:sz w:val="24"/>
          <w:szCs w:val="24"/>
          <w:shd w:val="clear" w:color="auto" w:fill="FFFFFF"/>
        </w:rPr>
        <w:t>AI伦理</w:t>
      </w:r>
      <w:r>
        <w:rPr>
          <w:rFonts w:ascii="Times New Roman" w:hAnsi="Times New Roman" w:eastAsia="宋体" w:cs="Times New Roman"/>
          <w:color w:val="0F1115"/>
          <w:kern w:val="0"/>
          <w:sz w:val="24"/>
          <w:szCs w:val="24"/>
          <w:shd w:val="clear" w:color="auto" w:fill="FFFFFF"/>
        </w:rPr>
        <w:t>风险ERS采用乘积结构，任一维度的不足都会</w:t>
      </w:r>
      <w:r>
        <w:rPr>
          <w:rFonts w:hint="eastAsia" w:ascii="Times New Roman" w:hAnsi="Times New Roman" w:eastAsia="宋体" w:cs="Times New Roman"/>
          <w:color w:val="0F1115"/>
          <w:kern w:val="0"/>
          <w:sz w:val="24"/>
          <w:szCs w:val="24"/>
          <w:shd w:val="clear" w:color="auto" w:fill="FFFFFF"/>
        </w:rPr>
        <w:t>使其</w:t>
      </w:r>
      <w:r>
        <w:rPr>
          <w:rFonts w:ascii="Times New Roman" w:hAnsi="Times New Roman" w:eastAsia="宋体" w:cs="Times New Roman"/>
          <w:color w:val="0F1115"/>
          <w:kern w:val="0"/>
          <w:sz w:val="24"/>
          <w:szCs w:val="24"/>
          <w:shd w:val="clear" w:color="auto" w:fill="FFFFFF"/>
        </w:rPr>
        <w:t>降低；当某一维度为0时，其他维度无法对其完全补偿。</w:t>
      </w:r>
      <w:r>
        <w:rPr>
          <w:rFonts w:hint="eastAsia" w:ascii="Times New Roman" w:hAnsi="Times New Roman" w:eastAsia="宋体" w:cs="Times New Roman"/>
          <w:color w:val="0F1115"/>
          <w:kern w:val="0"/>
          <w:sz w:val="24"/>
          <w:szCs w:val="24"/>
          <w:shd w:val="clear" w:color="auto" w:fill="FFFFFF"/>
        </w:rPr>
        <w:t>为了使</w:t>
      </w:r>
      <w:r>
        <w:rPr>
          <w:rFonts w:ascii="Times New Roman" w:hAnsi="Times New Roman" w:eastAsia="宋体" w:cs="Times New Roman"/>
          <w:color w:val="0F1115"/>
          <w:kern w:val="0"/>
          <w:sz w:val="24"/>
          <w:szCs w:val="24"/>
          <w:shd w:val="clear" w:color="auto" w:fill="FFFFFF"/>
        </w:rPr>
        <w:t>不同组合之间</w:t>
      </w:r>
      <w:r>
        <w:rPr>
          <w:rFonts w:hint="eastAsia" w:ascii="Times New Roman" w:hAnsi="Times New Roman" w:eastAsia="宋体" w:cs="Times New Roman"/>
          <w:color w:val="0F1115"/>
          <w:kern w:val="0"/>
          <w:sz w:val="24"/>
          <w:szCs w:val="24"/>
          <w:shd w:val="clear" w:color="auto" w:fill="FFFFFF"/>
        </w:rPr>
        <w:t>可对比</w:t>
      </w:r>
      <w:r>
        <w:rPr>
          <w:rFonts w:ascii="Times New Roman" w:hAnsi="Times New Roman" w:eastAsia="宋体" w:cs="Times New Roman"/>
          <w:color w:val="0F1115"/>
          <w:kern w:val="0"/>
          <w:sz w:val="24"/>
          <w:szCs w:val="24"/>
          <w:shd w:val="clear" w:color="auto" w:fill="FFFFFF"/>
        </w:rPr>
        <w:t>，以样本内最大值</w:t>
      </w:r>
      <w:r>
        <w:rPr>
          <w:rFonts w:hint="eastAsia" w:ascii="Times New Roman" w:hAnsi="Times New Roman" w:eastAsia="宋体" w:cs="Times New Roman"/>
          <w:color w:val="0F1115"/>
          <w:kern w:val="0"/>
          <w:sz w:val="24"/>
          <w:szCs w:val="24"/>
          <w:shd w:val="clear" w:color="auto" w:fill="FFFFFF"/>
        </w:rPr>
        <w:t>为基础</w:t>
      </w:r>
      <w:r>
        <w:rPr>
          <w:rFonts w:ascii="Times New Roman" w:hAnsi="Times New Roman" w:eastAsia="宋体" w:cs="Times New Roman"/>
          <w:color w:val="0F1115"/>
          <w:kern w:val="0"/>
          <w:sz w:val="24"/>
          <w:szCs w:val="24"/>
          <w:shd w:val="clear" w:color="auto" w:fill="FFFFFF"/>
        </w:rPr>
        <w:t>进行指数化：</w:t>
      </w:r>
    </w:p>
    <w:p w14:paraId="267EB65F">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lang w:eastAsia="en-US"/>
        </w:rPr>
      </w:pPr>
      <w:r>
        <w:rPr>
          <w:rFonts w:ascii="Times New Roman" w:hAnsi="Times New Roman" w:eastAsia="宋体" w:cs="宋体"/>
          <w:kern w:val="0"/>
          <w:lang w:eastAsia="en-US"/>
        </w:rPr>
        <w:t>ERSᵢ</w:t>
      </w:r>
      <w:r>
        <w:rPr>
          <w:rFonts w:ascii="Times New Roman" w:hAnsi="Times New Roman" w:eastAsia="宋体" w:cs="Times New Roman"/>
          <w:kern w:val="0"/>
          <w:lang w:eastAsia="en-US"/>
        </w:rPr>
        <w:t>ⱼ</w:t>
      </w:r>
      <w:r>
        <w:rPr>
          <w:rFonts w:ascii="Times New Roman" w:hAnsi="Times New Roman" w:eastAsia="宋体" w:cs="宋体"/>
          <w:kern w:val="0"/>
          <w:lang w:eastAsia="en-US"/>
        </w:rPr>
        <w:t>=100×ERSraw,ᵢ</w:t>
      </w:r>
      <w:r>
        <w:rPr>
          <w:rFonts w:ascii="Times New Roman" w:hAnsi="Times New Roman" w:eastAsia="宋体" w:cs="Times New Roman"/>
          <w:kern w:val="0"/>
          <w:lang w:eastAsia="en-US"/>
        </w:rPr>
        <w:t>ⱼ</w:t>
      </w:r>
      <w:r>
        <w:rPr>
          <w:rFonts w:ascii="Times New Roman" w:hAnsi="Times New Roman" w:eastAsia="宋体" w:cs="宋体"/>
          <w:kern w:val="0"/>
          <w:lang w:eastAsia="en-US"/>
        </w:rPr>
        <w:t>/maxᵢ,</w:t>
      </w:r>
      <w:r>
        <w:rPr>
          <w:rFonts w:ascii="Times New Roman" w:hAnsi="Times New Roman" w:eastAsia="宋体" w:cs="Times New Roman"/>
          <w:kern w:val="0"/>
          <w:lang w:eastAsia="en-US"/>
        </w:rPr>
        <w:t>ⱼ</w:t>
      </w:r>
      <w:r>
        <w:rPr>
          <w:rFonts w:ascii="Times New Roman" w:hAnsi="Times New Roman" w:eastAsia="宋体" w:cs="宋体"/>
          <w:kern w:val="0"/>
          <w:lang w:eastAsia="en-US"/>
        </w:rPr>
        <w:t>ERSraw,ᵢ</w:t>
      </w:r>
      <w:r>
        <w:rPr>
          <w:rFonts w:ascii="Times New Roman" w:hAnsi="Times New Roman" w:eastAsia="宋体" w:cs="Times New Roman"/>
          <w:kern w:val="0"/>
          <w:lang w:eastAsia="en-US"/>
        </w:rPr>
        <w:t>ⱼ</w:t>
      </w:r>
      <w:r>
        <w:rPr>
          <w:rFonts w:ascii="Times New Roman" w:hAnsi="Times New Roman" w:eastAsia="宋体" w:cs="宋体"/>
          <w:kern w:val="0"/>
          <w:lang w:eastAsia="en-US"/>
        </w:rPr>
        <w:t>(3-</w:t>
      </w:r>
      <w:r>
        <w:rPr>
          <w:rFonts w:hint="eastAsia" w:ascii="Times New Roman" w:hAnsi="Times New Roman" w:eastAsia="宋体" w:cs="宋体"/>
          <w:kern w:val="0"/>
        </w:rPr>
        <w:t>2</w:t>
      </w:r>
      <w:r>
        <w:rPr>
          <w:rFonts w:ascii="Times New Roman" w:hAnsi="Times New Roman" w:eastAsia="宋体" w:cs="宋体"/>
          <w:kern w:val="0"/>
          <w:lang w:eastAsia="en-US"/>
        </w:rPr>
        <w:t>)</w:t>
      </w:r>
    </w:p>
    <w:p w14:paraId="2441AA5A">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指数化</w:t>
      </w:r>
      <w:r>
        <w:rPr>
          <w:rFonts w:hint="eastAsia" w:ascii="Times New Roman" w:hAnsi="Times New Roman" w:eastAsia="宋体" w:cs="Times New Roman"/>
          <w:color w:val="0F1115"/>
          <w:kern w:val="0"/>
          <w:sz w:val="24"/>
          <w:szCs w:val="24"/>
          <w:shd w:val="clear" w:color="auto" w:fill="FFFFFF"/>
        </w:rPr>
        <w:t>未</w:t>
      </w:r>
      <w:r>
        <w:rPr>
          <w:rFonts w:ascii="Times New Roman" w:hAnsi="Times New Roman" w:eastAsia="宋体" w:cs="Times New Roman"/>
          <w:color w:val="0F1115"/>
          <w:kern w:val="0"/>
          <w:sz w:val="24"/>
          <w:szCs w:val="24"/>
          <w:shd w:val="clear" w:color="auto" w:fill="FFFFFF"/>
        </w:rPr>
        <w:t>改变组合之间的排序，只将最高优先级组合</w:t>
      </w:r>
      <w:r>
        <w:rPr>
          <w:rFonts w:hint="eastAsia" w:ascii="Times New Roman" w:hAnsi="Times New Roman" w:eastAsia="宋体" w:cs="Times New Roman"/>
          <w:color w:val="0F1115"/>
          <w:kern w:val="0"/>
          <w:sz w:val="24"/>
          <w:szCs w:val="24"/>
          <w:shd w:val="clear" w:color="auto" w:fill="FFFFFF"/>
        </w:rPr>
        <w:t>设定</w:t>
      </w:r>
      <w:r>
        <w:rPr>
          <w:rFonts w:ascii="Times New Roman" w:hAnsi="Times New Roman" w:eastAsia="宋体" w:cs="Times New Roman"/>
          <w:color w:val="0F1115"/>
          <w:kern w:val="0"/>
          <w:sz w:val="24"/>
          <w:szCs w:val="24"/>
          <w:shd w:val="clear" w:color="auto" w:fill="FFFFFF"/>
        </w:rPr>
        <w:t>为100。因此，ERS的含义限定为当前</w:t>
      </w:r>
      <w:r>
        <w:rPr>
          <w:rFonts w:hint="eastAsia" w:ascii="Times New Roman" w:hAnsi="Times New Roman" w:eastAsia="宋体" w:cs="Times New Roman"/>
          <w:color w:val="0F1115"/>
          <w:kern w:val="0"/>
          <w:sz w:val="24"/>
          <w:szCs w:val="24"/>
          <w:shd w:val="clear" w:color="auto" w:fill="FFFFFF"/>
        </w:rPr>
        <w:t>舆情</w:t>
      </w:r>
      <w:r>
        <w:rPr>
          <w:rFonts w:ascii="Times New Roman" w:hAnsi="Times New Roman" w:eastAsia="宋体" w:cs="Times New Roman"/>
          <w:color w:val="0F1115"/>
          <w:kern w:val="0"/>
          <w:sz w:val="24"/>
          <w:szCs w:val="24"/>
          <w:shd w:val="clear" w:color="auto" w:fill="FFFFFF"/>
        </w:rPr>
        <w:t>集合、利益相关者偏好和可靠性修正条件下的相对关注优先级。</w:t>
      </w:r>
    </w:p>
    <w:p w14:paraId="468CD37A">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1．</w:t>
      </w:r>
      <w:r>
        <w:t>基于模糊推理的证据风险度量</w:t>
      </w:r>
      <w:r>
        <w:rPr>
          <w:rFonts w:hint="eastAsia"/>
        </w:rPr>
        <w:t>（ERM）</w:t>
      </w:r>
    </w:p>
    <w:p w14:paraId="107C3631">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对于任一</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领域—风险</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组合，风险维度划分为数据处理、算法开发、产品开发、部署使用和外部制度规范五类。记数据源s在领域i、风险j下的有效记录总数为Nijs，风险维度k出现非零标记的记录数为nijks，首先定义该风险维度在特定数据源内部的原始占比：</w:t>
      </w:r>
    </w:p>
    <w:p w14:paraId="58D5345C">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rPr>
      </w:pPr>
      <w:r>
        <w:rPr>
          <w:rFonts w:ascii="Times New Roman" w:hAnsi="Times New Roman" w:eastAsia="宋体" w:cs="宋体"/>
          <w:kern w:val="0"/>
        </w:rPr>
        <w:t>pᵢ</w:t>
      </w:r>
      <w:r>
        <w:rPr>
          <w:rFonts w:ascii="Times New Roman" w:hAnsi="Times New Roman" w:eastAsia="宋体" w:cs="Times New Roman"/>
          <w:kern w:val="0"/>
        </w:rPr>
        <w:t>ⱼ</w:t>
      </w:r>
      <w:r>
        <w:rPr>
          <w:rFonts w:ascii="Times New Roman" w:hAnsi="Times New Roman" w:eastAsia="宋体" w:cs="Segoe UI Symbol"/>
          <w:kern w:val="0"/>
        </w:rPr>
        <w:t>ₖₛ</w:t>
      </w:r>
      <w:r>
        <w:rPr>
          <w:rFonts w:ascii="Times New Roman" w:hAnsi="Times New Roman" w:eastAsia="宋体" w:cs="宋体"/>
          <w:kern w:val="0"/>
        </w:rPr>
        <w:t>=nᵢ</w:t>
      </w:r>
      <w:r>
        <w:rPr>
          <w:rFonts w:ascii="Times New Roman" w:hAnsi="Times New Roman" w:eastAsia="宋体" w:cs="Times New Roman"/>
          <w:kern w:val="0"/>
        </w:rPr>
        <w:t>ⱼ</w:t>
      </w:r>
      <w:r>
        <w:rPr>
          <w:rFonts w:ascii="Times New Roman" w:hAnsi="Times New Roman" w:eastAsia="宋体" w:cs="Segoe UI Symbol"/>
          <w:kern w:val="0"/>
        </w:rPr>
        <w:t>ₖₛ</w:t>
      </w:r>
      <w:r>
        <w:rPr>
          <w:rFonts w:ascii="Times New Roman" w:hAnsi="Times New Roman" w:eastAsia="宋体" w:cs="宋体"/>
          <w:kern w:val="0"/>
        </w:rPr>
        <w:t>/Nᵢ</w:t>
      </w:r>
      <w:r>
        <w:rPr>
          <w:rFonts w:ascii="Times New Roman" w:hAnsi="Times New Roman" w:eastAsia="宋体" w:cs="Times New Roman"/>
          <w:kern w:val="0"/>
        </w:rPr>
        <w:t>ⱼ</w:t>
      </w:r>
      <w:r>
        <w:rPr>
          <w:rFonts w:ascii="Times New Roman" w:hAnsi="Times New Roman" w:eastAsia="宋体" w:cs="Segoe UI Symbol"/>
          <w:kern w:val="0"/>
        </w:rPr>
        <w:t>ₛ</w:t>
      </w:r>
      <w:r>
        <w:rPr>
          <w:rFonts w:ascii="Times New Roman" w:hAnsi="Times New Roman" w:eastAsia="宋体" w:cs="宋体"/>
          <w:kern w:val="0"/>
        </w:rPr>
        <w:t>(3-</w:t>
      </w:r>
      <w:r>
        <w:rPr>
          <w:rFonts w:hint="eastAsia" w:ascii="Times New Roman" w:hAnsi="Times New Roman" w:eastAsia="宋体" w:cs="宋体"/>
          <w:kern w:val="0"/>
        </w:rPr>
        <w:t>3</w:t>
      </w:r>
      <w:r>
        <w:rPr>
          <w:rFonts w:ascii="Times New Roman" w:hAnsi="Times New Roman" w:eastAsia="宋体" w:cs="宋体"/>
          <w:kern w:val="0"/>
        </w:rPr>
        <w:t>)</w:t>
      </w:r>
    </w:p>
    <w:p w14:paraId="4862379D">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由于同一</w:t>
      </w:r>
      <w:r>
        <w:rPr>
          <w:rFonts w:hint="eastAsia" w:ascii="Times New Roman" w:hAnsi="Times New Roman" w:eastAsia="宋体" w:cs="Times New Roman"/>
          <w:color w:val="0F1115"/>
          <w:kern w:val="0"/>
          <w:sz w:val="24"/>
          <w:szCs w:val="24"/>
          <w:shd w:val="clear" w:color="auto" w:fill="FFFFFF"/>
        </w:rPr>
        <w:t>舆情数据</w:t>
      </w:r>
      <w:r>
        <w:rPr>
          <w:rFonts w:ascii="Times New Roman" w:hAnsi="Times New Roman" w:eastAsia="宋体" w:cs="Times New Roman"/>
          <w:color w:val="0F1115"/>
          <w:kern w:val="0"/>
          <w:sz w:val="24"/>
          <w:szCs w:val="24"/>
          <w:shd w:val="clear" w:color="auto" w:fill="FFFFFF"/>
        </w:rPr>
        <w:t>可以同时涉及多个风险维度，各风险维度原始占比之和不</w:t>
      </w:r>
      <w:r>
        <w:rPr>
          <w:rFonts w:hint="eastAsia" w:ascii="Times New Roman" w:hAnsi="Times New Roman" w:eastAsia="宋体" w:cs="Times New Roman"/>
          <w:color w:val="0F1115"/>
          <w:kern w:val="0"/>
          <w:sz w:val="24"/>
          <w:szCs w:val="24"/>
          <w:shd w:val="clear" w:color="auto" w:fill="FFFFFF"/>
        </w:rPr>
        <w:t>一定</w:t>
      </w:r>
      <w:r>
        <w:rPr>
          <w:rFonts w:ascii="Times New Roman" w:hAnsi="Times New Roman" w:eastAsia="宋体" w:cs="Times New Roman"/>
          <w:color w:val="0F1115"/>
          <w:kern w:val="0"/>
          <w:sz w:val="24"/>
          <w:szCs w:val="24"/>
          <w:shd w:val="clear" w:color="auto" w:fill="FFFFFF"/>
        </w:rPr>
        <w:t>等于1。为使五类风险维度表示同一数据源内部的相对构成</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pᵢⱼₖₛ在聚合时按实际参与来源的权重</w:t>
      </w:r>
      <w:r>
        <w:rPr>
          <w:rFonts w:hint="eastAsia" w:ascii="Times New Roman" w:hAnsi="Times New Roman" w:eastAsia="宋体" w:cs="Times New Roman"/>
          <w:color w:val="0F1115"/>
          <w:kern w:val="0"/>
          <w:sz w:val="24"/>
          <w:szCs w:val="24"/>
          <w:shd w:val="clear" w:color="auto" w:fill="FFFFFF"/>
        </w:rPr>
        <w:t>之和</w:t>
      </w:r>
      <w:r>
        <w:rPr>
          <w:rFonts w:ascii="Times New Roman" w:hAnsi="Times New Roman" w:eastAsia="宋体" w:cs="Times New Roman"/>
          <w:color w:val="0F1115"/>
          <w:kern w:val="0"/>
          <w:sz w:val="24"/>
          <w:szCs w:val="24"/>
          <w:shd w:val="clear" w:color="auto" w:fill="FFFFFF"/>
        </w:rPr>
        <w:t>重新标准化。</w:t>
      </w:r>
    </w:p>
    <w:p w14:paraId="5291FCC9">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rPr>
      </w:pPr>
      <w:r>
        <w:rPr>
          <w:rFonts w:ascii="Times New Roman" w:hAnsi="Times New Roman" w:eastAsia="宋体" w:cs="宋体"/>
          <w:kern w:val="0"/>
        </w:rPr>
        <w:t>p̃ᵢ</w:t>
      </w:r>
      <w:r>
        <w:rPr>
          <w:rFonts w:ascii="Times New Roman" w:hAnsi="Times New Roman" w:eastAsia="宋体" w:cs="Times New Roman"/>
          <w:kern w:val="0"/>
        </w:rPr>
        <w:t>ⱼ</w:t>
      </w:r>
      <w:r>
        <w:rPr>
          <w:rFonts w:ascii="Times New Roman" w:hAnsi="Times New Roman" w:eastAsia="宋体" w:cs="Segoe UI Symbol"/>
          <w:kern w:val="0"/>
        </w:rPr>
        <w:t>ₖₛ</w:t>
      </w:r>
      <w:r>
        <w:rPr>
          <w:rFonts w:ascii="Times New Roman" w:hAnsi="Times New Roman" w:eastAsia="宋体" w:cs="宋体"/>
          <w:kern w:val="0"/>
        </w:rPr>
        <w:t>=pᵢ</w:t>
      </w:r>
      <w:r>
        <w:rPr>
          <w:rFonts w:ascii="Times New Roman" w:hAnsi="Times New Roman" w:eastAsia="宋体" w:cs="Times New Roman"/>
          <w:kern w:val="0"/>
        </w:rPr>
        <w:t>ⱼ</w:t>
      </w:r>
      <w:r>
        <w:rPr>
          <w:rFonts w:ascii="Times New Roman" w:hAnsi="Times New Roman" w:eastAsia="宋体" w:cs="Segoe UI Symbol"/>
          <w:kern w:val="0"/>
        </w:rPr>
        <w:t>ₖₛ</w:t>
      </w:r>
      <w:r>
        <w:rPr>
          <w:rFonts w:ascii="Times New Roman" w:hAnsi="Times New Roman" w:eastAsia="宋体" w:cs="宋体"/>
          <w:kern w:val="0"/>
        </w:rPr>
        <w:t>/</w:t>
      </w:r>
      <w:r>
        <w:rPr>
          <w:rFonts w:ascii="Times New Roman" w:hAnsi="Times New Roman" w:eastAsia="宋体" w:cs="宋体"/>
          <w:kern w:val="0"/>
          <w:lang w:eastAsia="en-US"/>
        </w:rPr>
        <w:t>Σ</w:t>
      </w:r>
      <w:r>
        <w:rPr>
          <w:rFonts w:ascii="Times New Roman" w:hAnsi="Times New Roman" w:eastAsia="宋体" w:cs="Segoe UI Symbol"/>
          <w:kern w:val="0"/>
        </w:rPr>
        <w:t>ₖ</w:t>
      </w:r>
      <w:r>
        <w:rPr>
          <w:rFonts w:ascii="Times New Roman" w:hAnsi="Times New Roman" w:eastAsia="宋体" w:cs="宋体"/>
          <w:kern w:val="0"/>
        </w:rPr>
        <w:t>pᵢ</w:t>
      </w:r>
      <w:r>
        <w:rPr>
          <w:rFonts w:ascii="Times New Roman" w:hAnsi="Times New Roman" w:eastAsia="宋体" w:cs="Times New Roman"/>
          <w:kern w:val="0"/>
        </w:rPr>
        <w:t>ⱼ</w:t>
      </w:r>
      <w:r>
        <w:rPr>
          <w:rFonts w:ascii="Times New Roman" w:hAnsi="Times New Roman" w:eastAsia="宋体" w:cs="Segoe UI Symbol"/>
          <w:kern w:val="0"/>
        </w:rPr>
        <w:t>ₖₛ</w:t>
      </w:r>
      <w:r>
        <w:rPr>
          <w:rFonts w:ascii="Times New Roman" w:hAnsi="Times New Roman" w:eastAsia="宋体" w:cs="宋体"/>
          <w:kern w:val="0"/>
        </w:rPr>
        <w:t>(3-</w:t>
      </w:r>
      <w:r>
        <w:rPr>
          <w:rFonts w:hint="eastAsia" w:ascii="Times New Roman" w:hAnsi="Times New Roman" w:eastAsia="宋体" w:cs="宋体"/>
          <w:kern w:val="0"/>
        </w:rPr>
        <w:t>4</w:t>
      </w:r>
      <w:r>
        <w:rPr>
          <w:rFonts w:ascii="Times New Roman" w:hAnsi="Times New Roman" w:eastAsia="宋体" w:cs="宋体"/>
          <w:kern w:val="0"/>
        </w:rPr>
        <w:t>)</w:t>
      </w:r>
    </w:p>
    <w:p w14:paraId="50CDE0E0">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hint="eastAsia" w:ascii="Times New Roman" w:hAnsi="Times New Roman" w:eastAsia="宋体" w:cs="Times New Roman"/>
          <w:color w:val="0F1115"/>
          <w:kern w:val="0"/>
          <w:sz w:val="24"/>
          <w:szCs w:val="24"/>
          <w:shd w:val="clear" w:color="auto" w:fill="FFFFFF"/>
        </w:rPr>
        <w:t>由于</w:t>
      </w:r>
      <w:r>
        <w:rPr>
          <w:rFonts w:ascii="Times New Roman" w:hAnsi="Times New Roman" w:eastAsia="宋体" w:cs="Times New Roman"/>
          <w:color w:val="0F1115"/>
          <w:kern w:val="0"/>
          <w:sz w:val="24"/>
          <w:szCs w:val="24"/>
          <w:shd w:val="clear" w:color="auto" w:fill="FFFFFF"/>
        </w:rPr>
        <w:t>不同来源的内容</w:t>
      </w:r>
      <w:r>
        <w:rPr>
          <w:rFonts w:hint="eastAsia" w:ascii="Times New Roman" w:hAnsi="Times New Roman" w:eastAsia="宋体" w:cs="Times New Roman"/>
          <w:color w:val="0F1115"/>
          <w:kern w:val="0"/>
          <w:sz w:val="24"/>
          <w:szCs w:val="24"/>
          <w:shd w:val="clear" w:color="auto" w:fill="FFFFFF"/>
        </w:rPr>
        <w:t>可信度</w:t>
      </w:r>
      <w:r>
        <w:rPr>
          <w:rFonts w:ascii="Times New Roman" w:hAnsi="Times New Roman" w:eastAsia="宋体" w:cs="Times New Roman"/>
          <w:color w:val="0F1115"/>
          <w:kern w:val="0"/>
          <w:sz w:val="24"/>
          <w:szCs w:val="24"/>
          <w:shd w:val="clear" w:color="auto" w:fill="FFFFFF"/>
        </w:rPr>
        <w:t>不同，直接合并原始</w:t>
      </w:r>
      <w:r>
        <w:rPr>
          <w:rFonts w:hint="eastAsia" w:ascii="Times New Roman" w:hAnsi="Times New Roman" w:eastAsia="宋体" w:cs="Times New Roman"/>
          <w:color w:val="0F1115"/>
          <w:kern w:val="0"/>
          <w:sz w:val="24"/>
          <w:szCs w:val="24"/>
          <w:shd w:val="clear" w:color="auto" w:fill="FFFFFF"/>
        </w:rPr>
        <w:t>的词</w:t>
      </w:r>
      <w:r>
        <w:rPr>
          <w:rFonts w:ascii="Times New Roman" w:hAnsi="Times New Roman" w:eastAsia="宋体" w:cs="Times New Roman"/>
          <w:color w:val="0F1115"/>
          <w:kern w:val="0"/>
          <w:sz w:val="24"/>
          <w:szCs w:val="24"/>
          <w:shd w:val="clear" w:color="auto" w:fill="FFFFFF"/>
        </w:rPr>
        <w:t>频数可能使记录量较大的</w:t>
      </w:r>
      <w:r>
        <w:rPr>
          <w:rFonts w:hint="eastAsia" w:ascii="Times New Roman" w:hAnsi="Times New Roman" w:eastAsia="宋体" w:cs="Times New Roman"/>
          <w:color w:val="0F1115"/>
          <w:kern w:val="0"/>
          <w:sz w:val="24"/>
          <w:szCs w:val="24"/>
          <w:shd w:val="clear" w:color="auto" w:fill="FFFFFF"/>
        </w:rPr>
        <w:t>数据源</w:t>
      </w:r>
      <w:r>
        <w:rPr>
          <w:rFonts w:ascii="Times New Roman" w:hAnsi="Times New Roman" w:eastAsia="宋体" w:cs="Times New Roman"/>
          <w:color w:val="0F1115"/>
          <w:kern w:val="0"/>
          <w:sz w:val="24"/>
          <w:szCs w:val="24"/>
          <w:shd w:val="clear" w:color="auto" w:fill="FFFFFF"/>
        </w:rPr>
        <w:t>主导结果。将w=</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1.0,0.9,0.6,0.5,0.3</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设为基准来源权重，依次对应W</w:t>
      </w:r>
      <w:r>
        <w:rPr>
          <w:rFonts w:hint="eastAsia" w:ascii="Times New Roman" w:hAnsi="Times New Roman" w:eastAsia="宋体" w:cs="Times New Roman"/>
          <w:color w:val="0F1115"/>
          <w:kern w:val="0"/>
          <w:sz w:val="24"/>
          <w:szCs w:val="24"/>
          <w:shd w:val="clear" w:color="auto" w:fill="FFFFFF"/>
        </w:rPr>
        <w:t>eb</w:t>
      </w:r>
      <w:r>
        <w:rPr>
          <w:rFonts w:hint="eastAsia" w:cs="Times New Roman"/>
          <w:color w:val="0F1115"/>
          <w:kern w:val="0"/>
          <w:sz w:val="24"/>
          <w:szCs w:val="24"/>
          <w:shd w:val="clear" w:color="auto" w:fill="FFFFFF"/>
          <w:lang w:val="en-US" w:eastAsia="zh-CN"/>
        </w:rPr>
        <w:t xml:space="preserve"> </w:t>
      </w:r>
      <w:r>
        <w:rPr>
          <w:rFonts w:hint="eastAsia" w:ascii="Times New Roman" w:hAnsi="Times New Roman" w:eastAsia="宋体" w:cs="Times New Roman"/>
          <w:color w:val="0F1115"/>
          <w:kern w:val="0"/>
          <w:sz w:val="24"/>
          <w:szCs w:val="24"/>
          <w:shd w:val="clear" w:color="auto" w:fill="FFFFFF"/>
        </w:rPr>
        <w:t>of</w:t>
      </w:r>
      <w:r>
        <w:rPr>
          <w:rFonts w:hint="eastAsia" w:cs="Times New Roman"/>
          <w:color w:val="0F1115"/>
          <w:kern w:val="0"/>
          <w:sz w:val="24"/>
          <w:szCs w:val="24"/>
          <w:shd w:val="clear" w:color="auto" w:fill="FFFFFF"/>
          <w:lang w:val="en-US" w:eastAsia="zh-CN"/>
        </w:rPr>
        <w:t xml:space="preserve"> </w:t>
      </w:r>
      <w:r>
        <w:rPr>
          <w:rFonts w:hint="eastAsia" w:ascii="Times New Roman" w:hAnsi="Times New Roman" w:eastAsia="宋体" w:cs="Times New Roman"/>
          <w:color w:val="0F1115"/>
          <w:kern w:val="0"/>
          <w:sz w:val="24"/>
          <w:szCs w:val="24"/>
          <w:shd w:val="clear" w:color="auto" w:fill="FFFFFF"/>
        </w:rPr>
        <w:t>Science</w:t>
      </w:r>
      <w:r>
        <w:rPr>
          <w:rFonts w:ascii="Times New Roman" w:hAnsi="Times New Roman" w:eastAsia="宋体" w:cs="Times New Roman"/>
          <w:color w:val="0F1115"/>
          <w:kern w:val="0"/>
          <w:sz w:val="24"/>
          <w:szCs w:val="24"/>
          <w:shd w:val="clear" w:color="auto" w:fill="FFFFFF"/>
        </w:rPr>
        <w:t>、知网、谷歌、百度和微博</w:t>
      </w:r>
      <w:r>
        <w:rPr>
          <w:rFonts w:hint="eastAsia" w:ascii="Times New Roman" w:hAnsi="Times New Roman" w:eastAsia="宋体" w:cs="Times New Roman"/>
          <w:color w:val="0F1115"/>
          <w:kern w:val="0"/>
          <w:sz w:val="24"/>
          <w:szCs w:val="24"/>
          <w:shd w:val="clear" w:color="auto" w:fill="FFFFFF"/>
        </w:rPr>
        <w:t>，反映各个平台的数据质量，</w:t>
      </w:r>
      <w:r>
        <w:rPr>
          <w:rFonts w:ascii="Times New Roman" w:hAnsi="Times New Roman" w:eastAsia="宋体" w:cs="Times New Roman"/>
          <w:color w:val="0F1115"/>
          <w:kern w:val="0"/>
          <w:sz w:val="24"/>
          <w:szCs w:val="24"/>
          <w:shd w:val="clear" w:color="auto" w:fill="FFFFFF"/>
        </w:rPr>
        <w:t>得到结构向量pij=</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p̄ij1</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p̄ij5</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，该向量表示特定</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领域—风险</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组合内部五类风险维度的相对构成。</w:t>
      </w:r>
    </w:p>
    <w:p w14:paraId="56484828">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rPr>
      </w:pPr>
      <w:r>
        <w:rPr>
          <w:rFonts w:ascii="Times New Roman" w:hAnsi="Times New Roman" w:eastAsia="宋体" w:cs="宋体"/>
          <w:kern w:val="0"/>
        </w:rPr>
        <w:t>p̄ᵢⱼ</w:t>
      </w:r>
      <w:r>
        <w:rPr>
          <w:rFonts w:ascii="Times New Roman" w:hAnsi="Times New Roman" w:eastAsia="宋体" w:cs="Times New Roman"/>
          <w:kern w:val="0"/>
        </w:rPr>
        <w:t>ₖ</w:t>
      </w:r>
      <w:r>
        <w:rPr>
          <w:rFonts w:ascii="Times New Roman" w:hAnsi="Times New Roman" w:eastAsia="宋体" w:cs="宋体"/>
          <w:kern w:val="0"/>
        </w:rPr>
        <w:t>=(Σ</w:t>
      </w:r>
      <w:r>
        <w:rPr>
          <w:rFonts w:ascii="Times New Roman" w:hAnsi="Times New Roman" w:eastAsia="宋体" w:cs="Times New Roman"/>
          <w:kern w:val="0"/>
        </w:rPr>
        <w:t>ₛ</w:t>
      </w:r>
      <w:r>
        <w:rPr>
          <w:rFonts w:ascii="Times New Roman" w:hAnsi="Times New Roman" w:eastAsia="宋体" w:cs="宋体"/>
          <w:kern w:val="0"/>
        </w:rPr>
        <w:t>w</w:t>
      </w:r>
      <w:r>
        <w:rPr>
          <w:rFonts w:ascii="Times New Roman" w:hAnsi="Times New Roman" w:eastAsia="宋体" w:cs="Times New Roman"/>
          <w:kern w:val="0"/>
        </w:rPr>
        <w:t>ₛ</w:t>
      </w:r>
      <w:r>
        <w:rPr>
          <w:rFonts w:ascii="Times New Roman" w:hAnsi="Times New Roman" w:eastAsia="宋体" w:cs="宋体"/>
          <w:kern w:val="0"/>
        </w:rPr>
        <w:t>p̃ᵢⱼ</w:t>
      </w:r>
      <w:r>
        <w:rPr>
          <w:rFonts w:ascii="Times New Roman" w:hAnsi="Times New Roman" w:eastAsia="宋体" w:cs="Times New Roman"/>
          <w:kern w:val="0"/>
        </w:rPr>
        <w:t>ₖₛ</w:t>
      </w:r>
      <w:r>
        <w:rPr>
          <w:rFonts w:ascii="Times New Roman" w:hAnsi="Times New Roman" w:eastAsia="宋体" w:cs="宋体"/>
          <w:kern w:val="0"/>
        </w:rPr>
        <w:t>)/(Σ</w:t>
      </w:r>
      <w:r>
        <w:rPr>
          <w:rFonts w:ascii="Times New Roman" w:hAnsi="Times New Roman" w:eastAsia="宋体" w:cs="Times New Roman"/>
          <w:kern w:val="0"/>
        </w:rPr>
        <w:t>ₛ</w:t>
      </w:r>
      <w:r>
        <w:rPr>
          <w:rFonts w:ascii="Times New Roman" w:hAnsi="Times New Roman" w:eastAsia="宋体" w:cs="宋体"/>
          <w:kern w:val="0"/>
        </w:rPr>
        <w:t>w</w:t>
      </w:r>
      <w:r>
        <w:rPr>
          <w:rFonts w:ascii="Times New Roman" w:hAnsi="Times New Roman" w:eastAsia="宋体" w:cs="Times New Roman"/>
          <w:kern w:val="0"/>
        </w:rPr>
        <w:t>ₛ</w:t>
      </w:r>
      <w:r>
        <w:rPr>
          <w:rFonts w:ascii="Times New Roman" w:hAnsi="Times New Roman" w:eastAsia="宋体" w:cs="宋体"/>
          <w:kern w:val="0"/>
        </w:rPr>
        <w:t>)(3-5)</w:t>
      </w:r>
    </w:p>
    <w:p w14:paraId="395575DF">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风险维度结构向量能够描述证据如何分布，但尚不能直接形成统一的风险度量。若采用简单线性加权，则隐含风险维度占比与风险水平之间具有固定的线性关系。考虑到伦理风险判断通常具有模糊边界，不同风险维度在低（Low）、中（Medium）和高（High）水平之间不存在清晰断点，本节采用Mamdani型模糊推理系统，将连续结构占比映射为语言变量。</w:t>
      </w:r>
    </w:p>
    <w:p w14:paraId="68F7CB22">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系统</w:t>
      </w:r>
      <w:r>
        <w:rPr>
          <w:rFonts w:hint="eastAsia" w:ascii="Times New Roman" w:hAnsi="Times New Roman" w:eastAsia="宋体" w:cs="Times New Roman"/>
          <w:color w:val="0F1115"/>
          <w:kern w:val="0"/>
          <w:sz w:val="24"/>
          <w:szCs w:val="24"/>
          <w:shd w:val="clear" w:color="auto" w:fill="FFFFFF"/>
        </w:rPr>
        <w:t>输入</w:t>
      </w:r>
      <w:r>
        <w:rPr>
          <w:rFonts w:ascii="Times New Roman" w:hAnsi="Times New Roman" w:eastAsia="宋体" w:cs="Times New Roman"/>
          <w:color w:val="0F1115"/>
          <w:kern w:val="0"/>
          <w:sz w:val="24"/>
          <w:szCs w:val="24"/>
          <w:shd w:val="clear" w:color="auto" w:fill="FFFFFF"/>
        </w:rPr>
        <w:t>以各风险维度结构占比p̄ᵢⱼₖ，</w:t>
      </w:r>
      <w:r>
        <w:rPr>
          <w:rFonts w:hint="eastAsia" w:ascii="Times New Roman" w:hAnsi="Times New Roman" w:eastAsia="宋体" w:cs="Times New Roman"/>
          <w:color w:val="0F1115"/>
          <w:kern w:val="0"/>
          <w:sz w:val="24"/>
          <w:szCs w:val="24"/>
          <w:shd w:val="clear" w:color="auto" w:fill="FFFFFF"/>
        </w:rPr>
        <w:t>输出</w:t>
      </w:r>
      <w:r>
        <w:rPr>
          <w:rFonts w:ascii="Times New Roman" w:hAnsi="Times New Roman" w:eastAsia="宋体" w:cs="Times New Roman"/>
          <w:color w:val="0F1115"/>
          <w:kern w:val="0"/>
          <w:sz w:val="24"/>
          <w:szCs w:val="24"/>
          <w:shd w:val="clear" w:color="auto" w:fill="FFFFFF"/>
        </w:rPr>
        <w:t>[0,100]的风险度量值，输入和输出均设置Low、Medium和High三个语言变量。20个评价单元的五类风险维度共形成100个占比观测值，其均值约为0.20，中位数约为0.19。均衡状态下单项占比为0.20，因此将0.20设为Medium隶属函数的中心值。基准情景将中心值两侧的过渡宽度设为0.08，得到Medium三角隶属函数</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0.12,0.20,0.28</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w:t>
      </w:r>
    </w:p>
    <w:p w14:paraId="42BBFDBD">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风险维度权重wijk由四个领域的专家问卷重建</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个性化算法和机器视觉采用风险维度</w:t>
      </w:r>
      <w:r>
        <w:rPr>
          <w:rFonts w:hint="eastAsia" w:cs="Times New Roman"/>
          <w:color w:val="0F1115"/>
          <w:kern w:val="0"/>
          <w:sz w:val="24"/>
          <w:szCs w:val="24"/>
          <w:shd w:val="clear" w:color="auto" w:fill="FFFFFF"/>
          <w:lang w:val="en-US" w:eastAsia="zh-CN"/>
        </w:rPr>
        <w:t>中的</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发生可能性</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与</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影响程度</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的群体</w:t>
      </w:r>
      <w:r>
        <w:rPr>
          <w:rFonts w:hint="eastAsia" w:ascii="Times New Roman" w:hAnsi="Times New Roman" w:eastAsia="宋体" w:cs="Times New Roman"/>
          <w:color w:val="0F1115"/>
          <w:kern w:val="0"/>
          <w:sz w:val="24"/>
          <w:szCs w:val="24"/>
          <w:shd w:val="clear" w:color="auto" w:fill="FFFFFF"/>
        </w:rPr>
        <w:t>模糊层次分析法（</w:t>
      </w:r>
      <w:r>
        <w:rPr>
          <w:rFonts w:ascii="Times New Roman" w:hAnsi="Times New Roman" w:eastAsia="宋体" w:cs="Times New Roman"/>
          <w:color w:val="0F1115"/>
          <w:kern w:val="0"/>
          <w:sz w:val="24"/>
          <w:szCs w:val="24"/>
          <w:shd w:val="clear" w:color="auto" w:fill="FFFFFF"/>
        </w:rPr>
        <w:t>FAHP</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权重逐项相乘并归一化；自动驾驶和服务机器人将风险</w:t>
      </w:r>
      <w:r>
        <w:rPr>
          <w:rFonts w:hint="eastAsia" w:ascii="Times New Roman" w:hAnsi="Times New Roman" w:eastAsia="宋体" w:cs="Times New Roman"/>
          <w:color w:val="0F1115"/>
          <w:kern w:val="0"/>
          <w:sz w:val="24"/>
          <w:szCs w:val="24"/>
          <w:shd w:val="clear" w:color="auto" w:fill="FFFFFF"/>
        </w:rPr>
        <w:t>维度</w:t>
      </w:r>
      <w:r>
        <w:rPr>
          <w:rFonts w:ascii="Times New Roman" w:hAnsi="Times New Roman" w:eastAsia="宋体" w:cs="Times New Roman"/>
          <w:color w:val="0F1115"/>
          <w:kern w:val="0"/>
          <w:sz w:val="24"/>
          <w:szCs w:val="24"/>
          <w:shd w:val="clear" w:color="auto" w:fill="FFFFFF"/>
        </w:rPr>
        <w:t>完整排序转换为受访者内成对偏好，再进行FAHP聚合。问卷中没有对应题项的风险维度权重取0。规则层采用加权最大聚合：</w:t>
      </w:r>
    </w:p>
    <w:p w14:paraId="71EEF5D1">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rPr>
      </w:pPr>
      <w:r>
        <w:rPr>
          <w:rFonts w:ascii="Times New Roman" w:hAnsi="Times New Roman" w:eastAsia="宋体" w:cs="宋体"/>
          <w:kern w:val="0"/>
          <w:lang w:eastAsia="en-US"/>
        </w:rPr>
        <w:t>α</w:t>
      </w:r>
      <w:r>
        <w:rPr>
          <w:rFonts w:ascii="Times New Roman" w:hAnsi="Times New Roman" w:eastAsia="宋体" w:cs="宋体"/>
          <w:kern w:val="0"/>
        </w:rPr>
        <w:t>ᵢⱼ,r=maxₖ{</w:t>
      </w:r>
      <w:r>
        <w:rPr>
          <w:rFonts w:ascii="Times New Roman" w:hAnsi="Times New Roman" w:eastAsia="宋体" w:cs="宋体"/>
          <w:kern w:val="0"/>
          <w:lang w:eastAsia="en-US"/>
        </w:rPr>
        <w:t>μ</w:t>
      </w:r>
      <w:r>
        <w:rPr>
          <w:rFonts w:ascii="Times New Roman" w:hAnsi="Times New Roman" w:eastAsia="宋体" w:cs="宋体"/>
          <w:kern w:val="0"/>
        </w:rPr>
        <w:t>ᵣ(p̄ᵢⱼₖ)·wᵢⱼₖ/maxₖ(wᵢⱼₖ)}(3-</w:t>
      </w:r>
      <w:r>
        <w:rPr>
          <w:rFonts w:hint="eastAsia" w:ascii="Times New Roman" w:hAnsi="Times New Roman" w:eastAsia="宋体" w:cs="宋体"/>
          <w:kern w:val="0"/>
        </w:rPr>
        <w:t>6</w:t>
      </w:r>
      <w:r>
        <w:rPr>
          <w:rFonts w:ascii="Times New Roman" w:hAnsi="Times New Roman" w:eastAsia="宋体" w:cs="宋体"/>
          <w:kern w:val="0"/>
        </w:rPr>
        <w:t>)</w:t>
      </w:r>
    </w:p>
    <w:p w14:paraId="3FBBD1D0">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输出端Low、Medium和High分别采用</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0,0,</w:t>
      </w:r>
      <w:r>
        <w:rPr>
          <w:rFonts w:hint="eastAsia" w:ascii="Times New Roman" w:hAnsi="Times New Roman" w:eastAsia="宋体" w:cs="Times New Roman"/>
          <w:color w:val="0F1115"/>
          <w:kern w:val="0"/>
          <w:sz w:val="24"/>
          <w:szCs w:val="24"/>
          <w:shd w:val="clear" w:color="auto" w:fill="FFFFFF"/>
          <w:lang w:eastAsia="zh-CN"/>
        </w:rPr>
        <w:t>50</w:t>
      </w:r>
      <w:r>
        <w:rPr>
          <w:rFonts w:hint="eastAsia" w:cs="Times New Roman"/>
          <w:color w:val="0F1115"/>
          <w:kern w:val="0"/>
          <w:sz w:val="24"/>
          <w:szCs w:val="24"/>
          <w:shd w:val="clear" w:color="auto" w:fill="FFFFFF"/>
          <w:lang w:eastAsia="zh-CN"/>
        </w:rPr>
        <w:t>）</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25,50,75</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和</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50,100,100</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三角隶属函数。各规则的输出模糊集由其激活程度进行截切</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随后对所有截切后的模糊集逐点取最大值，完成规则间的聚合</w:t>
      </w:r>
      <w:r>
        <w:rPr>
          <w:rFonts w:hint="eastAsia" w:ascii="Times New Roman" w:hAnsi="Times New Roman" w:eastAsia="宋体" w:cs="Times New Roman"/>
          <w:color w:val="0F1115"/>
          <w:kern w:val="0"/>
          <w:sz w:val="24"/>
          <w:szCs w:val="24"/>
          <w:shd w:val="clear" w:color="auto" w:fill="FFFFFF"/>
        </w:rPr>
        <w:t>。</w:t>
      </w:r>
    </w:p>
    <w:p w14:paraId="0CA27120">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lang w:eastAsia="en-US"/>
        </w:rPr>
      </w:pPr>
      <w:r>
        <w:rPr>
          <w:rFonts w:ascii="Times New Roman" w:hAnsi="Times New Roman" w:eastAsia="宋体" w:cs="宋体"/>
          <w:kern w:val="0"/>
          <w:lang w:eastAsia="en-US"/>
        </w:rPr>
        <w:t>μagg(y)=maxᵣmin{αᵢⱼ,r,μᵣ(y)}(3-</w:t>
      </w:r>
      <w:r>
        <w:rPr>
          <w:rFonts w:hint="eastAsia" w:ascii="Times New Roman" w:hAnsi="Times New Roman" w:eastAsia="宋体" w:cs="宋体"/>
          <w:kern w:val="0"/>
        </w:rPr>
        <w:t>7</w:t>
      </w:r>
      <w:r>
        <w:rPr>
          <w:rFonts w:ascii="Times New Roman" w:hAnsi="Times New Roman" w:eastAsia="宋体" w:cs="宋体"/>
          <w:kern w:val="0"/>
          <w:lang w:eastAsia="en-US"/>
        </w:rPr>
        <w:t>)</w:t>
      </w:r>
    </w:p>
    <w:p w14:paraId="1358B3ED">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最终采用重心法（Center</w:t>
      </w:r>
      <w:r>
        <w:rPr>
          <w:rFonts w:hint="eastAsia" w:cs="Times New Roman"/>
          <w:color w:val="0F1115"/>
          <w:kern w:val="0"/>
          <w:sz w:val="24"/>
          <w:szCs w:val="24"/>
          <w:shd w:val="clear" w:color="auto" w:fill="FFFFFF"/>
          <w:lang w:val="en-US" w:eastAsia="zh-CN"/>
        </w:rPr>
        <w:t xml:space="preserve"> </w:t>
      </w:r>
      <w:r>
        <w:rPr>
          <w:rFonts w:ascii="Times New Roman" w:hAnsi="Times New Roman" w:eastAsia="宋体" w:cs="Times New Roman"/>
          <w:color w:val="0F1115"/>
          <w:kern w:val="0"/>
          <w:sz w:val="24"/>
          <w:szCs w:val="24"/>
          <w:shd w:val="clear" w:color="auto" w:fill="FFFFFF"/>
        </w:rPr>
        <w:t>of</w:t>
      </w:r>
      <w:r>
        <w:rPr>
          <w:rFonts w:hint="eastAsia" w:cs="Times New Roman"/>
          <w:color w:val="0F1115"/>
          <w:kern w:val="0"/>
          <w:sz w:val="24"/>
          <w:szCs w:val="24"/>
          <w:shd w:val="clear" w:color="auto" w:fill="FFFFFF"/>
          <w:lang w:val="en-US" w:eastAsia="zh-CN"/>
        </w:rPr>
        <w:t xml:space="preserve"> </w:t>
      </w:r>
      <w:r>
        <w:rPr>
          <w:rFonts w:ascii="Times New Roman" w:hAnsi="Times New Roman" w:eastAsia="宋体" w:cs="Times New Roman"/>
          <w:color w:val="0F1115"/>
          <w:kern w:val="0"/>
          <w:sz w:val="24"/>
          <w:szCs w:val="24"/>
          <w:shd w:val="clear" w:color="auto" w:fill="FFFFFF"/>
        </w:rPr>
        <w:t>Gravity）进行解模糊化，数值计算使用梯形积分近似：</w:t>
      </w:r>
    </w:p>
    <w:p w14:paraId="7F63A5AE">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lang w:eastAsia="en-US"/>
        </w:rPr>
      </w:pPr>
      <w:r>
        <w:rPr>
          <w:rFonts w:ascii="Times New Roman" w:hAnsi="Times New Roman" w:eastAsia="宋体" w:cs="宋体"/>
          <w:kern w:val="0"/>
          <w:lang w:eastAsia="en-US"/>
        </w:rPr>
        <w:t>ERMᵢⱼ=∫yμagg(y)dy/∫μagg(y)dy(3-</w:t>
      </w:r>
      <w:r>
        <w:rPr>
          <w:rFonts w:hint="eastAsia" w:ascii="Times New Roman" w:hAnsi="Times New Roman" w:eastAsia="宋体" w:cs="宋体"/>
          <w:kern w:val="0"/>
        </w:rPr>
        <w:t>8</w:t>
      </w:r>
      <w:r>
        <w:rPr>
          <w:rFonts w:ascii="Times New Roman" w:hAnsi="Times New Roman" w:eastAsia="宋体" w:cs="宋体"/>
          <w:kern w:val="0"/>
          <w:lang w:eastAsia="en-US"/>
        </w:rPr>
        <w:t>)</w:t>
      </w:r>
    </w:p>
    <w:p w14:paraId="3927A462">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ERM越高，表示该组合的风险维度结构在既定权重、隶属函数和规则系统下越接近</w:t>
      </w:r>
      <w:r>
        <w:rPr>
          <w:rFonts w:hint="eastAsia" w:ascii="Times New Roman" w:hAnsi="Times New Roman" w:eastAsia="宋体" w:cs="Times New Roman"/>
          <w:color w:val="0F1115"/>
          <w:kern w:val="0"/>
          <w:sz w:val="24"/>
          <w:szCs w:val="24"/>
          <w:shd w:val="clear" w:color="auto" w:fill="FFFFFF"/>
        </w:rPr>
        <w:t>高</w:t>
      </w:r>
      <w:r>
        <w:rPr>
          <w:rFonts w:ascii="Times New Roman" w:hAnsi="Times New Roman" w:eastAsia="宋体" w:cs="Times New Roman"/>
          <w:color w:val="0F1115"/>
          <w:kern w:val="0"/>
          <w:sz w:val="24"/>
          <w:szCs w:val="24"/>
          <w:shd w:val="clear" w:color="auto" w:fill="FFFFFF"/>
        </w:rPr>
        <w:t>水平的触发区域。</w:t>
      </w:r>
    </w:p>
    <w:p w14:paraId="1D16DD9D">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2．</w:t>
      </w:r>
      <w:r>
        <w:t>基于群体判断的风险重要性度量</w:t>
      </w:r>
      <w:r>
        <w:rPr>
          <w:rFonts w:hint="eastAsia"/>
        </w:rPr>
        <w:t>（WoI）</w:t>
      </w:r>
    </w:p>
    <w:p w14:paraId="35B846C8">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hint="eastAsia" w:ascii="Times New Roman" w:hAnsi="Times New Roman" w:eastAsia="宋体" w:cs="Times New Roman"/>
          <w:color w:val="0F1115"/>
          <w:kern w:val="0"/>
          <w:sz w:val="24"/>
          <w:szCs w:val="24"/>
          <w:shd w:val="clear" w:color="auto" w:fill="FFFFFF"/>
        </w:rPr>
        <w:t>舆情数据</w:t>
      </w:r>
      <w:r>
        <w:rPr>
          <w:rFonts w:ascii="Times New Roman" w:hAnsi="Times New Roman" w:eastAsia="宋体" w:cs="Times New Roman"/>
          <w:color w:val="0F1115"/>
          <w:kern w:val="0"/>
          <w:sz w:val="24"/>
          <w:szCs w:val="24"/>
          <w:shd w:val="clear" w:color="auto" w:fill="FFFFFF"/>
        </w:rPr>
        <w:t>能够描述风险结构，但</w:t>
      </w:r>
      <w:r>
        <w:rPr>
          <w:rFonts w:hint="eastAsia" w:ascii="Times New Roman" w:hAnsi="Times New Roman" w:eastAsia="宋体" w:cs="Times New Roman"/>
          <w:color w:val="0F1115"/>
          <w:kern w:val="0"/>
          <w:sz w:val="24"/>
          <w:szCs w:val="24"/>
          <w:shd w:val="clear" w:color="auto" w:fill="FFFFFF"/>
        </w:rPr>
        <w:t>不能说明</w:t>
      </w:r>
      <w:r>
        <w:rPr>
          <w:rFonts w:ascii="Times New Roman" w:hAnsi="Times New Roman" w:eastAsia="宋体" w:cs="Times New Roman"/>
          <w:color w:val="0F1115"/>
          <w:kern w:val="0"/>
          <w:sz w:val="24"/>
          <w:szCs w:val="24"/>
          <w:shd w:val="clear" w:color="auto" w:fill="FFFFFF"/>
        </w:rPr>
        <w:t>不同伦理风险之间的规范性</w:t>
      </w:r>
      <w:r>
        <w:rPr>
          <w:rFonts w:hint="eastAsia" w:ascii="Times New Roman" w:hAnsi="Times New Roman" w:eastAsia="宋体" w:cs="Times New Roman"/>
          <w:color w:val="0F1115"/>
          <w:kern w:val="0"/>
          <w:sz w:val="24"/>
          <w:szCs w:val="24"/>
          <w:shd w:val="clear" w:color="auto" w:fill="FFFFFF"/>
        </w:rPr>
        <w:t>与</w:t>
      </w:r>
      <w:r>
        <w:rPr>
          <w:rFonts w:ascii="Times New Roman" w:hAnsi="Times New Roman" w:eastAsia="宋体" w:cs="Times New Roman"/>
          <w:color w:val="0F1115"/>
          <w:kern w:val="0"/>
          <w:sz w:val="24"/>
          <w:szCs w:val="24"/>
          <w:shd w:val="clear" w:color="auto" w:fill="FFFFFF"/>
        </w:rPr>
        <w:t>重要程度</w:t>
      </w:r>
      <w:r>
        <w:rPr>
          <w:rFonts w:hint="eastAsia" w:ascii="Times New Roman" w:hAnsi="Times New Roman" w:eastAsia="宋体" w:cs="Times New Roman"/>
          <w:color w:val="0F1115"/>
          <w:kern w:val="0"/>
          <w:sz w:val="24"/>
          <w:szCs w:val="24"/>
          <w:shd w:val="clear" w:color="auto" w:fill="FFFFFF"/>
        </w:rPr>
        <w:t>，因此需</w:t>
      </w:r>
      <w:r>
        <w:rPr>
          <w:rFonts w:ascii="Times New Roman" w:hAnsi="Times New Roman" w:eastAsia="宋体" w:cs="Times New Roman"/>
          <w:color w:val="0F1115"/>
          <w:kern w:val="0"/>
          <w:sz w:val="24"/>
          <w:szCs w:val="24"/>
          <w:shd w:val="clear" w:color="auto" w:fill="FFFFFF"/>
        </w:rPr>
        <w:t>引入利益相关者判断</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本</w:t>
      </w:r>
      <w:r>
        <w:rPr>
          <w:rFonts w:hint="eastAsia" w:ascii="Times New Roman" w:hAnsi="Times New Roman" w:eastAsia="宋体" w:cs="Times New Roman"/>
          <w:color w:val="0F1115"/>
          <w:kern w:val="0"/>
          <w:sz w:val="24"/>
          <w:szCs w:val="24"/>
          <w:shd w:val="clear" w:color="auto" w:fill="FFFFFF"/>
        </w:rPr>
        <w:t>节</w:t>
      </w:r>
      <w:r>
        <w:rPr>
          <w:rFonts w:ascii="Times New Roman" w:hAnsi="Times New Roman" w:eastAsia="宋体" w:cs="Times New Roman"/>
          <w:color w:val="0F1115"/>
          <w:kern w:val="0"/>
          <w:sz w:val="24"/>
          <w:szCs w:val="24"/>
          <w:shd w:val="clear" w:color="auto" w:fill="FFFFFF"/>
        </w:rPr>
        <w:t>采用FAHP处理专家与公众问卷中的不确定偏好。直接两两比较表示为三角模糊数</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l,m,u</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：当</w:t>
      </w:r>
      <w:r>
        <w:rPr>
          <w:rFonts w:hint="eastAsia" w:cs="Times New Roman"/>
          <w:color w:val="0F1115"/>
          <w:kern w:val="0"/>
          <w:sz w:val="24"/>
          <w:szCs w:val="24"/>
          <w:shd w:val="clear" w:color="auto" w:fill="FFFFFF"/>
          <w:lang w:val="en-US" w:eastAsia="zh-CN"/>
        </w:rPr>
        <w:t>第一个风险</w:t>
      </w:r>
      <w:r>
        <w:rPr>
          <w:rFonts w:ascii="Times New Roman" w:hAnsi="Times New Roman" w:eastAsia="宋体" w:cs="Times New Roman"/>
          <w:color w:val="0F1115"/>
          <w:kern w:val="0"/>
          <w:sz w:val="24"/>
          <w:szCs w:val="24"/>
          <w:shd w:val="clear" w:color="auto" w:fill="FFFFFF"/>
        </w:rPr>
        <w:t>更重要时映射为</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σ-1,σ,σ+1</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w:t>
      </w:r>
      <w:r>
        <w:rPr>
          <w:rFonts w:hint="eastAsia" w:cs="Times New Roman"/>
          <w:color w:val="0F1115"/>
          <w:kern w:val="0"/>
          <w:sz w:val="24"/>
          <w:szCs w:val="24"/>
          <w:shd w:val="clear" w:color="auto" w:fill="FFFFFF"/>
          <w:lang w:val="en-US" w:eastAsia="zh-CN"/>
        </w:rPr>
        <w:t>第二个</w:t>
      </w:r>
      <w:r>
        <w:rPr>
          <w:rFonts w:ascii="Times New Roman" w:hAnsi="Times New Roman" w:eastAsia="宋体" w:cs="Times New Roman"/>
          <w:color w:val="0F1115"/>
          <w:kern w:val="0"/>
          <w:sz w:val="24"/>
          <w:szCs w:val="24"/>
          <w:shd w:val="clear" w:color="auto" w:fill="FFFFFF"/>
        </w:rPr>
        <w:t>风险更重要时取其倒数，同等重要</w:t>
      </w:r>
      <w:r>
        <w:rPr>
          <w:rFonts w:hint="eastAsia" w:cs="Times New Roman"/>
          <w:color w:val="0F1115"/>
          <w:kern w:val="0"/>
          <w:sz w:val="24"/>
          <w:szCs w:val="24"/>
          <w:shd w:val="clear" w:color="auto" w:fill="FFFFFF"/>
          <w:lang w:val="en-US" w:eastAsia="zh-CN"/>
        </w:rPr>
        <w:t>时</w:t>
      </w:r>
      <w:r>
        <w:rPr>
          <w:rFonts w:ascii="Times New Roman" w:hAnsi="Times New Roman" w:eastAsia="宋体" w:cs="Times New Roman"/>
          <w:color w:val="0F1115"/>
          <w:kern w:val="0"/>
          <w:sz w:val="24"/>
          <w:szCs w:val="24"/>
          <w:shd w:val="clear" w:color="auto" w:fill="FFFFFF"/>
        </w:rPr>
        <w:t>对应</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1,1,1</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，基准偏好强度σ=3.0；完整排序题则在受访者层面转换为相应风险对的偏好方向。</w:t>
      </w:r>
    </w:p>
    <w:p w14:paraId="18EF5EC1">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为避免同一受访者对同一风险对的重复判断被重复计权，先在问卷</w:t>
      </w:r>
      <w:r>
        <w:rPr>
          <w:rFonts w:hint="eastAsia" w:ascii="Times New Roman" w:hAnsi="Times New Roman" w:eastAsia="宋体" w:cs="Times New Roman"/>
          <w:color w:val="0F1115"/>
          <w:kern w:val="0"/>
          <w:sz w:val="24"/>
          <w:szCs w:val="24"/>
          <w:shd w:val="clear" w:color="auto" w:fill="FFFFFF"/>
        </w:rPr>
        <w:t>的</w:t>
      </w:r>
      <w:r>
        <w:rPr>
          <w:rFonts w:hint="eastAsia" w:cs="Times New Roman"/>
          <w:color w:val="0F1115"/>
          <w:kern w:val="0"/>
          <w:sz w:val="24"/>
          <w:szCs w:val="24"/>
          <w:shd w:val="clear" w:color="auto" w:fill="FFFFFF"/>
          <w:lang w:eastAsia="zh-CN"/>
        </w:rPr>
        <w:t>“</w:t>
      </w:r>
      <w:r>
        <w:rPr>
          <w:rFonts w:hint="eastAsia" w:ascii="Times New Roman" w:hAnsi="Times New Roman" w:eastAsia="宋体" w:cs="Times New Roman"/>
          <w:color w:val="0F1115"/>
          <w:kern w:val="0"/>
          <w:sz w:val="24"/>
          <w:szCs w:val="24"/>
          <w:shd w:val="clear" w:color="auto" w:fill="FFFFFF"/>
        </w:rPr>
        <w:t>领域—风险</w:t>
      </w:r>
      <w:r>
        <w:rPr>
          <w:rFonts w:hint="eastAsia" w:cs="Times New Roman"/>
          <w:color w:val="0F1115"/>
          <w:kern w:val="0"/>
          <w:sz w:val="24"/>
          <w:szCs w:val="24"/>
          <w:shd w:val="clear" w:color="auto" w:fill="FFFFFF"/>
          <w:lang w:eastAsia="zh-CN"/>
        </w:rPr>
        <w:t>”</w:t>
      </w:r>
      <w:r>
        <w:rPr>
          <w:rFonts w:hint="eastAsia" w:ascii="Times New Roman" w:hAnsi="Times New Roman" w:eastAsia="宋体" w:cs="Times New Roman"/>
          <w:color w:val="0F1115"/>
          <w:kern w:val="0"/>
          <w:sz w:val="24"/>
          <w:szCs w:val="24"/>
          <w:shd w:val="clear" w:color="auto" w:fill="FFFFFF"/>
        </w:rPr>
        <w:t>组合计</w:t>
      </w:r>
      <w:r>
        <w:rPr>
          <w:rFonts w:ascii="Times New Roman" w:hAnsi="Times New Roman" w:eastAsia="宋体" w:cs="Times New Roman"/>
          <w:color w:val="0F1115"/>
          <w:kern w:val="0"/>
          <w:sz w:val="24"/>
          <w:szCs w:val="24"/>
          <w:shd w:val="clear" w:color="auto" w:fill="FFFFFF"/>
        </w:rPr>
        <w:t>算三角模糊数的几何平均，再对不同受访者进行群体几何平均，构造模糊判断矩阵。设矩阵维度为n，第a行的模糊几何平均为：</w:t>
      </w:r>
    </w:p>
    <w:p w14:paraId="6B23906B">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rPr>
      </w:pPr>
      <w:r>
        <w:rPr>
          <w:rFonts w:ascii="Times New Roman" w:hAnsi="Times New Roman" w:eastAsia="宋体" w:cs="宋体"/>
          <w:kern w:val="0"/>
        </w:rPr>
        <w:t>r̃ₐ=(∏ᵦãₐᵦ)^(1/n)(3-</w:t>
      </w:r>
      <w:r>
        <w:rPr>
          <w:rFonts w:hint="eastAsia" w:ascii="Times New Roman" w:hAnsi="Times New Roman" w:eastAsia="宋体" w:cs="宋体"/>
          <w:kern w:val="0"/>
        </w:rPr>
        <w:t>9</w:t>
      </w:r>
      <w:r>
        <w:rPr>
          <w:rFonts w:ascii="Times New Roman" w:hAnsi="Times New Roman" w:eastAsia="宋体" w:cs="宋体"/>
          <w:kern w:val="0"/>
        </w:rPr>
        <w:t>)</w:t>
      </w:r>
    </w:p>
    <w:p w14:paraId="3B518264">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据此得到归一化后的模糊权重：</w:t>
      </w:r>
    </w:p>
    <w:p w14:paraId="3AAB9D70">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rPr>
      </w:pPr>
      <w:r>
        <w:rPr>
          <w:rFonts w:ascii="Times New Roman" w:hAnsi="Times New Roman" w:eastAsia="宋体" w:cs="宋体"/>
          <w:kern w:val="0"/>
        </w:rPr>
        <w:t>w̃ₐ=r̃ₐ⊗(Σₕr̃ₕ)^(-1)(3-</w:t>
      </w:r>
      <w:r>
        <w:rPr>
          <w:rFonts w:hint="eastAsia" w:ascii="Times New Roman" w:hAnsi="Times New Roman" w:eastAsia="宋体" w:cs="宋体"/>
          <w:kern w:val="0"/>
        </w:rPr>
        <w:t>10</w:t>
      </w:r>
      <w:r>
        <w:rPr>
          <w:rFonts w:ascii="Times New Roman" w:hAnsi="Times New Roman" w:eastAsia="宋体" w:cs="宋体"/>
          <w:kern w:val="0"/>
        </w:rPr>
        <w:t>)</w:t>
      </w:r>
      <w:r>
        <w:rPr>
          <w:rStyle w:val="150"/>
          <w:rFonts w:ascii="Times New Roman" w:hAnsi="Times New Roman" w:eastAsia="宋体" w:cs="宋体"/>
          <w:kern w:val="0"/>
          <w:szCs w:val="21"/>
          <w:lang w:eastAsia="en-US"/>
        </w:rPr>
        <w:footnoteReference w:id="19"/>
      </w:r>
    </w:p>
    <w:p w14:paraId="4C9E0F6B">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随后对三角模糊权重进行去模糊化，并再次归一化使各风险权重之和为1。</w:t>
      </w:r>
    </w:p>
    <w:p w14:paraId="5C05BB18">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为检验群体比较判断的内部一致性，本</w:t>
      </w:r>
      <w:r>
        <w:rPr>
          <w:rFonts w:hint="eastAsia" w:ascii="Times New Roman" w:hAnsi="Times New Roman" w:eastAsia="宋体" w:cs="Times New Roman"/>
          <w:color w:val="0F1115"/>
          <w:kern w:val="0"/>
          <w:sz w:val="24"/>
          <w:szCs w:val="24"/>
          <w:shd w:val="clear" w:color="auto" w:fill="FFFFFF"/>
        </w:rPr>
        <w:t>节</w:t>
      </w:r>
      <w:r>
        <w:rPr>
          <w:rFonts w:ascii="Times New Roman" w:hAnsi="Times New Roman" w:eastAsia="宋体" w:cs="Times New Roman"/>
          <w:color w:val="0F1115"/>
          <w:kern w:val="0"/>
          <w:sz w:val="24"/>
          <w:szCs w:val="24"/>
          <w:shd w:val="clear" w:color="auto" w:fill="FFFFFF"/>
        </w:rPr>
        <w:t>取聚合后模糊判断矩阵的中值元素</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构造确定值矩阵（crisp</w:t>
      </w:r>
      <w:r>
        <w:rPr>
          <w:rFonts w:hint="eastAsia" w:cs="Times New Roman"/>
          <w:color w:val="0F1115"/>
          <w:kern w:val="0"/>
          <w:sz w:val="24"/>
          <w:szCs w:val="24"/>
          <w:shd w:val="clear" w:color="auto" w:fill="FFFFFF"/>
          <w:lang w:val="en-US" w:eastAsia="zh-CN"/>
        </w:rPr>
        <w:t xml:space="preserve"> </w:t>
      </w:r>
      <w:r>
        <w:rPr>
          <w:rFonts w:ascii="Times New Roman" w:hAnsi="Times New Roman" w:eastAsia="宋体" w:cs="Times New Roman"/>
          <w:color w:val="0F1115"/>
          <w:kern w:val="0"/>
          <w:sz w:val="24"/>
          <w:szCs w:val="24"/>
          <w:shd w:val="clear" w:color="auto" w:fill="FFFFFF"/>
        </w:rPr>
        <w:t>matrix），并按照传统AHP计算最大特征值、一致性指标CI和一致性比率CR</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当CR&lt;0.1时，表明该群体聚合判断矩阵的一致性处于可接受范围。专家组与公众组分别计算组内FAHP权重后，再进行组间合成。设置专家与公众权重比为5:1：</w:t>
      </w:r>
    </w:p>
    <w:p w14:paraId="702D8301">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rPr>
      </w:pPr>
      <w:r>
        <w:rPr>
          <w:rFonts w:ascii="Times New Roman" w:hAnsi="Times New Roman" w:eastAsia="宋体" w:cs="宋体"/>
          <w:kern w:val="0"/>
        </w:rPr>
        <w:t>WoIᵢⱼ=(5·wᵉᵢⱼ+wᵖᵢⱼ)/6(3-1</w:t>
      </w:r>
      <w:r>
        <w:rPr>
          <w:rFonts w:hint="eastAsia" w:ascii="Times New Roman" w:hAnsi="Times New Roman" w:eastAsia="宋体" w:cs="宋体"/>
          <w:kern w:val="0"/>
        </w:rPr>
        <w:t>1</w:t>
      </w:r>
      <w:r>
        <w:rPr>
          <w:rFonts w:ascii="Times New Roman" w:hAnsi="Times New Roman" w:eastAsia="宋体" w:cs="宋体"/>
          <w:kern w:val="0"/>
        </w:rPr>
        <w:t>)</w:t>
      </w:r>
    </w:p>
    <w:p w14:paraId="11B4402B">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在基准偏好强度下，专家组和公众组聚合判断矩阵的CR均低于0.1；两组汇总数据均覆盖模型所需的全部成对比较组合，成对比较覆盖率均为100%。</w:t>
      </w:r>
    </w:p>
    <w:p w14:paraId="01FD6742">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3．</w:t>
      </w:r>
      <w:r>
        <w:rPr>
          <w:rFonts w:hint="eastAsia"/>
        </w:rPr>
        <w:t>数据</w:t>
      </w:r>
      <w:r>
        <w:t>不确定性的修正</w:t>
      </w:r>
      <w:r>
        <w:rPr>
          <w:rFonts w:hint="eastAsia"/>
        </w:rPr>
        <w:t>（CF）</w:t>
      </w:r>
    </w:p>
    <w:p w14:paraId="0BE4BFCF">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CF评价特定</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领域—风险</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组合</w:t>
      </w:r>
      <w:r>
        <w:rPr>
          <w:rFonts w:hint="eastAsia" w:ascii="Times New Roman" w:hAnsi="Times New Roman" w:eastAsia="宋体" w:cs="Times New Roman"/>
          <w:color w:val="0F1115"/>
          <w:kern w:val="0"/>
          <w:sz w:val="24"/>
          <w:szCs w:val="24"/>
          <w:shd w:val="clear" w:color="auto" w:fill="FFFFFF"/>
        </w:rPr>
        <w:t>数据的</w:t>
      </w:r>
      <w:r>
        <w:rPr>
          <w:rFonts w:ascii="Times New Roman" w:hAnsi="Times New Roman" w:eastAsia="宋体" w:cs="Times New Roman"/>
          <w:color w:val="0F1115"/>
          <w:kern w:val="0"/>
          <w:sz w:val="24"/>
          <w:szCs w:val="24"/>
          <w:shd w:val="clear" w:color="auto" w:fill="FFFFFF"/>
        </w:rPr>
        <w:t>数量充分程度与来源分布</w:t>
      </w:r>
      <w:r>
        <w:rPr>
          <w:rFonts w:hint="eastAsia" w:ascii="Times New Roman" w:hAnsi="Times New Roman" w:eastAsia="宋体" w:cs="Times New Roman"/>
          <w:color w:val="0F1115"/>
          <w:kern w:val="0"/>
          <w:sz w:val="24"/>
          <w:szCs w:val="24"/>
          <w:shd w:val="clear" w:color="auto" w:fill="FFFFFF"/>
        </w:rPr>
        <w:t>的</w:t>
      </w:r>
      <w:r>
        <w:rPr>
          <w:rFonts w:ascii="Times New Roman" w:hAnsi="Times New Roman" w:eastAsia="宋体" w:cs="Times New Roman"/>
          <w:color w:val="0F1115"/>
          <w:kern w:val="0"/>
          <w:sz w:val="24"/>
          <w:szCs w:val="24"/>
          <w:shd w:val="clear" w:color="auto" w:fill="FFFFFF"/>
        </w:rPr>
        <w:t>多样性。记Eij为领域i、风险j在全部S类数据源中的有效证据记录数。Eij是公开证据记录的加总量：</w:t>
      </w:r>
    </w:p>
    <w:p w14:paraId="5AF394EB">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rPr>
      </w:pPr>
      <w:r>
        <w:rPr>
          <w:rFonts w:ascii="Times New Roman" w:hAnsi="Times New Roman" w:eastAsia="宋体" w:cs="宋体"/>
          <w:kern w:val="0"/>
        </w:rPr>
        <w:t>Eᵢⱼ=ΣₛNᵢⱼₛ(3-1</w:t>
      </w:r>
      <w:r>
        <w:rPr>
          <w:rFonts w:hint="eastAsia" w:ascii="Times New Roman" w:hAnsi="Times New Roman" w:eastAsia="宋体" w:cs="宋体"/>
          <w:kern w:val="0"/>
        </w:rPr>
        <w:t>2</w:t>
      </w:r>
      <w:r>
        <w:rPr>
          <w:rFonts w:ascii="Times New Roman" w:hAnsi="Times New Roman" w:eastAsia="宋体" w:cs="宋体"/>
          <w:kern w:val="0"/>
        </w:rPr>
        <w:t>)</w:t>
      </w:r>
    </w:p>
    <w:p w14:paraId="54FA5D97">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为避免有效证据记录数超过固定阈值后</w:t>
      </w:r>
      <w:r>
        <w:rPr>
          <w:rFonts w:hint="eastAsia" w:ascii="Times New Roman" w:hAnsi="Times New Roman" w:eastAsia="宋体" w:cs="Times New Roman"/>
          <w:color w:val="0F1115"/>
          <w:kern w:val="0"/>
          <w:sz w:val="24"/>
          <w:szCs w:val="24"/>
          <w:shd w:val="clear" w:color="auto" w:fill="FFFFFF"/>
        </w:rPr>
        <w:t>的</w:t>
      </w:r>
      <w:r>
        <w:rPr>
          <w:rFonts w:ascii="Times New Roman" w:hAnsi="Times New Roman" w:eastAsia="宋体" w:cs="Times New Roman"/>
          <w:color w:val="0F1115"/>
          <w:kern w:val="0"/>
          <w:sz w:val="24"/>
          <w:szCs w:val="24"/>
          <w:shd w:val="clear" w:color="auto" w:fill="FFFFFF"/>
        </w:rPr>
        <w:t>数量充分度直接饱和为1，本章采用连续半饱和函数。记T为半饱和参数，</w:t>
      </w:r>
      <w:r>
        <w:rPr>
          <w:rFonts w:hint="eastAsia" w:ascii="Times New Roman" w:hAnsi="Times New Roman" w:eastAsia="宋体" w:cs="Times New Roman"/>
          <w:color w:val="0F1115"/>
          <w:kern w:val="0"/>
          <w:sz w:val="24"/>
          <w:szCs w:val="24"/>
          <w:shd w:val="clear" w:color="auto" w:fill="FFFFFF"/>
        </w:rPr>
        <w:t>Qij为修正后数量充分度，</w:t>
      </w:r>
      <w:r>
        <w:rPr>
          <w:rFonts w:ascii="Times New Roman" w:hAnsi="Times New Roman" w:eastAsia="宋体" w:cs="Times New Roman"/>
          <w:color w:val="0F1115"/>
          <w:kern w:val="0"/>
          <w:sz w:val="24"/>
          <w:szCs w:val="24"/>
          <w:shd w:val="clear" w:color="auto" w:fill="FFFFFF"/>
        </w:rPr>
        <w:t>当Eij=T时Qij=0.5；随着证据增加，Q持续上升并逐渐接近1：</w:t>
      </w:r>
    </w:p>
    <w:p w14:paraId="07506F8B">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rPr>
      </w:pPr>
      <w:r>
        <w:rPr>
          <w:rFonts w:ascii="Times New Roman" w:hAnsi="Times New Roman" w:eastAsia="宋体" w:cs="宋体"/>
          <w:kern w:val="0"/>
        </w:rPr>
        <w:t>Qᵢⱼ=Eᵢⱼ/(Eᵢⱼ+T)(3-1</w:t>
      </w:r>
      <w:r>
        <w:rPr>
          <w:rFonts w:hint="eastAsia" w:ascii="Times New Roman" w:hAnsi="Times New Roman" w:eastAsia="宋体" w:cs="宋体"/>
          <w:kern w:val="0"/>
        </w:rPr>
        <w:t>3</w:t>
      </w:r>
      <w:r>
        <w:rPr>
          <w:rFonts w:ascii="Times New Roman" w:hAnsi="Times New Roman" w:eastAsia="宋体" w:cs="宋体"/>
          <w:kern w:val="0"/>
        </w:rPr>
        <w:t>)</w:t>
      </w:r>
    </w:p>
    <w:p w14:paraId="44BF7870">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基准情景下，</w:t>
      </w:r>
      <w:r>
        <w:rPr>
          <w:rFonts w:hint="eastAsia" w:ascii="Times New Roman" w:hAnsi="Times New Roman" w:eastAsia="宋体" w:cs="Times New Roman"/>
          <w:color w:val="0F1115"/>
          <w:kern w:val="0"/>
          <w:sz w:val="24"/>
          <w:szCs w:val="24"/>
          <w:shd w:val="clear" w:color="auto" w:fill="FFFFFF"/>
        </w:rPr>
        <w:t>设置</w:t>
      </w:r>
      <w:r>
        <w:rPr>
          <w:rFonts w:ascii="Times New Roman" w:hAnsi="Times New Roman" w:eastAsia="宋体" w:cs="Times New Roman"/>
          <w:color w:val="0F1115"/>
          <w:kern w:val="0"/>
          <w:sz w:val="24"/>
          <w:szCs w:val="24"/>
          <w:shd w:val="clear" w:color="auto" w:fill="FFFFFF"/>
        </w:rPr>
        <w:t>半饱和参数</w:t>
      </w:r>
      <w:r>
        <w:rPr>
          <w:rFonts w:hint="eastAsia" w:ascii="Times New Roman" w:hAnsi="Times New Roman" w:eastAsia="宋体" w:cs="Times New Roman"/>
          <w:color w:val="0F1115"/>
          <w:kern w:val="0"/>
          <w:sz w:val="24"/>
          <w:szCs w:val="24"/>
          <w:shd w:val="clear" w:color="auto" w:fill="FFFFFF"/>
        </w:rPr>
        <w:t>为</w:t>
      </w:r>
      <w:r>
        <w:rPr>
          <w:rFonts w:ascii="Times New Roman" w:hAnsi="Times New Roman" w:eastAsia="宋体" w:cs="Times New Roman"/>
          <w:color w:val="0F1115"/>
          <w:kern w:val="0"/>
          <w:sz w:val="24"/>
          <w:szCs w:val="24"/>
          <w:shd w:val="clear" w:color="auto" w:fill="FFFFFF"/>
        </w:rPr>
        <w:t>T=90</w:t>
      </w:r>
      <w:r>
        <w:rPr>
          <w:rFonts w:hint="eastAsia" w:ascii="Times New Roman" w:hAnsi="Times New Roman" w:eastAsia="宋体" w:cs="Times New Roman"/>
          <w:color w:val="0F1115"/>
          <w:kern w:val="0"/>
          <w:sz w:val="24"/>
          <w:szCs w:val="24"/>
          <w:shd w:val="clear" w:color="auto" w:fill="FFFFFF"/>
        </w:rPr>
        <w:t>，有效来源多样性为Cij。</w:t>
      </w:r>
      <w:r>
        <w:rPr>
          <w:rFonts w:ascii="Times New Roman" w:hAnsi="Times New Roman" w:eastAsia="宋体" w:cs="Times New Roman"/>
          <w:color w:val="0F1115"/>
          <w:kern w:val="0"/>
          <w:sz w:val="24"/>
          <w:szCs w:val="24"/>
          <w:shd w:val="clear" w:color="auto" w:fill="FFFFFF"/>
        </w:rPr>
        <w:t>除</w:t>
      </w:r>
      <w:r>
        <w:rPr>
          <w:rFonts w:hint="eastAsia" w:ascii="Times New Roman" w:hAnsi="Times New Roman" w:eastAsia="宋体" w:cs="Times New Roman"/>
          <w:color w:val="0F1115"/>
          <w:kern w:val="0"/>
          <w:sz w:val="24"/>
          <w:szCs w:val="24"/>
          <w:shd w:val="clear" w:color="auto" w:fill="FFFFFF"/>
        </w:rPr>
        <w:t>数据数</w:t>
      </w:r>
      <w:r>
        <w:rPr>
          <w:rFonts w:ascii="Times New Roman" w:hAnsi="Times New Roman" w:eastAsia="宋体" w:cs="Times New Roman"/>
          <w:color w:val="0F1115"/>
          <w:kern w:val="0"/>
          <w:sz w:val="24"/>
          <w:szCs w:val="24"/>
          <w:shd w:val="clear" w:color="auto" w:fill="FFFFFF"/>
        </w:rPr>
        <w:t>量外，</w:t>
      </w:r>
      <w:r>
        <w:rPr>
          <w:rFonts w:hint="eastAsia" w:ascii="Times New Roman" w:hAnsi="Times New Roman" w:eastAsia="宋体" w:cs="Times New Roman"/>
          <w:color w:val="0F1115"/>
          <w:kern w:val="0"/>
          <w:sz w:val="24"/>
          <w:szCs w:val="24"/>
          <w:shd w:val="clear" w:color="auto" w:fill="FFFFFF"/>
        </w:rPr>
        <w:t>其</w:t>
      </w:r>
      <w:r>
        <w:rPr>
          <w:rFonts w:ascii="Times New Roman" w:hAnsi="Times New Roman" w:eastAsia="宋体" w:cs="Times New Roman"/>
          <w:color w:val="0F1115"/>
          <w:kern w:val="0"/>
          <w:sz w:val="24"/>
          <w:szCs w:val="24"/>
          <w:shd w:val="clear" w:color="auto" w:fill="FFFFFF"/>
        </w:rPr>
        <w:t>在不同来源之间的分布也会影响识别结果的可靠性。为避免与式（3-</w:t>
      </w:r>
      <w:r>
        <w:rPr>
          <w:rFonts w:hint="eastAsia" w:ascii="Times New Roman" w:hAnsi="Times New Roman" w:eastAsia="宋体" w:cs="Times New Roman"/>
          <w:color w:val="0F1115"/>
          <w:kern w:val="0"/>
          <w:sz w:val="24"/>
          <w:szCs w:val="24"/>
          <w:shd w:val="clear" w:color="auto" w:fill="FFFFFF"/>
        </w:rPr>
        <w:t>3</w:t>
      </w:r>
      <w:r>
        <w:rPr>
          <w:rFonts w:ascii="Times New Roman" w:hAnsi="Times New Roman" w:eastAsia="宋体" w:cs="Times New Roman"/>
          <w:color w:val="0F1115"/>
          <w:kern w:val="0"/>
          <w:sz w:val="24"/>
          <w:szCs w:val="24"/>
          <w:shd w:val="clear" w:color="auto" w:fill="FFFFFF"/>
        </w:rPr>
        <w:t>）的风险维度占比符号混淆，记qᵢⱼₛ=Nᵢⱼₛ/Eᵢⱼ，表示</w:t>
      </w:r>
      <w:r>
        <w:rPr>
          <w:rFonts w:hint="eastAsia" w:ascii="Times New Roman" w:hAnsi="Times New Roman" w:eastAsia="宋体" w:cs="Times New Roman"/>
          <w:color w:val="0F1115"/>
          <w:kern w:val="0"/>
          <w:sz w:val="24"/>
          <w:szCs w:val="24"/>
          <w:shd w:val="clear" w:color="auto" w:fill="FFFFFF"/>
        </w:rPr>
        <w:t>数据</w:t>
      </w:r>
      <w:r>
        <w:rPr>
          <w:rFonts w:ascii="Times New Roman" w:hAnsi="Times New Roman" w:eastAsia="宋体" w:cs="Times New Roman"/>
          <w:color w:val="0F1115"/>
          <w:kern w:val="0"/>
          <w:sz w:val="24"/>
          <w:szCs w:val="24"/>
          <w:shd w:val="clear" w:color="auto" w:fill="FFFFFF"/>
        </w:rPr>
        <w:t>源s的证据记录数占该</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领域—风险</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组合全部证据记录数的比例。在此基础上，采用信息熵衡量来源分布：Hᵢⱼ=-Σₛqᵢⱼₛln(qᵢⱼₛ</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，并约定qᵢⱼₛ=0时相应项为0。有效来源数为exp</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Hᵢⱼ</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；证据均匀分布于S类来源时该值为S，集中于少数来源时则相应降低。进一步将有效来源数标准化：</w:t>
      </w:r>
    </w:p>
    <w:p w14:paraId="0B36E28C">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rPr>
      </w:pPr>
      <w:r>
        <w:rPr>
          <w:rFonts w:ascii="Times New Roman" w:hAnsi="Times New Roman" w:eastAsia="宋体" w:cs="宋体"/>
          <w:kern w:val="0"/>
        </w:rPr>
        <w:t>Cᵢⱼ=exp(Hᵢⱼ)/S(3-1</w:t>
      </w:r>
      <w:r>
        <w:rPr>
          <w:rFonts w:hint="eastAsia" w:ascii="Times New Roman" w:hAnsi="Times New Roman" w:eastAsia="宋体" w:cs="宋体"/>
          <w:kern w:val="0"/>
        </w:rPr>
        <w:t>4</w:t>
      </w:r>
      <w:r>
        <w:rPr>
          <w:rFonts w:ascii="Times New Roman" w:hAnsi="Times New Roman" w:eastAsia="宋体" w:cs="宋体"/>
          <w:kern w:val="0"/>
        </w:rPr>
        <w:t>)</w:t>
      </w:r>
    </w:p>
    <w:p w14:paraId="0AFAA0FD">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基准模型采用数量充分度与有效来源多样性的几何平均：</w:t>
      </w:r>
    </w:p>
    <w:p w14:paraId="42BED738">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rPr>
      </w:pPr>
      <w:r>
        <w:rPr>
          <w:rFonts w:ascii="Times New Roman" w:hAnsi="Times New Roman" w:eastAsia="宋体" w:cs="宋体"/>
          <w:kern w:val="0"/>
        </w:rPr>
        <w:t>CFᵢⱼ=√(QᵢⱼCᵢⱼ)(3-1</w:t>
      </w:r>
      <w:r>
        <w:rPr>
          <w:rFonts w:hint="eastAsia" w:ascii="Times New Roman" w:hAnsi="Times New Roman" w:eastAsia="宋体" w:cs="宋体"/>
          <w:kern w:val="0"/>
        </w:rPr>
        <w:t>5</w:t>
      </w:r>
      <w:r>
        <w:rPr>
          <w:rFonts w:ascii="Times New Roman" w:hAnsi="Times New Roman" w:eastAsia="宋体" w:cs="宋体"/>
          <w:kern w:val="0"/>
        </w:rPr>
        <w:t>)</w:t>
      </w:r>
    </w:p>
    <w:p w14:paraId="59FEF960">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几何平均同时考虑证据数量充分度Q和来源多样性C。证据数量不足或来源分布过于集中，都会降低CF。</w:t>
      </w:r>
    </w:p>
    <w:p w14:paraId="0F3384FF">
      <w:pPr>
        <w:pStyle w:val="4"/>
        <w:bidi w:val="0"/>
        <w:rPr>
          <w:rFonts w:ascii="Times New Roman" w:hAnsi="Times New Roman" w:eastAsia="宋体"/>
        </w:rPr>
      </w:pPr>
      <w:bookmarkStart w:id="14" w:name="_Toc30226"/>
      <w:r>
        <w:rPr>
          <w:rFonts w:hint="eastAsia" w:ascii="Times New Roman" w:hAnsi="Times New Roman" w:eastAsia="宋体"/>
          <w:lang w:eastAsia="zh-CN"/>
        </w:rPr>
        <w:t>（</w:t>
      </w:r>
      <w:r>
        <w:rPr>
          <w:rFonts w:hint="eastAsia"/>
          <w:lang w:val="en-US" w:eastAsia="zh-CN"/>
        </w:rPr>
        <w:t>三</w:t>
      </w:r>
      <w:r>
        <w:rPr>
          <w:rFonts w:hint="eastAsia" w:ascii="Times New Roman" w:hAnsi="Times New Roman" w:eastAsia="宋体"/>
          <w:lang w:eastAsia="zh-CN"/>
        </w:rPr>
        <w:t>）</w:t>
      </w:r>
      <w:r>
        <w:rPr>
          <w:rFonts w:ascii="Times New Roman" w:hAnsi="Times New Roman" w:eastAsia="宋体"/>
        </w:rPr>
        <w:t>基准情景下的实证结果</w:t>
      </w:r>
      <w:bookmarkEnd w:id="14"/>
    </w:p>
    <w:p w14:paraId="03978AAB">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基准情景采用数据源权重</w:t>
      </w:r>
      <w:r>
        <w:rPr>
          <w:rFonts w:hint="eastAsia" w:ascii="Times New Roman" w:hAnsi="Times New Roman" w:eastAsia="宋体" w:cs="Times New Roman"/>
          <w:color w:val="0F1115"/>
          <w:kern w:val="0"/>
          <w:sz w:val="24"/>
          <w:szCs w:val="24"/>
          <w:shd w:val="clear" w:color="auto" w:fill="FFFFFF"/>
        </w:rPr>
        <w:t>w</w:t>
      </w:r>
      <w:r>
        <w:rPr>
          <w:rFonts w:ascii="Times New Roman" w:hAnsi="Times New Roman" w:eastAsia="宋体" w:cs="Times New Roman"/>
          <w:color w:val="0F1115"/>
          <w:kern w:val="0"/>
          <w:sz w:val="24"/>
          <w:szCs w:val="24"/>
          <w:shd w:val="clear" w:color="auto" w:fill="FFFFFF"/>
        </w:rPr>
        <w:t>、CF半饱和参数</w:t>
      </w:r>
      <w:r>
        <w:rPr>
          <w:rFonts w:hint="eastAsia" w:ascii="Times New Roman" w:hAnsi="Times New Roman" w:eastAsia="宋体" w:cs="Times New Roman"/>
          <w:color w:val="0F1115"/>
          <w:kern w:val="0"/>
          <w:sz w:val="24"/>
          <w:szCs w:val="24"/>
          <w:shd w:val="clear" w:color="auto" w:fill="FFFFFF"/>
        </w:rPr>
        <w:t>T</w:t>
      </w:r>
      <w:r>
        <w:rPr>
          <w:rFonts w:ascii="Times New Roman" w:hAnsi="Times New Roman" w:eastAsia="宋体" w:cs="Times New Roman"/>
          <w:color w:val="0F1115"/>
          <w:kern w:val="0"/>
          <w:sz w:val="24"/>
          <w:szCs w:val="24"/>
          <w:shd w:val="clear" w:color="auto" w:fill="FFFFFF"/>
        </w:rPr>
        <w:t>、CF形式√</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Q·C</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、专家—公众权重5:1、FAHP偏好强度3.0和隶属函数缩放系数1.0。基准情景下20个</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领域—风险</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组合的</w:t>
      </w:r>
      <w:r>
        <w:rPr>
          <w:rFonts w:hint="eastAsia" w:cs="Times New Roman"/>
          <w:color w:val="0F1115"/>
          <w:kern w:val="0"/>
          <w:sz w:val="24"/>
          <w:szCs w:val="24"/>
          <w:shd w:val="clear" w:color="auto" w:fill="FFFFFF"/>
          <w:lang w:val="en-US" w:eastAsia="zh-CN"/>
        </w:rPr>
        <w:t>AI伦理风险</w:t>
      </w:r>
      <w:r>
        <w:rPr>
          <w:rFonts w:ascii="Times New Roman" w:hAnsi="Times New Roman" w:eastAsia="宋体" w:cs="Times New Roman"/>
          <w:color w:val="0F1115"/>
          <w:kern w:val="0"/>
          <w:sz w:val="24"/>
          <w:szCs w:val="24"/>
          <w:shd w:val="clear" w:color="auto" w:fill="FFFFFF"/>
        </w:rPr>
        <w:t>ERS指数及排序结果见表3-4。</w:t>
      </w:r>
    </w:p>
    <w:p w14:paraId="312882A5">
      <w:pPr>
        <w:pageBreakBefore w:val="0"/>
        <w:widowControl/>
        <w:kinsoku/>
        <w:wordWrap/>
        <w:overflowPunct/>
        <w:topLinePunct w:val="0"/>
        <w:autoSpaceDE/>
        <w:autoSpaceDN/>
        <w:bidi w:val="0"/>
        <w:adjustRightInd/>
        <w:snapToGrid/>
        <w:spacing w:line="360" w:lineRule="auto"/>
        <w:jc w:val="center"/>
        <w:textAlignment w:val="auto"/>
        <w:rPr>
          <w:rFonts w:ascii="Times New Roman" w:hAnsi="Times New Roman" w:eastAsia="宋体" w:cs="Times New Roman"/>
          <w:color w:val="000000"/>
          <w:kern w:val="0"/>
          <w:sz w:val="21"/>
          <w:szCs w:val="18"/>
        </w:rPr>
      </w:pPr>
      <w:r>
        <w:rPr>
          <w:rFonts w:ascii="Times New Roman" w:hAnsi="Times New Roman" w:eastAsia="宋体" w:cs="Times New Roman"/>
          <w:color w:val="000000"/>
          <w:kern w:val="0"/>
          <w:sz w:val="21"/>
          <w:szCs w:val="18"/>
        </w:rPr>
        <w:t>表3-4基准情景下20个</w:t>
      </w:r>
      <w:r>
        <w:rPr>
          <w:rFonts w:hint="eastAsia" w:cs="Times New Roman"/>
          <w:color w:val="000000"/>
          <w:kern w:val="0"/>
          <w:sz w:val="21"/>
          <w:szCs w:val="18"/>
          <w:lang w:eastAsia="zh-CN"/>
        </w:rPr>
        <w:t>“</w:t>
      </w:r>
      <w:r>
        <w:rPr>
          <w:rFonts w:ascii="Times New Roman" w:hAnsi="Times New Roman" w:eastAsia="宋体" w:cs="Times New Roman"/>
          <w:color w:val="000000"/>
          <w:kern w:val="0"/>
          <w:sz w:val="21"/>
          <w:szCs w:val="18"/>
        </w:rPr>
        <w:t>领域—风险</w:t>
      </w:r>
      <w:r>
        <w:rPr>
          <w:rFonts w:hint="eastAsia" w:cs="Times New Roman"/>
          <w:color w:val="000000"/>
          <w:kern w:val="0"/>
          <w:sz w:val="21"/>
          <w:szCs w:val="18"/>
          <w:lang w:eastAsia="zh-CN"/>
        </w:rPr>
        <w:t>”</w:t>
      </w:r>
      <w:r>
        <w:rPr>
          <w:rFonts w:ascii="Times New Roman" w:hAnsi="Times New Roman" w:eastAsia="宋体" w:cs="Times New Roman"/>
          <w:color w:val="000000"/>
          <w:kern w:val="0"/>
          <w:sz w:val="21"/>
          <w:szCs w:val="18"/>
        </w:rPr>
        <w:t>组合的ERS排序</w:t>
      </w:r>
    </w:p>
    <w:tbl>
      <w:tblPr>
        <w:tblStyle w:val="18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7"/>
        <w:gridCol w:w="1309"/>
        <w:gridCol w:w="2496"/>
        <w:gridCol w:w="1131"/>
        <w:gridCol w:w="1295"/>
        <w:gridCol w:w="934"/>
        <w:gridCol w:w="1089"/>
      </w:tblGrid>
      <w:tr w14:paraId="4EE7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53" w:type="pct"/>
            <w:tcBorders>
              <w:top w:val="single" w:color="000000" w:sz="12" w:space="0"/>
              <w:left w:val="nil"/>
              <w:bottom w:val="single" w:color="000000" w:sz="4" w:space="0"/>
              <w:right w:val="nil"/>
              <w:tl2br w:val="nil"/>
            </w:tcBorders>
            <w:shd w:val="clear" w:color="auto" w:fill="FFFFFF"/>
          </w:tcPr>
          <w:p w14:paraId="312B974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排名</w:t>
            </w:r>
          </w:p>
        </w:tc>
        <w:tc>
          <w:tcPr>
            <w:tcW w:w="705" w:type="pct"/>
            <w:tcBorders>
              <w:top w:val="single" w:color="000000" w:sz="12" w:space="0"/>
              <w:left w:val="nil"/>
              <w:bottom w:val="single" w:color="000000" w:sz="4" w:space="0"/>
              <w:right w:val="nil"/>
            </w:tcBorders>
            <w:shd w:val="clear" w:color="auto" w:fill="FFFFFF"/>
          </w:tcPr>
          <w:p w14:paraId="6997AAD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领域</w:t>
            </w:r>
          </w:p>
        </w:tc>
        <w:tc>
          <w:tcPr>
            <w:tcW w:w="1344" w:type="pct"/>
            <w:tcBorders>
              <w:top w:val="single" w:color="000000" w:sz="12" w:space="0"/>
              <w:left w:val="nil"/>
              <w:bottom w:val="single" w:color="000000" w:sz="4" w:space="0"/>
              <w:right w:val="nil"/>
            </w:tcBorders>
            <w:shd w:val="clear" w:color="auto" w:fill="FFFFFF"/>
          </w:tcPr>
          <w:p w14:paraId="0270C45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风险维度</w:t>
            </w:r>
          </w:p>
        </w:tc>
        <w:tc>
          <w:tcPr>
            <w:tcW w:w="609" w:type="pct"/>
            <w:tcBorders>
              <w:top w:val="single" w:color="000000" w:sz="12" w:space="0"/>
              <w:left w:val="nil"/>
              <w:bottom w:val="single" w:color="000000" w:sz="4" w:space="0"/>
              <w:right w:val="nil"/>
            </w:tcBorders>
            <w:shd w:val="clear" w:color="auto" w:fill="FFFFFF"/>
          </w:tcPr>
          <w:p w14:paraId="47DAF23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ERM</w:t>
            </w:r>
          </w:p>
        </w:tc>
        <w:tc>
          <w:tcPr>
            <w:tcW w:w="697" w:type="pct"/>
            <w:tcBorders>
              <w:top w:val="single" w:color="000000" w:sz="12" w:space="0"/>
              <w:left w:val="nil"/>
              <w:bottom w:val="single" w:color="000000" w:sz="4" w:space="0"/>
              <w:right w:val="nil"/>
            </w:tcBorders>
            <w:shd w:val="clear" w:color="auto" w:fill="FFFFFF"/>
          </w:tcPr>
          <w:p w14:paraId="50E0E61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WoI</w:t>
            </w:r>
          </w:p>
        </w:tc>
        <w:tc>
          <w:tcPr>
            <w:tcW w:w="503" w:type="pct"/>
            <w:tcBorders>
              <w:top w:val="single" w:color="000000" w:sz="12" w:space="0"/>
              <w:left w:val="nil"/>
              <w:bottom w:val="single" w:color="000000" w:sz="4" w:space="0"/>
              <w:right w:val="nil"/>
            </w:tcBorders>
            <w:shd w:val="clear" w:color="auto" w:fill="FFFFFF"/>
          </w:tcPr>
          <w:p w14:paraId="156C6A9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CF</w:t>
            </w:r>
          </w:p>
        </w:tc>
        <w:tc>
          <w:tcPr>
            <w:tcW w:w="586" w:type="pct"/>
            <w:tcBorders>
              <w:top w:val="single" w:color="000000" w:sz="12" w:space="0"/>
              <w:left w:val="nil"/>
              <w:bottom w:val="single" w:color="000000" w:sz="4" w:space="0"/>
              <w:right w:val="nil"/>
            </w:tcBorders>
            <w:shd w:val="clear" w:color="auto" w:fill="FFFFFF"/>
          </w:tcPr>
          <w:p w14:paraId="3AE1E17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ERS指数</w:t>
            </w:r>
          </w:p>
        </w:tc>
      </w:tr>
      <w:tr w14:paraId="656A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single" w:color="000000" w:sz="4" w:space="0"/>
              <w:left w:val="nil"/>
              <w:bottom w:val="nil"/>
              <w:right w:val="nil"/>
            </w:tcBorders>
            <w:shd w:val="clear" w:color="auto" w:fill="FFFFFF"/>
          </w:tcPr>
          <w:p w14:paraId="2EBC1CB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w:t>
            </w:r>
          </w:p>
        </w:tc>
        <w:tc>
          <w:tcPr>
            <w:tcW w:w="705" w:type="pct"/>
            <w:tcBorders>
              <w:top w:val="single" w:color="000000" w:sz="4" w:space="0"/>
              <w:left w:val="nil"/>
              <w:bottom w:val="nil"/>
              <w:right w:val="nil"/>
            </w:tcBorders>
            <w:shd w:val="clear" w:color="auto" w:fill="FFFFFF"/>
          </w:tcPr>
          <w:p w14:paraId="41A1489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机器视觉</w:t>
            </w:r>
          </w:p>
        </w:tc>
        <w:tc>
          <w:tcPr>
            <w:tcW w:w="1344" w:type="pct"/>
            <w:tcBorders>
              <w:top w:val="single" w:color="000000" w:sz="4" w:space="0"/>
              <w:left w:val="nil"/>
              <w:bottom w:val="nil"/>
              <w:right w:val="nil"/>
            </w:tcBorders>
            <w:shd w:val="clear" w:color="auto" w:fill="FFFFFF"/>
          </w:tcPr>
          <w:p w14:paraId="17A04B5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侵犯隐私</w:t>
            </w:r>
          </w:p>
        </w:tc>
        <w:tc>
          <w:tcPr>
            <w:tcW w:w="609" w:type="pct"/>
            <w:tcBorders>
              <w:top w:val="single" w:color="000000" w:sz="4" w:space="0"/>
              <w:left w:val="nil"/>
              <w:bottom w:val="nil"/>
              <w:right w:val="nil"/>
            </w:tcBorders>
            <w:shd w:val="clear" w:color="auto" w:fill="FFFFFF"/>
          </w:tcPr>
          <w:p w14:paraId="6B65974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46.65</w:t>
            </w:r>
          </w:p>
        </w:tc>
        <w:tc>
          <w:tcPr>
            <w:tcW w:w="697" w:type="pct"/>
            <w:tcBorders>
              <w:top w:val="single" w:color="000000" w:sz="4" w:space="0"/>
              <w:left w:val="nil"/>
              <w:bottom w:val="nil"/>
              <w:right w:val="nil"/>
            </w:tcBorders>
            <w:shd w:val="clear" w:color="auto" w:fill="FFFFFF"/>
          </w:tcPr>
          <w:p w14:paraId="1E617C3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0.2770</w:t>
            </w:r>
          </w:p>
        </w:tc>
        <w:tc>
          <w:tcPr>
            <w:tcW w:w="503" w:type="pct"/>
            <w:tcBorders>
              <w:top w:val="single" w:color="000000" w:sz="4" w:space="0"/>
              <w:left w:val="nil"/>
              <w:bottom w:val="nil"/>
              <w:right w:val="nil"/>
            </w:tcBorders>
            <w:shd w:val="clear" w:color="auto" w:fill="FFFFFF"/>
          </w:tcPr>
          <w:p w14:paraId="591A504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0.8605</w:t>
            </w:r>
          </w:p>
        </w:tc>
        <w:tc>
          <w:tcPr>
            <w:tcW w:w="586" w:type="pct"/>
            <w:tcBorders>
              <w:top w:val="single" w:color="000000" w:sz="4" w:space="0"/>
              <w:left w:val="nil"/>
              <w:bottom w:val="nil"/>
              <w:right w:val="nil"/>
            </w:tcBorders>
            <w:shd w:val="clear" w:color="auto" w:fill="FFFFFF"/>
          </w:tcPr>
          <w:p w14:paraId="78F3E6F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100.00</w:t>
            </w:r>
          </w:p>
        </w:tc>
      </w:tr>
      <w:tr w14:paraId="3128C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4EEE789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w:t>
            </w:r>
          </w:p>
        </w:tc>
        <w:tc>
          <w:tcPr>
            <w:tcW w:w="705" w:type="pct"/>
            <w:tcBorders>
              <w:top w:val="nil"/>
              <w:left w:val="nil"/>
              <w:bottom w:val="nil"/>
              <w:right w:val="nil"/>
            </w:tcBorders>
            <w:shd w:val="clear" w:color="auto" w:fill="FFFFFF"/>
          </w:tcPr>
          <w:p w14:paraId="48822A3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自动驾驶</w:t>
            </w:r>
          </w:p>
        </w:tc>
        <w:tc>
          <w:tcPr>
            <w:tcW w:w="1344" w:type="pct"/>
            <w:tcBorders>
              <w:top w:val="nil"/>
              <w:left w:val="nil"/>
              <w:bottom w:val="nil"/>
              <w:right w:val="nil"/>
            </w:tcBorders>
            <w:shd w:val="clear" w:color="auto" w:fill="FFFFFF"/>
          </w:tcPr>
          <w:p w14:paraId="77CDE2F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决策不自主受控</w:t>
            </w:r>
          </w:p>
        </w:tc>
        <w:tc>
          <w:tcPr>
            <w:tcW w:w="609" w:type="pct"/>
            <w:tcBorders>
              <w:top w:val="nil"/>
              <w:left w:val="nil"/>
              <w:bottom w:val="nil"/>
              <w:right w:val="nil"/>
            </w:tcBorders>
            <w:shd w:val="clear" w:color="auto" w:fill="FFFFFF"/>
          </w:tcPr>
          <w:p w14:paraId="37266E9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53.60</w:t>
            </w:r>
          </w:p>
        </w:tc>
        <w:tc>
          <w:tcPr>
            <w:tcW w:w="697" w:type="pct"/>
            <w:tcBorders>
              <w:top w:val="nil"/>
              <w:left w:val="nil"/>
              <w:bottom w:val="nil"/>
              <w:right w:val="nil"/>
            </w:tcBorders>
            <w:shd w:val="clear" w:color="auto" w:fill="FFFFFF"/>
          </w:tcPr>
          <w:p w14:paraId="3284FE1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0.3184</w:t>
            </w:r>
          </w:p>
        </w:tc>
        <w:tc>
          <w:tcPr>
            <w:tcW w:w="503" w:type="pct"/>
            <w:tcBorders>
              <w:top w:val="nil"/>
              <w:left w:val="nil"/>
              <w:bottom w:val="nil"/>
              <w:right w:val="nil"/>
            </w:tcBorders>
            <w:shd w:val="clear" w:color="auto" w:fill="FFFFFF"/>
          </w:tcPr>
          <w:p w14:paraId="415030B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0.6172</w:t>
            </w:r>
          </w:p>
        </w:tc>
        <w:tc>
          <w:tcPr>
            <w:tcW w:w="586" w:type="pct"/>
            <w:tcBorders>
              <w:top w:val="nil"/>
              <w:left w:val="nil"/>
              <w:bottom w:val="nil"/>
              <w:right w:val="nil"/>
            </w:tcBorders>
            <w:shd w:val="clear" w:color="auto" w:fill="FFFFFF"/>
          </w:tcPr>
          <w:p w14:paraId="0DDAD07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94.73</w:t>
            </w:r>
          </w:p>
        </w:tc>
      </w:tr>
      <w:tr w14:paraId="6E76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29156C4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w:t>
            </w:r>
          </w:p>
        </w:tc>
        <w:tc>
          <w:tcPr>
            <w:tcW w:w="705" w:type="pct"/>
            <w:tcBorders>
              <w:top w:val="nil"/>
              <w:left w:val="nil"/>
              <w:bottom w:val="nil"/>
              <w:right w:val="nil"/>
            </w:tcBorders>
            <w:shd w:val="clear" w:color="auto" w:fill="FFFFFF"/>
          </w:tcPr>
          <w:p w14:paraId="1271242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自动驾驶</w:t>
            </w:r>
          </w:p>
        </w:tc>
        <w:tc>
          <w:tcPr>
            <w:tcW w:w="1344" w:type="pct"/>
            <w:tcBorders>
              <w:top w:val="nil"/>
              <w:left w:val="nil"/>
              <w:bottom w:val="nil"/>
              <w:right w:val="nil"/>
            </w:tcBorders>
            <w:shd w:val="clear" w:color="auto" w:fill="FFFFFF"/>
          </w:tcPr>
          <w:p w14:paraId="7A57A51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权责归属不清或失当</w:t>
            </w:r>
          </w:p>
        </w:tc>
        <w:tc>
          <w:tcPr>
            <w:tcW w:w="609" w:type="pct"/>
            <w:tcBorders>
              <w:top w:val="nil"/>
              <w:left w:val="nil"/>
              <w:bottom w:val="nil"/>
              <w:right w:val="nil"/>
            </w:tcBorders>
            <w:shd w:val="clear" w:color="auto" w:fill="FFFFFF"/>
          </w:tcPr>
          <w:p w14:paraId="476A5A8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54.19</w:t>
            </w:r>
          </w:p>
        </w:tc>
        <w:tc>
          <w:tcPr>
            <w:tcW w:w="697" w:type="pct"/>
            <w:tcBorders>
              <w:top w:val="nil"/>
              <w:left w:val="nil"/>
              <w:bottom w:val="nil"/>
              <w:right w:val="nil"/>
            </w:tcBorders>
            <w:shd w:val="clear" w:color="auto" w:fill="FFFFFF"/>
          </w:tcPr>
          <w:p w14:paraId="6732C2E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0.2195</w:t>
            </w:r>
          </w:p>
        </w:tc>
        <w:tc>
          <w:tcPr>
            <w:tcW w:w="503" w:type="pct"/>
            <w:tcBorders>
              <w:top w:val="nil"/>
              <w:left w:val="nil"/>
              <w:bottom w:val="nil"/>
              <w:right w:val="nil"/>
            </w:tcBorders>
            <w:shd w:val="clear" w:color="auto" w:fill="FFFFFF"/>
          </w:tcPr>
          <w:p w14:paraId="14A77C3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0.8786</w:t>
            </w:r>
          </w:p>
        </w:tc>
        <w:tc>
          <w:tcPr>
            <w:tcW w:w="586" w:type="pct"/>
            <w:tcBorders>
              <w:top w:val="nil"/>
              <w:left w:val="nil"/>
              <w:bottom w:val="nil"/>
              <w:right w:val="nil"/>
            </w:tcBorders>
            <w:shd w:val="clear" w:color="auto" w:fill="FFFFFF"/>
          </w:tcPr>
          <w:p w14:paraId="0FA0127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93.98</w:t>
            </w:r>
          </w:p>
        </w:tc>
      </w:tr>
      <w:tr w14:paraId="1DCF5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0DD735F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w:t>
            </w:r>
          </w:p>
        </w:tc>
        <w:tc>
          <w:tcPr>
            <w:tcW w:w="705" w:type="pct"/>
            <w:tcBorders>
              <w:top w:val="nil"/>
              <w:left w:val="nil"/>
              <w:bottom w:val="nil"/>
              <w:right w:val="nil"/>
            </w:tcBorders>
            <w:shd w:val="clear" w:color="auto" w:fill="FFFFFF"/>
          </w:tcPr>
          <w:p w14:paraId="7223C0F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服务机器人</w:t>
            </w:r>
          </w:p>
        </w:tc>
        <w:tc>
          <w:tcPr>
            <w:tcW w:w="1344" w:type="pct"/>
            <w:tcBorders>
              <w:top w:val="nil"/>
              <w:left w:val="nil"/>
              <w:bottom w:val="nil"/>
              <w:right w:val="nil"/>
            </w:tcBorders>
            <w:shd w:val="clear" w:color="auto" w:fill="FFFFFF"/>
          </w:tcPr>
          <w:p w14:paraId="63B1BC5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决策不自主受控</w:t>
            </w:r>
          </w:p>
        </w:tc>
        <w:tc>
          <w:tcPr>
            <w:tcW w:w="609" w:type="pct"/>
            <w:tcBorders>
              <w:top w:val="nil"/>
              <w:left w:val="nil"/>
              <w:bottom w:val="nil"/>
              <w:right w:val="nil"/>
            </w:tcBorders>
            <w:shd w:val="clear" w:color="auto" w:fill="FFFFFF"/>
          </w:tcPr>
          <w:p w14:paraId="6F3FB0E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39.53</w:t>
            </w:r>
          </w:p>
        </w:tc>
        <w:tc>
          <w:tcPr>
            <w:tcW w:w="697" w:type="pct"/>
            <w:tcBorders>
              <w:top w:val="nil"/>
              <w:left w:val="nil"/>
              <w:bottom w:val="nil"/>
              <w:right w:val="nil"/>
            </w:tcBorders>
            <w:shd w:val="clear" w:color="auto" w:fill="FFFFFF"/>
          </w:tcPr>
          <w:p w14:paraId="705093A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0.3130</w:t>
            </w:r>
          </w:p>
        </w:tc>
        <w:tc>
          <w:tcPr>
            <w:tcW w:w="503" w:type="pct"/>
            <w:tcBorders>
              <w:top w:val="nil"/>
              <w:left w:val="nil"/>
              <w:bottom w:val="nil"/>
              <w:right w:val="nil"/>
            </w:tcBorders>
            <w:shd w:val="clear" w:color="auto" w:fill="FFFFFF"/>
          </w:tcPr>
          <w:p w14:paraId="67C2359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0.7577</w:t>
            </w:r>
          </w:p>
        </w:tc>
        <w:tc>
          <w:tcPr>
            <w:tcW w:w="586" w:type="pct"/>
            <w:tcBorders>
              <w:top w:val="nil"/>
              <w:left w:val="nil"/>
              <w:bottom w:val="nil"/>
              <w:right w:val="nil"/>
            </w:tcBorders>
            <w:shd w:val="clear" w:color="auto" w:fill="FFFFFF"/>
          </w:tcPr>
          <w:p w14:paraId="1E8D1C2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84.33</w:t>
            </w:r>
          </w:p>
        </w:tc>
      </w:tr>
      <w:tr w14:paraId="277AC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4887CD9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w:t>
            </w:r>
          </w:p>
        </w:tc>
        <w:tc>
          <w:tcPr>
            <w:tcW w:w="705" w:type="pct"/>
            <w:tcBorders>
              <w:top w:val="nil"/>
              <w:left w:val="nil"/>
              <w:bottom w:val="nil"/>
              <w:right w:val="nil"/>
            </w:tcBorders>
            <w:shd w:val="clear" w:color="auto" w:fill="FFFFFF"/>
          </w:tcPr>
          <w:p w14:paraId="61ECE93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个性化算法</w:t>
            </w:r>
          </w:p>
        </w:tc>
        <w:tc>
          <w:tcPr>
            <w:tcW w:w="1344" w:type="pct"/>
            <w:tcBorders>
              <w:top w:val="nil"/>
              <w:left w:val="nil"/>
              <w:bottom w:val="nil"/>
              <w:right w:val="nil"/>
            </w:tcBorders>
            <w:shd w:val="clear" w:color="auto" w:fill="FFFFFF"/>
          </w:tcPr>
          <w:p w14:paraId="55FBB9F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侵犯隐私</w:t>
            </w:r>
          </w:p>
        </w:tc>
        <w:tc>
          <w:tcPr>
            <w:tcW w:w="609" w:type="pct"/>
            <w:tcBorders>
              <w:top w:val="nil"/>
              <w:left w:val="nil"/>
              <w:bottom w:val="nil"/>
              <w:right w:val="nil"/>
            </w:tcBorders>
            <w:shd w:val="clear" w:color="auto" w:fill="FFFFFF"/>
          </w:tcPr>
          <w:p w14:paraId="7F72E60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42.31</w:t>
            </w:r>
          </w:p>
        </w:tc>
        <w:tc>
          <w:tcPr>
            <w:tcW w:w="697" w:type="pct"/>
            <w:tcBorders>
              <w:top w:val="nil"/>
              <w:left w:val="nil"/>
              <w:bottom w:val="nil"/>
              <w:right w:val="nil"/>
            </w:tcBorders>
            <w:shd w:val="clear" w:color="auto" w:fill="FFFFFF"/>
          </w:tcPr>
          <w:p w14:paraId="4A57C4B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0.2469</w:t>
            </w:r>
          </w:p>
        </w:tc>
        <w:tc>
          <w:tcPr>
            <w:tcW w:w="503" w:type="pct"/>
            <w:tcBorders>
              <w:top w:val="nil"/>
              <w:left w:val="nil"/>
              <w:bottom w:val="nil"/>
              <w:right w:val="nil"/>
            </w:tcBorders>
            <w:shd w:val="clear" w:color="auto" w:fill="FFFFFF"/>
          </w:tcPr>
          <w:p w14:paraId="0134480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0.7688</w:t>
            </w:r>
          </w:p>
        </w:tc>
        <w:tc>
          <w:tcPr>
            <w:tcW w:w="586" w:type="pct"/>
            <w:tcBorders>
              <w:top w:val="nil"/>
              <w:left w:val="nil"/>
              <w:bottom w:val="nil"/>
              <w:right w:val="nil"/>
            </w:tcBorders>
            <w:shd w:val="clear" w:color="auto" w:fill="FFFFFF"/>
          </w:tcPr>
          <w:p w14:paraId="7624732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72.23</w:t>
            </w:r>
          </w:p>
        </w:tc>
      </w:tr>
      <w:tr w14:paraId="41923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4F5DF57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6</w:t>
            </w:r>
          </w:p>
        </w:tc>
        <w:tc>
          <w:tcPr>
            <w:tcW w:w="705" w:type="pct"/>
            <w:tcBorders>
              <w:top w:val="nil"/>
              <w:left w:val="nil"/>
              <w:bottom w:val="nil"/>
              <w:right w:val="nil"/>
            </w:tcBorders>
            <w:shd w:val="clear" w:color="auto" w:fill="FFFFFF"/>
          </w:tcPr>
          <w:p w14:paraId="2E18D4F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个性化算法</w:t>
            </w:r>
          </w:p>
        </w:tc>
        <w:tc>
          <w:tcPr>
            <w:tcW w:w="1344" w:type="pct"/>
            <w:tcBorders>
              <w:top w:val="nil"/>
              <w:left w:val="nil"/>
              <w:bottom w:val="nil"/>
              <w:right w:val="nil"/>
            </w:tcBorders>
            <w:shd w:val="clear" w:color="auto" w:fill="FFFFFF"/>
          </w:tcPr>
          <w:p w14:paraId="5BE472E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加剧社会偏见或歧视</w:t>
            </w:r>
          </w:p>
        </w:tc>
        <w:tc>
          <w:tcPr>
            <w:tcW w:w="609" w:type="pct"/>
            <w:tcBorders>
              <w:top w:val="nil"/>
              <w:left w:val="nil"/>
              <w:bottom w:val="nil"/>
              <w:right w:val="nil"/>
            </w:tcBorders>
            <w:shd w:val="clear" w:color="auto" w:fill="FFFFFF"/>
          </w:tcPr>
          <w:p w14:paraId="0109D59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52.22</w:t>
            </w:r>
          </w:p>
        </w:tc>
        <w:tc>
          <w:tcPr>
            <w:tcW w:w="697" w:type="pct"/>
            <w:tcBorders>
              <w:top w:val="nil"/>
              <w:left w:val="nil"/>
              <w:bottom w:val="nil"/>
              <w:right w:val="nil"/>
            </w:tcBorders>
            <w:shd w:val="clear" w:color="auto" w:fill="FFFFFF"/>
          </w:tcPr>
          <w:p w14:paraId="10B0A55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0.2045</w:t>
            </w:r>
          </w:p>
        </w:tc>
        <w:tc>
          <w:tcPr>
            <w:tcW w:w="503" w:type="pct"/>
            <w:tcBorders>
              <w:top w:val="nil"/>
              <w:left w:val="nil"/>
              <w:bottom w:val="nil"/>
              <w:right w:val="nil"/>
            </w:tcBorders>
            <w:shd w:val="clear" w:color="auto" w:fill="FFFFFF"/>
          </w:tcPr>
          <w:p w14:paraId="250EF40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0.7311</w:t>
            </w:r>
          </w:p>
        </w:tc>
        <w:tc>
          <w:tcPr>
            <w:tcW w:w="586" w:type="pct"/>
            <w:tcBorders>
              <w:top w:val="nil"/>
              <w:left w:val="nil"/>
              <w:bottom w:val="nil"/>
              <w:right w:val="nil"/>
            </w:tcBorders>
            <w:shd w:val="clear" w:color="auto" w:fill="FFFFFF"/>
          </w:tcPr>
          <w:p w14:paraId="6EB67CF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70.22</w:t>
            </w:r>
          </w:p>
        </w:tc>
      </w:tr>
      <w:tr w14:paraId="08BA5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00CF2EF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7</w:t>
            </w:r>
          </w:p>
        </w:tc>
        <w:tc>
          <w:tcPr>
            <w:tcW w:w="705" w:type="pct"/>
            <w:tcBorders>
              <w:top w:val="nil"/>
              <w:left w:val="nil"/>
              <w:bottom w:val="nil"/>
              <w:right w:val="nil"/>
            </w:tcBorders>
            <w:shd w:val="clear" w:color="auto" w:fill="FFFFFF"/>
          </w:tcPr>
          <w:p w14:paraId="275A37A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机器视觉</w:t>
            </w:r>
          </w:p>
        </w:tc>
        <w:tc>
          <w:tcPr>
            <w:tcW w:w="1344" w:type="pct"/>
            <w:tcBorders>
              <w:top w:val="nil"/>
              <w:left w:val="nil"/>
              <w:bottom w:val="nil"/>
              <w:right w:val="nil"/>
            </w:tcBorders>
            <w:shd w:val="clear" w:color="auto" w:fill="FFFFFF"/>
          </w:tcPr>
          <w:p w14:paraId="6E08C4A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决策不自主受控</w:t>
            </w:r>
          </w:p>
        </w:tc>
        <w:tc>
          <w:tcPr>
            <w:tcW w:w="609" w:type="pct"/>
            <w:tcBorders>
              <w:top w:val="nil"/>
              <w:left w:val="nil"/>
              <w:bottom w:val="nil"/>
              <w:right w:val="nil"/>
            </w:tcBorders>
            <w:shd w:val="clear" w:color="auto" w:fill="FFFFFF"/>
          </w:tcPr>
          <w:p w14:paraId="0A397BE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56.67</w:t>
            </w:r>
          </w:p>
        </w:tc>
        <w:tc>
          <w:tcPr>
            <w:tcW w:w="697" w:type="pct"/>
            <w:tcBorders>
              <w:top w:val="nil"/>
              <w:left w:val="nil"/>
              <w:bottom w:val="nil"/>
              <w:right w:val="nil"/>
            </w:tcBorders>
            <w:shd w:val="clear" w:color="auto" w:fill="FFFFFF"/>
          </w:tcPr>
          <w:p w14:paraId="5FD79A1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0.1764</w:t>
            </w:r>
          </w:p>
        </w:tc>
        <w:tc>
          <w:tcPr>
            <w:tcW w:w="503" w:type="pct"/>
            <w:tcBorders>
              <w:top w:val="nil"/>
              <w:left w:val="nil"/>
              <w:bottom w:val="nil"/>
              <w:right w:val="nil"/>
            </w:tcBorders>
            <w:shd w:val="clear" w:color="auto" w:fill="FFFFFF"/>
          </w:tcPr>
          <w:p w14:paraId="544CC8B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0.7660</w:t>
            </w:r>
          </w:p>
        </w:tc>
        <w:tc>
          <w:tcPr>
            <w:tcW w:w="586" w:type="pct"/>
            <w:tcBorders>
              <w:top w:val="nil"/>
              <w:left w:val="nil"/>
              <w:bottom w:val="nil"/>
              <w:right w:val="nil"/>
            </w:tcBorders>
            <w:shd w:val="clear" w:color="auto" w:fill="FFFFFF"/>
          </w:tcPr>
          <w:p w14:paraId="1F95A14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68.86</w:t>
            </w:r>
          </w:p>
        </w:tc>
      </w:tr>
      <w:tr w14:paraId="675FC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3985748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8</w:t>
            </w:r>
          </w:p>
        </w:tc>
        <w:tc>
          <w:tcPr>
            <w:tcW w:w="705" w:type="pct"/>
            <w:tcBorders>
              <w:top w:val="nil"/>
              <w:left w:val="nil"/>
              <w:bottom w:val="nil"/>
              <w:right w:val="nil"/>
            </w:tcBorders>
            <w:shd w:val="clear" w:color="auto" w:fill="FFFFFF"/>
          </w:tcPr>
          <w:p w14:paraId="6CE03ED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服务机器人</w:t>
            </w:r>
          </w:p>
        </w:tc>
        <w:tc>
          <w:tcPr>
            <w:tcW w:w="1344" w:type="pct"/>
            <w:tcBorders>
              <w:top w:val="nil"/>
              <w:left w:val="nil"/>
              <w:bottom w:val="nil"/>
              <w:right w:val="nil"/>
            </w:tcBorders>
            <w:shd w:val="clear" w:color="auto" w:fill="FFFFFF"/>
          </w:tcPr>
          <w:p w14:paraId="6C23711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侵犯隐私</w:t>
            </w:r>
          </w:p>
        </w:tc>
        <w:tc>
          <w:tcPr>
            <w:tcW w:w="609" w:type="pct"/>
            <w:tcBorders>
              <w:top w:val="nil"/>
              <w:left w:val="nil"/>
              <w:bottom w:val="nil"/>
              <w:right w:val="nil"/>
            </w:tcBorders>
            <w:shd w:val="clear" w:color="auto" w:fill="FFFFFF"/>
          </w:tcPr>
          <w:p w14:paraId="6773005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45.82</w:t>
            </w:r>
          </w:p>
        </w:tc>
        <w:tc>
          <w:tcPr>
            <w:tcW w:w="697" w:type="pct"/>
            <w:tcBorders>
              <w:top w:val="nil"/>
              <w:left w:val="nil"/>
              <w:bottom w:val="nil"/>
              <w:right w:val="nil"/>
            </w:tcBorders>
            <w:shd w:val="clear" w:color="auto" w:fill="FFFFFF"/>
          </w:tcPr>
          <w:p w14:paraId="00A39AB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0.2312</w:t>
            </w:r>
          </w:p>
        </w:tc>
        <w:tc>
          <w:tcPr>
            <w:tcW w:w="503" w:type="pct"/>
            <w:tcBorders>
              <w:top w:val="nil"/>
              <w:left w:val="nil"/>
              <w:bottom w:val="nil"/>
              <w:right w:val="nil"/>
            </w:tcBorders>
            <w:shd w:val="clear" w:color="auto" w:fill="FFFFFF"/>
          </w:tcPr>
          <w:p w14:paraId="503C72C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0.7004</w:t>
            </w:r>
          </w:p>
        </w:tc>
        <w:tc>
          <w:tcPr>
            <w:tcW w:w="586" w:type="pct"/>
            <w:tcBorders>
              <w:top w:val="nil"/>
              <w:left w:val="nil"/>
              <w:bottom w:val="nil"/>
              <w:right w:val="nil"/>
            </w:tcBorders>
            <w:shd w:val="clear" w:color="auto" w:fill="FFFFFF"/>
          </w:tcPr>
          <w:p w14:paraId="1DDBCA3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66.73</w:t>
            </w:r>
          </w:p>
        </w:tc>
      </w:tr>
      <w:tr w14:paraId="60DD5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416CBDF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9</w:t>
            </w:r>
          </w:p>
        </w:tc>
        <w:tc>
          <w:tcPr>
            <w:tcW w:w="705" w:type="pct"/>
            <w:tcBorders>
              <w:top w:val="nil"/>
              <w:left w:val="nil"/>
              <w:bottom w:val="nil"/>
              <w:right w:val="nil"/>
            </w:tcBorders>
            <w:shd w:val="clear" w:color="auto" w:fill="FFFFFF"/>
          </w:tcPr>
          <w:p w14:paraId="756AE22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机器视觉</w:t>
            </w:r>
          </w:p>
        </w:tc>
        <w:tc>
          <w:tcPr>
            <w:tcW w:w="1344" w:type="pct"/>
            <w:tcBorders>
              <w:top w:val="nil"/>
              <w:left w:val="nil"/>
              <w:bottom w:val="nil"/>
              <w:right w:val="nil"/>
            </w:tcBorders>
            <w:shd w:val="clear" w:color="auto" w:fill="FFFFFF"/>
          </w:tcPr>
          <w:p w14:paraId="7DC9C26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破坏社会公平</w:t>
            </w:r>
          </w:p>
        </w:tc>
        <w:tc>
          <w:tcPr>
            <w:tcW w:w="609" w:type="pct"/>
            <w:tcBorders>
              <w:top w:val="nil"/>
              <w:left w:val="nil"/>
              <w:bottom w:val="nil"/>
              <w:right w:val="nil"/>
            </w:tcBorders>
            <w:shd w:val="clear" w:color="auto" w:fill="FFFFFF"/>
          </w:tcPr>
          <w:p w14:paraId="29B38BA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52.80</w:t>
            </w:r>
          </w:p>
        </w:tc>
        <w:tc>
          <w:tcPr>
            <w:tcW w:w="697" w:type="pct"/>
            <w:tcBorders>
              <w:top w:val="nil"/>
              <w:left w:val="nil"/>
              <w:bottom w:val="nil"/>
              <w:right w:val="nil"/>
            </w:tcBorders>
            <w:shd w:val="clear" w:color="auto" w:fill="FFFFFF"/>
          </w:tcPr>
          <w:p w14:paraId="128E7CE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0.2006</w:t>
            </w:r>
          </w:p>
        </w:tc>
        <w:tc>
          <w:tcPr>
            <w:tcW w:w="503" w:type="pct"/>
            <w:tcBorders>
              <w:top w:val="nil"/>
              <w:left w:val="nil"/>
              <w:bottom w:val="nil"/>
              <w:right w:val="nil"/>
            </w:tcBorders>
            <w:shd w:val="clear" w:color="auto" w:fill="FFFFFF"/>
          </w:tcPr>
          <w:p w14:paraId="7E6358F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0.6704</w:t>
            </w:r>
          </w:p>
        </w:tc>
        <w:tc>
          <w:tcPr>
            <w:tcW w:w="586" w:type="pct"/>
            <w:tcBorders>
              <w:top w:val="nil"/>
              <w:left w:val="nil"/>
              <w:bottom w:val="nil"/>
              <w:right w:val="nil"/>
            </w:tcBorders>
            <w:shd w:val="clear" w:color="auto" w:fill="FFFFFF"/>
          </w:tcPr>
          <w:p w14:paraId="042309E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63.84</w:t>
            </w:r>
          </w:p>
        </w:tc>
      </w:tr>
      <w:tr w14:paraId="32E63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2BBA2E5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10</w:t>
            </w:r>
          </w:p>
        </w:tc>
        <w:tc>
          <w:tcPr>
            <w:tcW w:w="705" w:type="pct"/>
            <w:tcBorders>
              <w:top w:val="nil"/>
              <w:left w:val="nil"/>
              <w:bottom w:val="nil"/>
              <w:right w:val="nil"/>
            </w:tcBorders>
            <w:shd w:val="clear" w:color="auto" w:fill="FFFFFF"/>
          </w:tcPr>
          <w:p w14:paraId="02B87CC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个性化算法</w:t>
            </w:r>
          </w:p>
        </w:tc>
        <w:tc>
          <w:tcPr>
            <w:tcW w:w="1344" w:type="pct"/>
            <w:tcBorders>
              <w:top w:val="nil"/>
              <w:left w:val="nil"/>
              <w:bottom w:val="nil"/>
              <w:right w:val="nil"/>
            </w:tcBorders>
            <w:shd w:val="clear" w:color="auto" w:fill="FFFFFF"/>
          </w:tcPr>
          <w:p w14:paraId="412A323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决策不自主受控</w:t>
            </w:r>
          </w:p>
        </w:tc>
        <w:tc>
          <w:tcPr>
            <w:tcW w:w="609" w:type="pct"/>
            <w:tcBorders>
              <w:top w:val="nil"/>
              <w:left w:val="nil"/>
              <w:bottom w:val="nil"/>
              <w:right w:val="nil"/>
            </w:tcBorders>
            <w:shd w:val="clear" w:color="auto" w:fill="FFFFFF"/>
          </w:tcPr>
          <w:p w14:paraId="2ACFE6B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48.87</w:t>
            </w:r>
          </w:p>
        </w:tc>
        <w:tc>
          <w:tcPr>
            <w:tcW w:w="697" w:type="pct"/>
            <w:tcBorders>
              <w:top w:val="nil"/>
              <w:left w:val="nil"/>
              <w:bottom w:val="nil"/>
              <w:right w:val="nil"/>
            </w:tcBorders>
            <w:shd w:val="clear" w:color="auto" w:fill="FFFFFF"/>
          </w:tcPr>
          <w:p w14:paraId="330E168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0.1865</w:t>
            </w:r>
          </w:p>
        </w:tc>
        <w:tc>
          <w:tcPr>
            <w:tcW w:w="503" w:type="pct"/>
            <w:tcBorders>
              <w:top w:val="nil"/>
              <w:left w:val="nil"/>
              <w:bottom w:val="nil"/>
              <w:right w:val="nil"/>
            </w:tcBorders>
            <w:shd w:val="clear" w:color="auto" w:fill="FFFFFF"/>
          </w:tcPr>
          <w:p w14:paraId="36F040B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0.7694</w:t>
            </w:r>
          </w:p>
        </w:tc>
        <w:tc>
          <w:tcPr>
            <w:tcW w:w="586" w:type="pct"/>
            <w:tcBorders>
              <w:top w:val="nil"/>
              <w:left w:val="nil"/>
              <w:bottom w:val="nil"/>
              <w:right w:val="nil"/>
            </w:tcBorders>
            <w:shd w:val="clear" w:color="auto" w:fill="FFFFFF"/>
          </w:tcPr>
          <w:p w14:paraId="5140EA6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63.06</w:t>
            </w:r>
          </w:p>
        </w:tc>
      </w:tr>
      <w:tr w14:paraId="00D86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2222220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11</w:t>
            </w:r>
          </w:p>
        </w:tc>
        <w:tc>
          <w:tcPr>
            <w:tcW w:w="705" w:type="pct"/>
            <w:tcBorders>
              <w:top w:val="nil"/>
              <w:left w:val="nil"/>
              <w:bottom w:val="nil"/>
              <w:right w:val="nil"/>
            </w:tcBorders>
            <w:shd w:val="clear" w:color="auto" w:fill="FFFFFF"/>
          </w:tcPr>
          <w:p w14:paraId="48C9C66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自动驾驶</w:t>
            </w:r>
          </w:p>
        </w:tc>
        <w:tc>
          <w:tcPr>
            <w:tcW w:w="1344" w:type="pct"/>
            <w:tcBorders>
              <w:top w:val="nil"/>
              <w:left w:val="nil"/>
              <w:bottom w:val="nil"/>
              <w:right w:val="nil"/>
            </w:tcBorders>
            <w:shd w:val="clear" w:color="auto" w:fill="FFFFFF"/>
          </w:tcPr>
          <w:p w14:paraId="7943070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破坏社会公平</w:t>
            </w:r>
          </w:p>
        </w:tc>
        <w:tc>
          <w:tcPr>
            <w:tcW w:w="609" w:type="pct"/>
            <w:tcBorders>
              <w:top w:val="nil"/>
              <w:left w:val="nil"/>
              <w:bottom w:val="nil"/>
              <w:right w:val="nil"/>
            </w:tcBorders>
            <w:shd w:val="clear" w:color="auto" w:fill="FFFFFF"/>
          </w:tcPr>
          <w:p w14:paraId="796CA47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81.01</w:t>
            </w:r>
          </w:p>
        </w:tc>
        <w:tc>
          <w:tcPr>
            <w:tcW w:w="697" w:type="pct"/>
            <w:tcBorders>
              <w:top w:val="nil"/>
              <w:left w:val="nil"/>
              <w:bottom w:val="nil"/>
              <w:right w:val="nil"/>
            </w:tcBorders>
            <w:shd w:val="clear" w:color="auto" w:fill="FFFFFF"/>
          </w:tcPr>
          <w:p w14:paraId="31A97A6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0.1305</w:t>
            </w:r>
          </w:p>
        </w:tc>
        <w:tc>
          <w:tcPr>
            <w:tcW w:w="503" w:type="pct"/>
            <w:tcBorders>
              <w:top w:val="nil"/>
              <w:left w:val="nil"/>
              <w:bottom w:val="nil"/>
              <w:right w:val="nil"/>
            </w:tcBorders>
            <w:shd w:val="clear" w:color="auto" w:fill="FFFFFF"/>
          </w:tcPr>
          <w:p w14:paraId="72F142B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0.6382</w:t>
            </w:r>
          </w:p>
        </w:tc>
        <w:tc>
          <w:tcPr>
            <w:tcW w:w="586" w:type="pct"/>
            <w:tcBorders>
              <w:top w:val="nil"/>
              <w:left w:val="nil"/>
              <w:bottom w:val="nil"/>
              <w:right w:val="nil"/>
            </w:tcBorders>
            <w:shd w:val="clear" w:color="auto" w:fill="FFFFFF"/>
          </w:tcPr>
          <w:p w14:paraId="15FC789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60.69</w:t>
            </w:r>
          </w:p>
        </w:tc>
      </w:tr>
      <w:tr w14:paraId="6AB7D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3DC71CF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12</w:t>
            </w:r>
          </w:p>
        </w:tc>
        <w:tc>
          <w:tcPr>
            <w:tcW w:w="705" w:type="pct"/>
            <w:tcBorders>
              <w:top w:val="nil"/>
              <w:left w:val="nil"/>
              <w:bottom w:val="nil"/>
              <w:right w:val="nil"/>
            </w:tcBorders>
            <w:shd w:val="clear" w:color="auto" w:fill="FFFFFF"/>
          </w:tcPr>
          <w:p w14:paraId="78F9D1F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机器视觉</w:t>
            </w:r>
          </w:p>
        </w:tc>
        <w:tc>
          <w:tcPr>
            <w:tcW w:w="1344" w:type="pct"/>
            <w:tcBorders>
              <w:top w:val="nil"/>
              <w:left w:val="nil"/>
              <w:bottom w:val="nil"/>
              <w:right w:val="nil"/>
            </w:tcBorders>
            <w:shd w:val="clear" w:color="auto" w:fill="FFFFFF"/>
          </w:tcPr>
          <w:p w14:paraId="34D7C69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加剧社会偏见或歧视</w:t>
            </w:r>
          </w:p>
        </w:tc>
        <w:tc>
          <w:tcPr>
            <w:tcW w:w="609" w:type="pct"/>
            <w:tcBorders>
              <w:top w:val="nil"/>
              <w:left w:val="nil"/>
              <w:bottom w:val="nil"/>
              <w:right w:val="nil"/>
            </w:tcBorders>
            <w:shd w:val="clear" w:color="auto" w:fill="FFFFFF"/>
          </w:tcPr>
          <w:p w14:paraId="74E14BB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43.40</w:t>
            </w:r>
          </w:p>
        </w:tc>
        <w:tc>
          <w:tcPr>
            <w:tcW w:w="697" w:type="pct"/>
            <w:tcBorders>
              <w:top w:val="nil"/>
              <w:left w:val="nil"/>
              <w:bottom w:val="nil"/>
              <w:right w:val="nil"/>
            </w:tcBorders>
            <w:shd w:val="clear" w:color="auto" w:fill="FFFFFF"/>
          </w:tcPr>
          <w:p w14:paraId="1CB4EC0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0.1991</w:t>
            </w:r>
          </w:p>
        </w:tc>
        <w:tc>
          <w:tcPr>
            <w:tcW w:w="503" w:type="pct"/>
            <w:tcBorders>
              <w:top w:val="nil"/>
              <w:left w:val="nil"/>
              <w:bottom w:val="nil"/>
              <w:right w:val="nil"/>
            </w:tcBorders>
            <w:shd w:val="clear" w:color="auto" w:fill="FFFFFF"/>
          </w:tcPr>
          <w:p w14:paraId="179D295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0.7612</w:t>
            </w:r>
          </w:p>
        </w:tc>
        <w:tc>
          <w:tcPr>
            <w:tcW w:w="586" w:type="pct"/>
            <w:tcBorders>
              <w:top w:val="nil"/>
              <w:left w:val="nil"/>
              <w:bottom w:val="nil"/>
              <w:right w:val="nil"/>
            </w:tcBorders>
            <w:shd w:val="clear" w:color="auto" w:fill="FFFFFF"/>
          </w:tcPr>
          <w:p w14:paraId="116BAF0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59.17</w:t>
            </w:r>
          </w:p>
        </w:tc>
      </w:tr>
      <w:tr w14:paraId="3BE1C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24B03ED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13</w:t>
            </w:r>
          </w:p>
        </w:tc>
        <w:tc>
          <w:tcPr>
            <w:tcW w:w="705" w:type="pct"/>
            <w:tcBorders>
              <w:top w:val="nil"/>
              <w:left w:val="nil"/>
              <w:bottom w:val="nil"/>
              <w:right w:val="nil"/>
            </w:tcBorders>
            <w:shd w:val="clear" w:color="auto" w:fill="FFFFFF"/>
          </w:tcPr>
          <w:p w14:paraId="5A14B97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机器视觉</w:t>
            </w:r>
          </w:p>
        </w:tc>
        <w:tc>
          <w:tcPr>
            <w:tcW w:w="1344" w:type="pct"/>
            <w:tcBorders>
              <w:top w:val="nil"/>
              <w:left w:val="nil"/>
              <w:bottom w:val="nil"/>
              <w:right w:val="nil"/>
            </w:tcBorders>
            <w:shd w:val="clear" w:color="auto" w:fill="FFFFFF"/>
          </w:tcPr>
          <w:p w14:paraId="05F6C1D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权责归属不清或失当</w:t>
            </w:r>
          </w:p>
        </w:tc>
        <w:tc>
          <w:tcPr>
            <w:tcW w:w="609" w:type="pct"/>
            <w:tcBorders>
              <w:top w:val="nil"/>
              <w:left w:val="nil"/>
              <w:bottom w:val="nil"/>
              <w:right w:val="nil"/>
            </w:tcBorders>
            <w:shd w:val="clear" w:color="auto" w:fill="FFFFFF"/>
          </w:tcPr>
          <w:p w14:paraId="766C839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65.07</w:t>
            </w:r>
          </w:p>
        </w:tc>
        <w:tc>
          <w:tcPr>
            <w:tcW w:w="697" w:type="pct"/>
            <w:tcBorders>
              <w:top w:val="nil"/>
              <w:left w:val="nil"/>
              <w:bottom w:val="nil"/>
              <w:right w:val="nil"/>
            </w:tcBorders>
            <w:shd w:val="clear" w:color="auto" w:fill="FFFFFF"/>
          </w:tcPr>
          <w:p w14:paraId="3749FEF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0.1469</w:t>
            </w:r>
          </w:p>
        </w:tc>
        <w:tc>
          <w:tcPr>
            <w:tcW w:w="503" w:type="pct"/>
            <w:tcBorders>
              <w:top w:val="nil"/>
              <w:left w:val="nil"/>
              <w:bottom w:val="nil"/>
              <w:right w:val="nil"/>
            </w:tcBorders>
            <w:shd w:val="clear" w:color="auto" w:fill="FFFFFF"/>
          </w:tcPr>
          <w:p w14:paraId="7953CD8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0.6690</w:t>
            </w:r>
          </w:p>
        </w:tc>
        <w:tc>
          <w:tcPr>
            <w:tcW w:w="586" w:type="pct"/>
            <w:tcBorders>
              <w:top w:val="nil"/>
              <w:left w:val="nil"/>
              <w:bottom w:val="nil"/>
              <w:right w:val="nil"/>
            </w:tcBorders>
            <w:shd w:val="clear" w:color="auto" w:fill="FFFFFF"/>
          </w:tcPr>
          <w:p w14:paraId="62D268D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57.49</w:t>
            </w:r>
          </w:p>
        </w:tc>
      </w:tr>
      <w:tr w14:paraId="4DF81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206C66F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14</w:t>
            </w:r>
          </w:p>
        </w:tc>
        <w:tc>
          <w:tcPr>
            <w:tcW w:w="705" w:type="pct"/>
            <w:tcBorders>
              <w:top w:val="nil"/>
              <w:left w:val="nil"/>
              <w:bottom w:val="nil"/>
              <w:right w:val="nil"/>
            </w:tcBorders>
            <w:shd w:val="clear" w:color="auto" w:fill="FFFFFF"/>
          </w:tcPr>
          <w:p w14:paraId="7B23832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个性化算法</w:t>
            </w:r>
          </w:p>
        </w:tc>
        <w:tc>
          <w:tcPr>
            <w:tcW w:w="1344" w:type="pct"/>
            <w:tcBorders>
              <w:top w:val="nil"/>
              <w:left w:val="nil"/>
              <w:bottom w:val="nil"/>
              <w:right w:val="nil"/>
            </w:tcBorders>
            <w:shd w:val="clear" w:color="auto" w:fill="FFFFFF"/>
          </w:tcPr>
          <w:p w14:paraId="379B684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破坏社会公平</w:t>
            </w:r>
          </w:p>
        </w:tc>
        <w:tc>
          <w:tcPr>
            <w:tcW w:w="609" w:type="pct"/>
            <w:tcBorders>
              <w:top w:val="nil"/>
              <w:left w:val="nil"/>
              <w:bottom w:val="nil"/>
              <w:right w:val="nil"/>
            </w:tcBorders>
            <w:shd w:val="clear" w:color="auto" w:fill="FFFFFF"/>
          </w:tcPr>
          <w:p w14:paraId="5942D4F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43.67</w:t>
            </w:r>
          </w:p>
        </w:tc>
        <w:tc>
          <w:tcPr>
            <w:tcW w:w="697" w:type="pct"/>
            <w:tcBorders>
              <w:top w:val="nil"/>
              <w:left w:val="nil"/>
              <w:bottom w:val="nil"/>
              <w:right w:val="nil"/>
            </w:tcBorders>
            <w:shd w:val="clear" w:color="auto" w:fill="FFFFFF"/>
          </w:tcPr>
          <w:p w14:paraId="34E8EC4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0.2072</w:t>
            </w:r>
          </w:p>
        </w:tc>
        <w:tc>
          <w:tcPr>
            <w:tcW w:w="503" w:type="pct"/>
            <w:tcBorders>
              <w:top w:val="nil"/>
              <w:left w:val="nil"/>
              <w:bottom w:val="nil"/>
              <w:right w:val="nil"/>
            </w:tcBorders>
            <w:shd w:val="clear" w:color="auto" w:fill="FFFFFF"/>
          </w:tcPr>
          <w:p w14:paraId="5397045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0.6994</w:t>
            </w:r>
          </w:p>
        </w:tc>
        <w:tc>
          <w:tcPr>
            <w:tcW w:w="586" w:type="pct"/>
            <w:tcBorders>
              <w:top w:val="nil"/>
              <w:left w:val="nil"/>
              <w:bottom w:val="nil"/>
              <w:right w:val="nil"/>
            </w:tcBorders>
            <w:shd w:val="clear" w:color="auto" w:fill="FFFFFF"/>
          </w:tcPr>
          <w:p w14:paraId="0261AC2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56.92</w:t>
            </w:r>
          </w:p>
        </w:tc>
      </w:tr>
      <w:tr w14:paraId="10CF1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5F06223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15</w:t>
            </w:r>
          </w:p>
        </w:tc>
        <w:tc>
          <w:tcPr>
            <w:tcW w:w="705" w:type="pct"/>
            <w:tcBorders>
              <w:top w:val="nil"/>
              <w:left w:val="nil"/>
              <w:bottom w:val="nil"/>
              <w:right w:val="nil"/>
            </w:tcBorders>
            <w:shd w:val="clear" w:color="auto" w:fill="FFFFFF"/>
          </w:tcPr>
          <w:p w14:paraId="2126D9D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自动驾驶</w:t>
            </w:r>
          </w:p>
        </w:tc>
        <w:tc>
          <w:tcPr>
            <w:tcW w:w="1344" w:type="pct"/>
            <w:tcBorders>
              <w:top w:val="nil"/>
              <w:left w:val="nil"/>
              <w:bottom w:val="nil"/>
              <w:right w:val="nil"/>
            </w:tcBorders>
            <w:shd w:val="clear" w:color="auto" w:fill="FFFFFF"/>
          </w:tcPr>
          <w:p w14:paraId="1C05401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侵犯隐私</w:t>
            </w:r>
          </w:p>
        </w:tc>
        <w:tc>
          <w:tcPr>
            <w:tcW w:w="609" w:type="pct"/>
            <w:tcBorders>
              <w:top w:val="nil"/>
              <w:left w:val="nil"/>
              <w:bottom w:val="nil"/>
              <w:right w:val="nil"/>
            </w:tcBorders>
            <w:shd w:val="clear" w:color="auto" w:fill="FFFFFF"/>
          </w:tcPr>
          <w:p w14:paraId="65730A3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44.79</w:t>
            </w:r>
          </w:p>
        </w:tc>
        <w:tc>
          <w:tcPr>
            <w:tcW w:w="697" w:type="pct"/>
            <w:tcBorders>
              <w:top w:val="nil"/>
              <w:left w:val="nil"/>
              <w:bottom w:val="nil"/>
              <w:right w:val="nil"/>
            </w:tcBorders>
            <w:shd w:val="clear" w:color="auto" w:fill="FFFFFF"/>
          </w:tcPr>
          <w:p w14:paraId="77EFC1A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0.1905</w:t>
            </w:r>
          </w:p>
        </w:tc>
        <w:tc>
          <w:tcPr>
            <w:tcW w:w="503" w:type="pct"/>
            <w:tcBorders>
              <w:top w:val="nil"/>
              <w:left w:val="nil"/>
              <w:bottom w:val="nil"/>
              <w:right w:val="nil"/>
            </w:tcBorders>
            <w:shd w:val="clear" w:color="auto" w:fill="FFFFFF"/>
          </w:tcPr>
          <w:p w14:paraId="17023F1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0.7354</w:t>
            </w:r>
          </w:p>
        </w:tc>
        <w:tc>
          <w:tcPr>
            <w:tcW w:w="586" w:type="pct"/>
            <w:tcBorders>
              <w:top w:val="nil"/>
              <w:left w:val="nil"/>
              <w:bottom w:val="nil"/>
              <w:right w:val="nil"/>
            </w:tcBorders>
            <w:shd w:val="clear" w:color="auto" w:fill="FFFFFF"/>
          </w:tcPr>
          <w:p w14:paraId="48032B5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56.44</w:t>
            </w:r>
          </w:p>
        </w:tc>
      </w:tr>
      <w:tr w14:paraId="719FE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16C8D3E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16</w:t>
            </w:r>
          </w:p>
        </w:tc>
        <w:tc>
          <w:tcPr>
            <w:tcW w:w="705" w:type="pct"/>
            <w:tcBorders>
              <w:top w:val="nil"/>
              <w:left w:val="nil"/>
              <w:bottom w:val="nil"/>
              <w:right w:val="nil"/>
            </w:tcBorders>
            <w:shd w:val="clear" w:color="auto" w:fill="FFFFFF"/>
          </w:tcPr>
          <w:p w14:paraId="6310CEA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服务机器人</w:t>
            </w:r>
          </w:p>
        </w:tc>
        <w:tc>
          <w:tcPr>
            <w:tcW w:w="1344" w:type="pct"/>
            <w:tcBorders>
              <w:top w:val="nil"/>
              <w:left w:val="nil"/>
              <w:bottom w:val="nil"/>
              <w:right w:val="nil"/>
            </w:tcBorders>
            <w:shd w:val="clear" w:color="auto" w:fill="FFFFFF"/>
          </w:tcPr>
          <w:p w14:paraId="2480A64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破坏社会公平</w:t>
            </w:r>
          </w:p>
        </w:tc>
        <w:tc>
          <w:tcPr>
            <w:tcW w:w="609" w:type="pct"/>
            <w:tcBorders>
              <w:top w:val="nil"/>
              <w:left w:val="nil"/>
              <w:bottom w:val="nil"/>
              <w:right w:val="nil"/>
            </w:tcBorders>
            <w:shd w:val="clear" w:color="auto" w:fill="FFFFFF"/>
          </w:tcPr>
          <w:p w14:paraId="2F48172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76.57</w:t>
            </w:r>
          </w:p>
        </w:tc>
        <w:tc>
          <w:tcPr>
            <w:tcW w:w="697" w:type="pct"/>
            <w:tcBorders>
              <w:top w:val="nil"/>
              <w:left w:val="nil"/>
              <w:bottom w:val="nil"/>
              <w:right w:val="nil"/>
            </w:tcBorders>
            <w:shd w:val="clear" w:color="auto" w:fill="FFFFFF"/>
          </w:tcPr>
          <w:p w14:paraId="59DCA6E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0.1306</w:t>
            </w:r>
          </w:p>
        </w:tc>
        <w:tc>
          <w:tcPr>
            <w:tcW w:w="503" w:type="pct"/>
            <w:tcBorders>
              <w:top w:val="nil"/>
              <w:left w:val="nil"/>
              <w:bottom w:val="nil"/>
              <w:right w:val="nil"/>
            </w:tcBorders>
            <w:shd w:val="clear" w:color="auto" w:fill="FFFFFF"/>
          </w:tcPr>
          <w:p w14:paraId="74B7D90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0.6139</w:t>
            </w:r>
          </w:p>
        </w:tc>
        <w:tc>
          <w:tcPr>
            <w:tcW w:w="586" w:type="pct"/>
            <w:tcBorders>
              <w:top w:val="nil"/>
              <w:left w:val="nil"/>
              <w:bottom w:val="nil"/>
              <w:right w:val="nil"/>
            </w:tcBorders>
            <w:shd w:val="clear" w:color="auto" w:fill="FFFFFF"/>
          </w:tcPr>
          <w:p w14:paraId="4738A3E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55.21</w:t>
            </w:r>
          </w:p>
        </w:tc>
      </w:tr>
      <w:tr w14:paraId="701E9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197AD29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17</w:t>
            </w:r>
          </w:p>
        </w:tc>
        <w:tc>
          <w:tcPr>
            <w:tcW w:w="705" w:type="pct"/>
            <w:tcBorders>
              <w:top w:val="nil"/>
              <w:left w:val="nil"/>
              <w:bottom w:val="nil"/>
              <w:right w:val="nil"/>
            </w:tcBorders>
            <w:shd w:val="clear" w:color="auto" w:fill="FFFFFF"/>
          </w:tcPr>
          <w:p w14:paraId="5531FB4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服务机器人</w:t>
            </w:r>
          </w:p>
        </w:tc>
        <w:tc>
          <w:tcPr>
            <w:tcW w:w="1344" w:type="pct"/>
            <w:tcBorders>
              <w:top w:val="nil"/>
              <w:left w:val="nil"/>
              <w:bottom w:val="nil"/>
              <w:right w:val="nil"/>
            </w:tcBorders>
            <w:shd w:val="clear" w:color="auto" w:fill="FFFFFF"/>
          </w:tcPr>
          <w:p w14:paraId="1402E84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权责归属不清或失当</w:t>
            </w:r>
          </w:p>
        </w:tc>
        <w:tc>
          <w:tcPr>
            <w:tcW w:w="609" w:type="pct"/>
            <w:tcBorders>
              <w:top w:val="nil"/>
              <w:left w:val="nil"/>
              <w:bottom w:val="nil"/>
              <w:right w:val="nil"/>
            </w:tcBorders>
            <w:shd w:val="clear" w:color="auto" w:fill="FFFFFF"/>
          </w:tcPr>
          <w:p w14:paraId="2B041E2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51.16</w:t>
            </w:r>
          </w:p>
        </w:tc>
        <w:tc>
          <w:tcPr>
            <w:tcW w:w="697" w:type="pct"/>
            <w:tcBorders>
              <w:top w:val="nil"/>
              <w:left w:val="nil"/>
              <w:bottom w:val="nil"/>
              <w:right w:val="nil"/>
            </w:tcBorders>
            <w:shd w:val="clear" w:color="auto" w:fill="FFFFFF"/>
          </w:tcPr>
          <w:p w14:paraId="737F19B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0.1818</w:t>
            </w:r>
          </w:p>
        </w:tc>
        <w:tc>
          <w:tcPr>
            <w:tcW w:w="503" w:type="pct"/>
            <w:tcBorders>
              <w:top w:val="nil"/>
              <w:left w:val="nil"/>
              <w:bottom w:val="nil"/>
              <w:right w:val="nil"/>
            </w:tcBorders>
            <w:shd w:val="clear" w:color="auto" w:fill="FFFFFF"/>
          </w:tcPr>
          <w:p w14:paraId="3F4E885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0.6207</w:t>
            </w:r>
          </w:p>
        </w:tc>
        <w:tc>
          <w:tcPr>
            <w:tcW w:w="586" w:type="pct"/>
            <w:tcBorders>
              <w:top w:val="nil"/>
              <w:left w:val="nil"/>
              <w:bottom w:val="nil"/>
              <w:right w:val="nil"/>
            </w:tcBorders>
            <w:shd w:val="clear" w:color="auto" w:fill="FFFFFF"/>
          </w:tcPr>
          <w:p w14:paraId="64E8C86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51.91</w:t>
            </w:r>
          </w:p>
        </w:tc>
      </w:tr>
      <w:tr w14:paraId="5DB0B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0DCFB74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18</w:t>
            </w:r>
          </w:p>
        </w:tc>
        <w:tc>
          <w:tcPr>
            <w:tcW w:w="705" w:type="pct"/>
            <w:tcBorders>
              <w:top w:val="nil"/>
              <w:left w:val="nil"/>
              <w:bottom w:val="nil"/>
              <w:right w:val="nil"/>
            </w:tcBorders>
            <w:shd w:val="clear" w:color="auto" w:fill="FFFFFF"/>
          </w:tcPr>
          <w:p w14:paraId="24559A1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个性化算法</w:t>
            </w:r>
          </w:p>
        </w:tc>
        <w:tc>
          <w:tcPr>
            <w:tcW w:w="1344" w:type="pct"/>
            <w:tcBorders>
              <w:top w:val="nil"/>
              <w:left w:val="nil"/>
              <w:bottom w:val="nil"/>
              <w:right w:val="nil"/>
            </w:tcBorders>
            <w:shd w:val="clear" w:color="auto" w:fill="FFFFFF"/>
          </w:tcPr>
          <w:p w14:paraId="5A0D377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权责归属不清或失当</w:t>
            </w:r>
          </w:p>
        </w:tc>
        <w:tc>
          <w:tcPr>
            <w:tcW w:w="609" w:type="pct"/>
            <w:tcBorders>
              <w:top w:val="nil"/>
              <w:left w:val="nil"/>
              <w:bottom w:val="nil"/>
              <w:right w:val="nil"/>
            </w:tcBorders>
            <w:shd w:val="clear" w:color="auto" w:fill="FFFFFF"/>
          </w:tcPr>
          <w:p w14:paraId="5749AF8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48.98</w:t>
            </w:r>
          </w:p>
        </w:tc>
        <w:tc>
          <w:tcPr>
            <w:tcW w:w="697" w:type="pct"/>
            <w:tcBorders>
              <w:top w:val="nil"/>
              <w:left w:val="nil"/>
              <w:bottom w:val="nil"/>
              <w:right w:val="nil"/>
            </w:tcBorders>
            <w:shd w:val="clear" w:color="auto" w:fill="FFFFFF"/>
          </w:tcPr>
          <w:p w14:paraId="1886560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0.1549</w:t>
            </w:r>
          </w:p>
        </w:tc>
        <w:tc>
          <w:tcPr>
            <w:tcW w:w="503" w:type="pct"/>
            <w:tcBorders>
              <w:top w:val="nil"/>
              <w:left w:val="nil"/>
              <w:bottom w:val="nil"/>
              <w:right w:val="nil"/>
            </w:tcBorders>
            <w:shd w:val="clear" w:color="auto" w:fill="FFFFFF"/>
          </w:tcPr>
          <w:p w14:paraId="5D2151E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0.6826</w:t>
            </w:r>
          </w:p>
        </w:tc>
        <w:tc>
          <w:tcPr>
            <w:tcW w:w="586" w:type="pct"/>
            <w:tcBorders>
              <w:top w:val="nil"/>
              <w:left w:val="nil"/>
              <w:bottom w:val="nil"/>
              <w:right w:val="nil"/>
            </w:tcBorders>
            <w:shd w:val="clear" w:color="auto" w:fill="FFFFFF"/>
          </w:tcPr>
          <w:p w14:paraId="6D416ED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46.57</w:t>
            </w:r>
          </w:p>
        </w:tc>
      </w:tr>
      <w:tr w14:paraId="67BF1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4E28986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19</w:t>
            </w:r>
          </w:p>
        </w:tc>
        <w:tc>
          <w:tcPr>
            <w:tcW w:w="705" w:type="pct"/>
            <w:tcBorders>
              <w:top w:val="nil"/>
              <w:left w:val="nil"/>
              <w:bottom w:val="nil"/>
              <w:right w:val="nil"/>
            </w:tcBorders>
            <w:shd w:val="clear" w:color="auto" w:fill="FFFFFF"/>
          </w:tcPr>
          <w:p w14:paraId="1F4EDDE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服务机器人</w:t>
            </w:r>
          </w:p>
        </w:tc>
        <w:tc>
          <w:tcPr>
            <w:tcW w:w="1344" w:type="pct"/>
            <w:tcBorders>
              <w:top w:val="nil"/>
              <w:left w:val="nil"/>
              <w:bottom w:val="nil"/>
              <w:right w:val="nil"/>
            </w:tcBorders>
            <w:shd w:val="clear" w:color="auto" w:fill="FFFFFF"/>
          </w:tcPr>
          <w:p w14:paraId="66D8702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加剧社会偏见或歧视</w:t>
            </w:r>
          </w:p>
        </w:tc>
        <w:tc>
          <w:tcPr>
            <w:tcW w:w="609" w:type="pct"/>
            <w:tcBorders>
              <w:top w:val="nil"/>
              <w:left w:val="nil"/>
              <w:bottom w:val="nil"/>
              <w:right w:val="nil"/>
            </w:tcBorders>
            <w:shd w:val="clear" w:color="auto" w:fill="FFFFFF"/>
          </w:tcPr>
          <w:p w14:paraId="0032386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50.97</w:t>
            </w:r>
          </w:p>
        </w:tc>
        <w:tc>
          <w:tcPr>
            <w:tcW w:w="697" w:type="pct"/>
            <w:tcBorders>
              <w:top w:val="nil"/>
              <w:left w:val="nil"/>
              <w:bottom w:val="nil"/>
              <w:right w:val="nil"/>
            </w:tcBorders>
            <w:shd w:val="clear" w:color="auto" w:fill="FFFFFF"/>
          </w:tcPr>
          <w:p w14:paraId="6964A97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0.1434</w:t>
            </w:r>
          </w:p>
        </w:tc>
        <w:tc>
          <w:tcPr>
            <w:tcW w:w="503" w:type="pct"/>
            <w:tcBorders>
              <w:top w:val="nil"/>
              <w:left w:val="nil"/>
              <w:bottom w:val="nil"/>
              <w:right w:val="nil"/>
            </w:tcBorders>
            <w:shd w:val="clear" w:color="auto" w:fill="FFFFFF"/>
          </w:tcPr>
          <w:p w14:paraId="1384214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0.6683</w:t>
            </w:r>
          </w:p>
        </w:tc>
        <w:tc>
          <w:tcPr>
            <w:tcW w:w="586" w:type="pct"/>
            <w:tcBorders>
              <w:top w:val="nil"/>
              <w:left w:val="nil"/>
              <w:bottom w:val="nil"/>
              <w:right w:val="nil"/>
            </w:tcBorders>
            <w:shd w:val="clear" w:color="auto" w:fill="FFFFFF"/>
          </w:tcPr>
          <w:p w14:paraId="5CDD43D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43.92</w:t>
            </w:r>
          </w:p>
        </w:tc>
      </w:tr>
      <w:tr w14:paraId="2AF87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single" w:color="000000" w:sz="12" w:space="0"/>
              <w:right w:val="nil"/>
            </w:tcBorders>
            <w:shd w:val="clear" w:color="auto" w:fill="FFFFFF"/>
          </w:tcPr>
          <w:p w14:paraId="7DA7244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20</w:t>
            </w:r>
          </w:p>
        </w:tc>
        <w:tc>
          <w:tcPr>
            <w:tcW w:w="705" w:type="pct"/>
            <w:tcBorders>
              <w:top w:val="nil"/>
              <w:left w:val="nil"/>
              <w:bottom w:val="single" w:color="000000" w:sz="12" w:space="0"/>
              <w:right w:val="nil"/>
            </w:tcBorders>
            <w:shd w:val="clear" w:color="auto" w:fill="FFFFFF"/>
          </w:tcPr>
          <w:p w14:paraId="43CEBA8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自动驾驶</w:t>
            </w:r>
          </w:p>
        </w:tc>
        <w:tc>
          <w:tcPr>
            <w:tcW w:w="1344" w:type="pct"/>
            <w:tcBorders>
              <w:top w:val="nil"/>
              <w:left w:val="nil"/>
              <w:bottom w:val="single" w:color="000000" w:sz="12" w:space="0"/>
              <w:right w:val="nil"/>
            </w:tcBorders>
            <w:shd w:val="clear" w:color="auto" w:fill="FFFFFF"/>
          </w:tcPr>
          <w:p w14:paraId="24CAB2F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加剧社会偏见或歧视</w:t>
            </w:r>
          </w:p>
        </w:tc>
        <w:tc>
          <w:tcPr>
            <w:tcW w:w="609" w:type="pct"/>
            <w:tcBorders>
              <w:top w:val="nil"/>
              <w:left w:val="nil"/>
              <w:bottom w:val="single" w:color="000000" w:sz="12" w:space="0"/>
              <w:right w:val="nil"/>
            </w:tcBorders>
            <w:shd w:val="clear" w:color="auto" w:fill="FFFFFF"/>
          </w:tcPr>
          <w:p w14:paraId="50FCC36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46.43</w:t>
            </w:r>
          </w:p>
        </w:tc>
        <w:tc>
          <w:tcPr>
            <w:tcW w:w="697" w:type="pct"/>
            <w:tcBorders>
              <w:top w:val="nil"/>
              <w:left w:val="nil"/>
              <w:bottom w:val="single" w:color="000000" w:sz="12" w:space="0"/>
              <w:right w:val="nil"/>
            </w:tcBorders>
            <w:shd w:val="clear" w:color="auto" w:fill="FFFFFF"/>
          </w:tcPr>
          <w:p w14:paraId="3EA9488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0.1410</w:t>
            </w:r>
          </w:p>
        </w:tc>
        <w:tc>
          <w:tcPr>
            <w:tcW w:w="503" w:type="pct"/>
            <w:tcBorders>
              <w:top w:val="nil"/>
              <w:left w:val="nil"/>
              <w:bottom w:val="single" w:color="000000" w:sz="12" w:space="0"/>
              <w:right w:val="nil"/>
            </w:tcBorders>
            <w:shd w:val="clear" w:color="auto" w:fill="FFFFFF"/>
          </w:tcPr>
          <w:p w14:paraId="1F7DEA1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0.5295</w:t>
            </w:r>
          </w:p>
        </w:tc>
        <w:tc>
          <w:tcPr>
            <w:tcW w:w="586" w:type="pct"/>
            <w:tcBorders>
              <w:top w:val="nil"/>
              <w:left w:val="nil"/>
              <w:bottom w:val="single" w:color="000000" w:sz="12" w:space="0"/>
              <w:right w:val="nil"/>
            </w:tcBorders>
            <w:shd w:val="clear" w:color="auto" w:fill="FFFFFF"/>
          </w:tcPr>
          <w:p w14:paraId="78C14F3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31.18</w:t>
            </w:r>
          </w:p>
        </w:tc>
      </w:tr>
    </w:tbl>
    <w:p w14:paraId="2166D64A">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基准结果显示，机器视觉—侵犯隐私、自动驾驶—决策不自主受控、自动驾驶—权责归属不清或失当、服务机器人—决策不自主受控以及个性化算法—侵犯隐私位列前五，</w:t>
      </w:r>
      <w:r>
        <w:rPr>
          <w:rFonts w:hint="eastAsia" w:cs="Times New Roman"/>
          <w:color w:val="0F1115"/>
          <w:kern w:val="0"/>
          <w:sz w:val="24"/>
          <w:szCs w:val="24"/>
          <w:shd w:val="clear" w:color="auto" w:fill="FFFFFF"/>
          <w:lang w:val="en-US" w:eastAsia="zh-CN"/>
        </w:rPr>
        <w:t>AI伦理风险</w:t>
      </w:r>
      <w:r>
        <w:rPr>
          <w:rFonts w:ascii="Times New Roman" w:hAnsi="Times New Roman" w:eastAsia="宋体" w:cs="Times New Roman"/>
          <w:color w:val="0F1115"/>
          <w:kern w:val="0"/>
          <w:sz w:val="24"/>
          <w:szCs w:val="24"/>
          <w:shd w:val="clear" w:color="auto" w:fill="FFFFFF"/>
        </w:rPr>
        <w:t>ERS指数依次为100.00、94.73、93.98、84.33和72.23。头部组合集中于</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侵犯隐私</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决策不自主受控</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和</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权责归属不清或失当</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，表明在当前证据结构、利益相关者判断及证据充分度修正下，这些风险具有较高的领域层关注优先级。</w:t>
      </w:r>
    </w:p>
    <w:p w14:paraId="127E2FE1">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ERM、WoI和CF共同影响最终排序。自动驾驶—决策不自主受控的ERM较高，WoI最高</w:t>
      </w:r>
      <w:r>
        <w:rPr>
          <w:rFonts w:hint="eastAsia" w:ascii="Times New Roman" w:hAnsi="Times New Roman" w:eastAsia="宋体" w:cs="Times New Roman"/>
          <w:color w:val="0F1115"/>
          <w:kern w:val="0"/>
          <w:sz w:val="24"/>
          <w:szCs w:val="24"/>
          <w:shd w:val="clear" w:color="auto" w:fill="FFFFFF"/>
        </w:rPr>
        <w:t>，且</w:t>
      </w:r>
      <w:r>
        <w:rPr>
          <w:rFonts w:ascii="Times New Roman" w:hAnsi="Times New Roman" w:eastAsia="宋体" w:cs="Times New Roman"/>
          <w:color w:val="0F1115"/>
          <w:kern w:val="0"/>
          <w:sz w:val="24"/>
          <w:szCs w:val="24"/>
          <w:shd w:val="clear" w:color="auto" w:fill="FFFFFF"/>
        </w:rPr>
        <w:t>其证据较集中于单一来源，CF为0.6172，最终排名第2位。机器视觉—侵犯隐私的ERM为46.65，WoI为0.2770</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其证据总量较高且来源分布较均衡，CF为0.8605，最终位列第1。这两个组合显示了CF对证据数量和来源集中程度的修正作用</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ERS应结合ERM、WoI与CF三项</w:t>
      </w:r>
      <w:r>
        <w:rPr>
          <w:rFonts w:hint="eastAsia" w:ascii="Times New Roman" w:hAnsi="Times New Roman" w:eastAsia="宋体" w:cs="Times New Roman"/>
          <w:color w:val="0F1115"/>
          <w:kern w:val="0"/>
          <w:sz w:val="24"/>
          <w:szCs w:val="24"/>
          <w:shd w:val="clear" w:color="auto" w:fill="FFFFFF"/>
        </w:rPr>
        <w:t>参数</w:t>
      </w:r>
      <w:r>
        <w:rPr>
          <w:rFonts w:ascii="Times New Roman" w:hAnsi="Times New Roman" w:eastAsia="宋体" w:cs="Times New Roman"/>
          <w:color w:val="0F1115"/>
          <w:kern w:val="0"/>
          <w:sz w:val="24"/>
          <w:szCs w:val="24"/>
          <w:shd w:val="clear" w:color="auto" w:fill="FFFFFF"/>
        </w:rPr>
        <w:t>进行解释。</w:t>
      </w:r>
    </w:p>
    <w:p w14:paraId="4C4233A4">
      <w:pPr>
        <w:pStyle w:val="4"/>
        <w:bidi w:val="0"/>
        <w:rPr>
          <w:rFonts w:ascii="Times New Roman" w:hAnsi="Times New Roman" w:eastAsia="宋体"/>
        </w:rPr>
      </w:pPr>
      <w:bookmarkStart w:id="15" w:name="_Toc4992"/>
      <w:r>
        <w:rPr>
          <w:rFonts w:hint="eastAsia" w:ascii="Times New Roman" w:hAnsi="Times New Roman" w:eastAsia="宋体"/>
          <w:lang w:eastAsia="zh-CN"/>
        </w:rPr>
        <w:t>（</w:t>
      </w:r>
      <w:r>
        <w:rPr>
          <w:rFonts w:hint="eastAsia"/>
          <w:lang w:val="en-US" w:eastAsia="zh-CN"/>
        </w:rPr>
        <w:t>四</w:t>
      </w:r>
      <w:r>
        <w:rPr>
          <w:rFonts w:hint="eastAsia" w:ascii="Times New Roman" w:hAnsi="Times New Roman" w:eastAsia="宋体"/>
          <w:lang w:eastAsia="zh-CN"/>
        </w:rPr>
        <w:t>）</w:t>
      </w:r>
      <w:r>
        <w:rPr>
          <w:rFonts w:ascii="Times New Roman" w:hAnsi="Times New Roman" w:eastAsia="宋体"/>
        </w:rPr>
        <w:t>稳健性与敏感性分析</w:t>
      </w:r>
      <w:bookmarkEnd w:id="15"/>
    </w:p>
    <w:p w14:paraId="32833B2F">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ascii="Times New Roman" w:hAnsi="Times New Roman" w:eastAsia="宋体"/>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1．</w:t>
      </w:r>
      <w:r>
        <w:rPr>
          <w:rFonts w:ascii="Times New Roman" w:hAnsi="Times New Roman" w:eastAsia="宋体"/>
        </w:rPr>
        <w:t>评价设计与单因素扰动</w:t>
      </w:r>
    </w:p>
    <w:p w14:paraId="50756065">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稳健性检验考察数据源权重、CF半饱和参数及形式、专家—公众权重、FAHP偏好强度和模糊隶属函数边界。评价指标包括Spearman秩相关系数、最低Top5重合率、各评价单元相对基准排名的平均绝对变化，以及单个评价单元的最大排名变化。</w:t>
      </w:r>
    </w:p>
    <w:p w14:paraId="4FDD3853">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首先</w:t>
      </w:r>
      <w:r>
        <w:rPr>
          <w:rFonts w:hint="eastAsia" w:ascii="Times New Roman" w:hAnsi="Times New Roman" w:eastAsia="宋体" w:cs="Times New Roman"/>
          <w:color w:val="0F1115"/>
          <w:kern w:val="0"/>
          <w:sz w:val="24"/>
          <w:szCs w:val="24"/>
          <w:shd w:val="clear" w:color="auto" w:fill="FFFFFF"/>
        </w:rPr>
        <w:t>判断单因素扰动</w:t>
      </w:r>
      <w:r>
        <w:rPr>
          <w:rFonts w:ascii="Times New Roman" w:hAnsi="Times New Roman" w:eastAsia="宋体" w:cs="Times New Roman"/>
          <w:color w:val="0F1115"/>
          <w:kern w:val="0"/>
          <w:sz w:val="24"/>
          <w:szCs w:val="24"/>
          <w:shd w:val="clear" w:color="auto" w:fill="FFFFFF"/>
        </w:rPr>
        <w:t>，每次仅改变一个参数，其余参数保持基准设定。数据源权重设置5种方案，CF半饱和参数设置60、90、120和180，CF形式设置5种替代方案，专家—公众权重设置1:1、3:1、5:1和10:1，FAHP偏好强度设置2.0、3.0和5.0，隶属函数缩放设置0.9、1.0和1.1，共形成24个扰动情景。</w:t>
      </w:r>
    </w:p>
    <w:p w14:paraId="6BE3EEB9">
      <w:pPr>
        <w:pageBreakBefore w:val="0"/>
        <w:widowControl/>
        <w:kinsoku/>
        <w:wordWrap/>
        <w:overflowPunct/>
        <w:topLinePunct w:val="0"/>
        <w:autoSpaceDE/>
        <w:autoSpaceDN/>
        <w:bidi w:val="0"/>
        <w:adjustRightInd/>
        <w:snapToGrid/>
        <w:spacing w:line="360" w:lineRule="auto"/>
        <w:jc w:val="center"/>
        <w:textAlignment w:val="auto"/>
        <w:rPr>
          <w:rFonts w:ascii="Times New Roman" w:hAnsi="Times New Roman" w:eastAsia="宋体" w:cs="Times New Roman"/>
          <w:color w:val="000000"/>
          <w:kern w:val="0"/>
          <w:szCs w:val="21"/>
        </w:rPr>
      </w:pPr>
      <w:r>
        <w:rPr>
          <w:rFonts w:ascii="Times New Roman" w:hAnsi="Times New Roman" w:eastAsia="宋体" w:cs="Times New Roman"/>
          <w:color w:val="000000"/>
          <w:kern w:val="0"/>
          <w:sz w:val="21"/>
          <w:szCs w:val="18"/>
        </w:rPr>
        <w:t>表3-5单因素扰动的排序稳健性检验结果</w:t>
      </w:r>
    </w:p>
    <w:tbl>
      <w:tblPr>
        <w:tblStyle w:val="189"/>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2"/>
        <w:gridCol w:w="852"/>
        <w:gridCol w:w="1681"/>
        <w:gridCol w:w="1891"/>
        <w:gridCol w:w="1438"/>
        <w:gridCol w:w="139"/>
        <w:gridCol w:w="1438"/>
      </w:tblGrid>
      <w:tr w14:paraId="3058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92" w:type="pct"/>
            <w:tcBorders>
              <w:top w:val="single" w:color="000000" w:sz="12" w:space="0"/>
              <w:left w:val="nil"/>
              <w:bottom w:val="single" w:color="000000" w:sz="4" w:space="0"/>
              <w:right w:val="nil"/>
              <w:tl2br w:val="nil"/>
            </w:tcBorders>
            <w:shd w:val="clear" w:color="auto" w:fill="FFFFFF"/>
            <w:vAlign w:val="center"/>
          </w:tcPr>
          <w:p w14:paraId="47A1160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扰动因素</w:t>
            </w:r>
          </w:p>
        </w:tc>
        <w:tc>
          <w:tcPr>
            <w:tcW w:w="459" w:type="pct"/>
            <w:tcBorders>
              <w:top w:val="single" w:color="000000" w:sz="12" w:space="0"/>
              <w:left w:val="nil"/>
              <w:bottom w:val="single" w:color="000000" w:sz="4" w:space="0"/>
              <w:right w:val="nil"/>
            </w:tcBorders>
            <w:shd w:val="clear" w:color="auto" w:fill="FFFFFF"/>
            <w:vAlign w:val="center"/>
          </w:tcPr>
          <w:p w14:paraId="43D13CD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水平数</w:t>
            </w:r>
          </w:p>
        </w:tc>
        <w:tc>
          <w:tcPr>
            <w:tcW w:w="905" w:type="pct"/>
            <w:tcBorders>
              <w:top w:val="single" w:color="000000" w:sz="12" w:space="0"/>
              <w:left w:val="nil"/>
              <w:bottom w:val="single" w:color="000000" w:sz="4" w:space="0"/>
              <w:right w:val="nil"/>
            </w:tcBorders>
            <w:shd w:val="clear" w:color="auto" w:fill="FFFFFF"/>
            <w:vAlign w:val="center"/>
          </w:tcPr>
          <w:p w14:paraId="32D0715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最低Spearman</w:t>
            </w:r>
          </w:p>
        </w:tc>
        <w:tc>
          <w:tcPr>
            <w:tcW w:w="1018" w:type="pct"/>
            <w:tcBorders>
              <w:top w:val="single" w:color="000000" w:sz="12" w:space="0"/>
              <w:left w:val="nil"/>
              <w:bottom w:val="single" w:color="000000" w:sz="4" w:space="0"/>
              <w:right w:val="nil"/>
            </w:tcBorders>
            <w:shd w:val="clear" w:color="auto" w:fill="FFFFFF"/>
            <w:vAlign w:val="center"/>
          </w:tcPr>
          <w:p w14:paraId="325D5FF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最低Top5重合率</w:t>
            </w:r>
          </w:p>
        </w:tc>
        <w:tc>
          <w:tcPr>
            <w:tcW w:w="849" w:type="pct"/>
            <w:gridSpan w:val="2"/>
            <w:tcBorders>
              <w:top w:val="single" w:color="000000" w:sz="12" w:space="0"/>
              <w:left w:val="nil"/>
              <w:bottom w:val="single" w:color="000000" w:sz="4" w:space="0"/>
              <w:right w:val="nil"/>
            </w:tcBorders>
            <w:shd w:val="clear" w:color="auto" w:fill="FFFFFF"/>
            <w:vAlign w:val="center"/>
          </w:tcPr>
          <w:p w14:paraId="1D2AC7B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最大平均变化（位）</w:t>
            </w:r>
          </w:p>
        </w:tc>
        <w:tc>
          <w:tcPr>
            <w:tcW w:w="774" w:type="pct"/>
            <w:tcBorders>
              <w:top w:val="single" w:color="000000" w:sz="12" w:space="0"/>
              <w:left w:val="nil"/>
              <w:bottom w:val="single" w:color="000000" w:sz="4" w:space="0"/>
              <w:right w:val="nil"/>
            </w:tcBorders>
            <w:shd w:val="clear" w:color="auto" w:fill="FFFFFF"/>
            <w:vAlign w:val="center"/>
          </w:tcPr>
          <w:p w14:paraId="7363FFD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单项最大变化（位）</w:t>
            </w:r>
          </w:p>
        </w:tc>
      </w:tr>
      <w:tr w14:paraId="2BD15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2" w:type="pct"/>
            <w:tcBorders>
              <w:top w:val="single" w:color="000000" w:sz="4" w:space="0"/>
              <w:left w:val="nil"/>
              <w:bottom w:val="nil"/>
              <w:right w:val="nil"/>
            </w:tcBorders>
            <w:shd w:val="clear" w:color="auto" w:fill="FFFFFF"/>
            <w:vAlign w:val="center"/>
          </w:tcPr>
          <w:p w14:paraId="6C807D1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数据源权重</w:t>
            </w:r>
          </w:p>
        </w:tc>
        <w:tc>
          <w:tcPr>
            <w:tcW w:w="459" w:type="pct"/>
            <w:tcBorders>
              <w:top w:val="single" w:color="000000" w:sz="4" w:space="0"/>
              <w:left w:val="nil"/>
              <w:bottom w:val="nil"/>
              <w:right w:val="nil"/>
            </w:tcBorders>
            <w:shd w:val="clear" w:color="auto" w:fill="FFFFFF"/>
            <w:vAlign w:val="center"/>
          </w:tcPr>
          <w:p w14:paraId="3F080D1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w:t>
            </w:r>
          </w:p>
        </w:tc>
        <w:tc>
          <w:tcPr>
            <w:tcW w:w="905" w:type="pct"/>
            <w:tcBorders>
              <w:top w:val="single" w:color="000000" w:sz="4" w:space="0"/>
              <w:left w:val="nil"/>
              <w:bottom w:val="nil"/>
              <w:right w:val="nil"/>
            </w:tcBorders>
            <w:shd w:val="clear" w:color="auto" w:fill="FFFFFF"/>
            <w:vAlign w:val="center"/>
          </w:tcPr>
          <w:p w14:paraId="2CDD754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0.958</w:t>
            </w:r>
          </w:p>
        </w:tc>
        <w:tc>
          <w:tcPr>
            <w:tcW w:w="1018" w:type="pct"/>
            <w:tcBorders>
              <w:top w:val="single" w:color="000000" w:sz="4" w:space="0"/>
              <w:left w:val="nil"/>
              <w:bottom w:val="nil"/>
              <w:right w:val="nil"/>
            </w:tcBorders>
            <w:shd w:val="clear" w:color="auto" w:fill="FFFFFF"/>
            <w:vAlign w:val="center"/>
          </w:tcPr>
          <w:p w14:paraId="769D7B1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80%</w:t>
            </w:r>
          </w:p>
        </w:tc>
        <w:tc>
          <w:tcPr>
            <w:tcW w:w="774" w:type="pct"/>
            <w:tcBorders>
              <w:top w:val="single" w:color="000000" w:sz="4" w:space="0"/>
              <w:left w:val="nil"/>
              <w:bottom w:val="nil"/>
              <w:right w:val="nil"/>
            </w:tcBorders>
            <w:shd w:val="clear" w:color="auto" w:fill="FFFFFF"/>
            <w:vAlign w:val="center"/>
          </w:tcPr>
          <w:p w14:paraId="5F820EF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1.20</w:t>
            </w:r>
          </w:p>
        </w:tc>
        <w:tc>
          <w:tcPr>
            <w:tcW w:w="849" w:type="pct"/>
            <w:gridSpan w:val="2"/>
            <w:tcBorders>
              <w:top w:val="single" w:color="000000" w:sz="4" w:space="0"/>
              <w:left w:val="nil"/>
              <w:bottom w:val="nil"/>
              <w:right w:val="nil"/>
            </w:tcBorders>
            <w:shd w:val="clear" w:color="auto" w:fill="FFFFFF"/>
            <w:vAlign w:val="center"/>
          </w:tcPr>
          <w:p w14:paraId="79B3F98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w:t>
            </w:r>
          </w:p>
        </w:tc>
      </w:tr>
      <w:tr w14:paraId="28362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2" w:type="pct"/>
            <w:tcBorders>
              <w:top w:val="nil"/>
              <w:left w:val="nil"/>
              <w:bottom w:val="nil"/>
              <w:right w:val="nil"/>
            </w:tcBorders>
            <w:shd w:val="clear" w:color="auto" w:fill="FFFFFF"/>
            <w:vAlign w:val="center"/>
          </w:tcPr>
          <w:p w14:paraId="391936C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CF半饱和参数T</w:t>
            </w:r>
          </w:p>
        </w:tc>
        <w:tc>
          <w:tcPr>
            <w:tcW w:w="459" w:type="pct"/>
            <w:tcBorders>
              <w:top w:val="nil"/>
              <w:left w:val="nil"/>
              <w:bottom w:val="nil"/>
              <w:right w:val="nil"/>
            </w:tcBorders>
            <w:shd w:val="clear" w:color="auto" w:fill="FFFFFF"/>
            <w:vAlign w:val="center"/>
          </w:tcPr>
          <w:p w14:paraId="3616265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w:t>
            </w:r>
          </w:p>
        </w:tc>
        <w:tc>
          <w:tcPr>
            <w:tcW w:w="905" w:type="pct"/>
            <w:tcBorders>
              <w:top w:val="nil"/>
              <w:left w:val="nil"/>
              <w:bottom w:val="nil"/>
              <w:right w:val="nil"/>
            </w:tcBorders>
            <w:shd w:val="clear" w:color="auto" w:fill="FFFFFF"/>
            <w:vAlign w:val="center"/>
          </w:tcPr>
          <w:p w14:paraId="5CE1D04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0.995</w:t>
            </w:r>
          </w:p>
        </w:tc>
        <w:tc>
          <w:tcPr>
            <w:tcW w:w="1018" w:type="pct"/>
            <w:tcBorders>
              <w:top w:val="nil"/>
              <w:left w:val="nil"/>
              <w:bottom w:val="nil"/>
              <w:right w:val="nil"/>
            </w:tcBorders>
            <w:shd w:val="clear" w:color="auto" w:fill="FFFFFF"/>
            <w:vAlign w:val="center"/>
          </w:tcPr>
          <w:p w14:paraId="536DE77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100%</w:t>
            </w:r>
          </w:p>
        </w:tc>
        <w:tc>
          <w:tcPr>
            <w:tcW w:w="774" w:type="pct"/>
            <w:tcBorders>
              <w:top w:val="nil"/>
              <w:left w:val="nil"/>
              <w:bottom w:val="nil"/>
              <w:right w:val="nil"/>
            </w:tcBorders>
            <w:shd w:val="clear" w:color="auto" w:fill="FFFFFF"/>
            <w:vAlign w:val="center"/>
          </w:tcPr>
          <w:p w14:paraId="577A6A9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0.30</w:t>
            </w:r>
          </w:p>
        </w:tc>
        <w:tc>
          <w:tcPr>
            <w:tcW w:w="849" w:type="pct"/>
            <w:gridSpan w:val="2"/>
            <w:tcBorders>
              <w:top w:val="nil"/>
              <w:left w:val="nil"/>
              <w:bottom w:val="nil"/>
              <w:right w:val="nil"/>
            </w:tcBorders>
            <w:shd w:val="clear" w:color="auto" w:fill="FFFFFF"/>
            <w:vAlign w:val="center"/>
          </w:tcPr>
          <w:p w14:paraId="0FCD813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w:t>
            </w:r>
          </w:p>
        </w:tc>
      </w:tr>
      <w:tr w14:paraId="0AA4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2" w:type="pct"/>
            <w:tcBorders>
              <w:top w:val="nil"/>
              <w:left w:val="nil"/>
              <w:bottom w:val="nil"/>
              <w:right w:val="nil"/>
            </w:tcBorders>
            <w:shd w:val="clear" w:color="auto" w:fill="FFFFFF"/>
            <w:vAlign w:val="center"/>
          </w:tcPr>
          <w:p w14:paraId="35123ED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CF形式</w:t>
            </w:r>
          </w:p>
        </w:tc>
        <w:tc>
          <w:tcPr>
            <w:tcW w:w="459" w:type="pct"/>
            <w:tcBorders>
              <w:top w:val="nil"/>
              <w:left w:val="nil"/>
              <w:bottom w:val="nil"/>
              <w:right w:val="nil"/>
            </w:tcBorders>
            <w:shd w:val="clear" w:color="auto" w:fill="FFFFFF"/>
            <w:vAlign w:val="center"/>
          </w:tcPr>
          <w:p w14:paraId="679DC54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w:t>
            </w:r>
          </w:p>
        </w:tc>
        <w:tc>
          <w:tcPr>
            <w:tcW w:w="905" w:type="pct"/>
            <w:tcBorders>
              <w:top w:val="nil"/>
              <w:left w:val="nil"/>
              <w:bottom w:val="nil"/>
              <w:right w:val="nil"/>
            </w:tcBorders>
            <w:shd w:val="clear" w:color="auto" w:fill="FFFFFF"/>
            <w:vAlign w:val="center"/>
          </w:tcPr>
          <w:p w14:paraId="327FE88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0.892</w:t>
            </w:r>
          </w:p>
        </w:tc>
        <w:tc>
          <w:tcPr>
            <w:tcW w:w="1018" w:type="pct"/>
            <w:tcBorders>
              <w:top w:val="nil"/>
              <w:left w:val="nil"/>
              <w:bottom w:val="nil"/>
              <w:right w:val="nil"/>
            </w:tcBorders>
            <w:shd w:val="clear" w:color="auto" w:fill="FFFFFF"/>
            <w:vAlign w:val="center"/>
          </w:tcPr>
          <w:p w14:paraId="7BF898C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80%</w:t>
            </w:r>
          </w:p>
        </w:tc>
        <w:tc>
          <w:tcPr>
            <w:tcW w:w="774" w:type="pct"/>
            <w:tcBorders>
              <w:top w:val="nil"/>
              <w:left w:val="nil"/>
              <w:bottom w:val="nil"/>
              <w:right w:val="nil"/>
            </w:tcBorders>
            <w:shd w:val="clear" w:color="auto" w:fill="FFFFFF"/>
            <w:vAlign w:val="center"/>
          </w:tcPr>
          <w:p w14:paraId="7373110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2.10</w:t>
            </w:r>
          </w:p>
        </w:tc>
        <w:tc>
          <w:tcPr>
            <w:tcW w:w="849" w:type="pct"/>
            <w:gridSpan w:val="2"/>
            <w:tcBorders>
              <w:top w:val="nil"/>
              <w:left w:val="nil"/>
              <w:bottom w:val="nil"/>
              <w:right w:val="nil"/>
            </w:tcBorders>
            <w:shd w:val="clear" w:color="auto" w:fill="FFFFFF"/>
            <w:vAlign w:val="center"/>
          </w:tcPr>
          <w:p w14:paraId="596C701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6</w:t>
            </w:r>
          </w:p>
        </w:tc>
      </w:tr>
      <w:tr w14:paraId="6D96D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2" w:type="pct"/>
            <w:tcBorders>
              <w:top w:val="nil"/>
              <w:left w:val="nil"/>
              <w:bottom w:val="nil"/>
              <w:right w:val="nil"/>
            </w:tcBorders>
            <w:shd w:val="clear" w:color="auto" w:fill="FFFFFF"/>
            <w:vAlign w:val="center"/>
          </w:tcPr>
          <w:p w14:paraId="6B1669B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专家公众权重</w:t>
            </w:r>
          </w:p>
        </w:tc>
        <w:tc>
          <w:tcPr>
            <w:tcW w:w="459" w:type="pct"/>
            <w:tcBorders>
              <w:top w:val="nil"/>
              <w:left w:val="nil"/>
              <w:bottom w:val="nil"/>
              <w:right w:val="nil"/>
            </w:tcBorders>
            <w:shd w:val="clear" w:color="auto" w:fill="FFFFFF"/>
            <w:vAlign w:val="center"/>
          </w:tcPr>
          <w:p w14:paraId="63D573D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w:t>
            </w:r>
          </w:p>
        </w:tc>
        <w:tc>
          <w:tcPr>
            <w:tcW w:w="905" w:type="pct"/>
            <w:tcBorders>
              <w:top w:val="nil"/>
              <w:left w:val="nil"/>
              <w:bottom w:val="nil"/>
              <w:right w:val="nil"/>
            </w:tcBorders>
            <w:shd w:val="clear" w:color="auto" w:fill="FFFFFF"/>
            <w:vAlign w:val="center"/>
          </w:tcPr>
          <w:p w14:paraId="0D30908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0.974</w:t>
            </w:r>
          </w:p>
        </w:tc>
        <w:tc>
          <w:tcPr>
            <w:tcW w:w="1018" w:type="pct"/>
            <w:tcBorders>
              <w:top w:val="nil"/>
              <w:left w:val="nil"/>
              <w:bottom w:val="nil"/>
              <w:right w:val="nil"/>
            </w:tcBorders>
            <w:shd w:val="clear" w:color="auto" w:fill="FFFFFF"/>
            <w:vAlign w:val="center"/>
          </w:tcPr>
          <w:p w14:paraId="58D07B2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100%</w:t>
            </w:r>
          </w:p>
        </w:tc>
        <w:tc>
          <w:tcPr>
            <w:tcW w:w="774" w:type="pct"/>
            <w:tcBorders>
              <w:top w:val="nil"/>
              <w:left w:val="nil"/>
              <w:bottom w:val="nil"/>
              <w:right w:val="nil"/>
            </w:tcBorders>
            <w:shd w:val="clear" w:color="auto" w:fill="FFFFFF"/>
            <w:vAlign w:val="center"/>
          </w:tcPr>
          <w:p w14:paraId="16F6B62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0.80</w:t>
            </w:r>
          </w:p>
        </w:tc>
        <w:tc>
          <w:tcPr>
            <w:tcW w:w="849" w:type="pct"/>
            <w:gridSpan w:val="2"/>
            <w:tcBorders>
              <w:top w:val="nil"/>
              <w:left w:val="nil"/>
              <w:bottom w:val="nil"/>
              <w:right w:val="nil"/>
            </w:tcBorders>
            <w:shd w:val="clear" w:color="auto" w:fill="FFFFFF"/>
            <w:vAlign w:val="center"/>
          </w:tcPr>
          <w:p w14:paraId="4B632C9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w:t>
            </w:r>
          </w:p>
        </w:tc>
      </w:tr>
      <w:tr w14:paraId="139FD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2" w:type="pct"/>
            <w:tcBorders>
              <w:top w:val="nil"/>
              <w:left w:val="nil"/>
              <w:bottom w:val="nil"/>
              <w:right w:val="nil"/>
            </w:tcBorders>
            <w:shd w:val="clear" w:color="auto" w:fill="FFFFFF"/>
            <w:vAlign w:val="center"/>
          </w:tcPr>
          <w:p w14:paraId="358CD0E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FAHP偏好强度</w:t>
            </w:r>
          </w:p>
        </w:tc>
        <w:tc>
          <w:tcPr>
            <w:tcW w:w="459" w:type="pct"/>
            <w:tcBorders>
              <w:top w:val="nil"/>
              <w:left w:val="nil"/>
              <w:bottom w:val="nil"/>
              <w:right w:val="nil"/>
            </w:tcBorders>
            <w:shd w:val="clear" w:color="auto" w:fill="FFFFFF"/>
            <w:vAlign w:val="center"/>
          </w:tcPr>
          <w:p w14:paraId="718659F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w:t>
            </w:r>
          </w:p>
        </w:tc>
        <w:tc>
          <w:tcPr>
            <w:tcW w:w="905" w:type="pct"/>
            <w:tcBorders>
              <w:top w:val="nil"/>
              <w:left w:val="nil"/>
              <w:bottom w:val="nil"/>
              <w:right w:val="nil"/>
            </w:tcBorders>
            <w:shd w:val="clear" w:color="auto" w:fill="FFFFFF"/>
            <w:vAlign w:val="center"/>
          </w:tcPr>
          <w:p w14:paraId="42F11A6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0.841</w:t>
            </w:r>
          </w:p>
        </w:tc>
        <w:tc>
          <w:tcPr>
            <w:tcW w:w="1018" w:type="pct"/>
            <w:tcBorders>
              <w:top w:val="nil"/>
              <w:left w:val="nil"/>
              <w:bottom w:val="nil"/>
              <w:right w:val="nil"/>
            </w:tcBorders>
            <w:shd w:val="clear" w:color="auto" w:fill="FFFFFF"/>
            <w:vAlign w:val="center"/>
          </w:tcPr>
          <w:p w14:paraId="0D25C5B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60%</w:t>
            </w:r>
          </w:p>
        </w:tc>
        <w:tc>
          <w:tcPr>
            <w:tcW w:w="774" w:type="pct"/>
            <w:tcBorders>
              <w:top w:val="nil"/>
              <w:left w:val="nil"/>
              <w:bottom w:val="nil"/>
              <w:right w:val="nil"/>
            </w:tcBorders>
            <w:shd w:val="clear" w:color="auto" w:fill="FFFFFF"/>
            <w:vAlign w:val="center"/>
          </w:tcPr>
          <w:p w14:paraId="1B3B731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2.30</w:t>
            </w:r>
          </w:p>
        </w:tc>
        <w:tc>
          <w:tcPr>
            <w:tcW w:w="849" w:type="pct"/>
            <w:gridSpan w:val="2"/>
            <w:tcBorders>
              <w:top w:val="nil"/>
              <w:left w:val="nil"/>
              <w:bottom w:val="nil"/>
              <w:right w:val="nil"/>
            </w:tcBorders>
            <w:shd w:val="clear" w:color="auto" w:fill="FFFFFF"/>
            <w:vAlign w:val="center"/>
          </w:tcPr>
          <w:p w14:paraId="258F86B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8</w:t>
            </w:r>
          </w:p>
        </w:tc>
      </w:tr>
      <w:tr w14:paraId="17CB7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2" w:type="pct"/>
            <w:tcBorders>
              <w:top w:val="nil"/>
              <w:left w:val="nil"/>
              <w:bottom w:val="single" w:color="000000" w:sz="12" w:space="0"/>
              <w:right w:val="nil"/>
            </w:tcBorders>
            <w:shd w:val="clear" w:color="auto" w:fill="FFFFFF"/>
            <w:vAlign w:val="center"/>
          </w:tcPr>
          <w:p w14:paraId="320962D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模糊边界缩放</w:t>
            </w:r>
          </w:p>
        </w:tc>
        <w:tc>
          <w:tcPr>
            <w:tcW w:w="459" w:type="pct"/>
            <w:tcBorders>
              <w:top w:val="nil"/>
              <w:left w:val="nil"/>
              <w:bottom w:val="single" w:color="000000" w:sz="12" w:space="0"/>
              <w:right w:val="nil"/>
            </w:tcBorders>
            <w:shd w:val="clear" w:color="auto" w:fill="FFFFFF"/>
            <w:vAlign w:val="center"/>
          </w:tcPr>
          <w:p w14:paraId="1CFB231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w:t>
            </w:r>
          </w:p>
        </w:tc>
        <w:tc>
          <w:tcPr>
            <w:tcW w:w="905" w:type="pct"/>
            <w:tcBorders>
              <w:top w:val="nil"/>
              <w:left w:val="nil"/>
              <w:bottom w:val="single" w:color="000000" w:sz="12" w:space="0"/>
              <w:right w:val="nil"/>
            </w:tcBorders>
            <w:shd w:val="clear" w:color="auto" w:fill="FFFFFF"/>
            <w:vAlign w:val="center"/>
          </w:tcPr>
          <w:p w14:paraId="0EA299D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0.950</w:t>
            </w:r>
          </w:p>
        </w:tc>
        <w:tc>
          <w:tcPr>
            <w:tcW w:w="1018" w:type="pct"/>
            <w:tcBorders>
              <w:top w:val="nil"/>
              <w:left w:val="nil"/>
              <w:bottom w:val="single" w:color="000000" w:sz="12" w:space="0"/>
              <w:right w:val="nil"/>
            </w:tcBorders>
            <w:shd w:val="clear" w:color="auto" w:fill="FFFFFF"/>
            <w:vAlign w:val="center"/>
          </w:tcPr>
          <w:p w14:paraId="339F935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80%</w:t>
            </w:r>
          </w:p>
        </w:tc>
        <w:tc>
          <w:tcPr>
            <w:tcW w:w="774" w:type="pct"/>
            <w:tcBorders>
              <w:top w:val="nil"/>
              <w:left w:val="nil"/>
              <w:bottom w:val="single" w:color="000000" w:sz="12" w:space="0"/>
              <w:right w:val="nil"/>
            </w:tcBorders>
            <w:shd w:val="clear" w:color="auto" w:fill="FFFFFF"/>
            <w:vAlign w:val="center"/>
          </w:tcPr>
          <w:p w14:paraId="25A6883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1.40</w:t>
            </w:r>
          </w:p>
        </w:tc>
        <w:tc>
          <w:tcPr>
            <w:tcW w:w="849" w:type="pct"/>
            <w:gridSpan w:val="2"/>
            <w:tcBorders>
              <w:top w:val="nil"/>
              <w:left w:val="nil"/>
              <w:bottom w:val="single" w:color="000000" w:sz="12" w:space="0"/>
              <w:right w:val="nil"/>
            </w:tcBorders>
            <w:shd w:val="clear" w:color="auto" w:fill="FFFFFF"/>
            <w:vAlign w:val="center"/>
          </w:tcPr>
          <w:p w14:paraId="28DB6B3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w:t>
            </w:r>
          </w:p>
        </w:tc>
      </w:tr>
    </w:tbl>
    <w:p w14:paraId="317DED98">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综上，单因素扰动结果表明，ERS模型的整体排序具有较好的稳健性。在不同参数设定下，各情景与基准情景的Spearman秩相关系数均不低于0.841，说明评价结果的整体排序结构较为稳定。其中，CF半饱和参数对排序结果的影响最小，而FAHP偏好强度和CF形式对局部排名的影响相对明显。因此，模型的总体结论不</w:t>
      </w:r>
      <w:r>
        <w:rPr>
          <w:rFonts w:hint="eastAsia" w:ascii="Times New Roman" w:hAnsi="Times New Roman" w:eastAsia="宋体" w:cs="Times New Roman"/>
          <w:color w:val="0F1115"/>
          <w:kern w:val="0"/>
          <w:sz w:val="24"/>
          <w:szCs w:val="24"/>
          <w:shd w:val="clear" w:color="auto" w:fill="FFFFFF"/>
        </w:rPr>
        <w:t>会</w:t>
      </w:r>
      <w:r>
        <w:rPr>
          <w:rFonts w:ascii="Times New Roman" w:hAnsi="Times New Roman" w:eastAsia="宋体" w:cs="Times New Roman"/>
          <w:color w:val="0F1115"/>
          <w:kern w:val="0"/>
          <w:sz w:val="24"/>
          <w:szCs w:val="24"/>
          <w:shd w:val="clear" w:color="auto" w:fill="FFFFFF"/>
        </w:rPr>
        <w:t>因单一参数变化而发生根本改变。</w:t>
      </w:r>
    </w:p>
    <w:p w14:paraId="005EE657">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ascii="Times New Roman" w:hAnsi="Times New Roman" w:eastAsia="宋体"/>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2．</w:t>
      </w:r>
      <w:r>
        <w:rPr>
          <w:rFonts w:ascii="Times New Roman" w:hAnsi="Times New Roman" w:eastAsia="宋体"/>
        </w:rPr>
        <w:t>多参数联合压力测试</w:t>
      </w:r>
    </w:p>
    <w:p w14:paraId="3C0A793F">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hint="eastAsia" w:ascii="Times New Roman" w:hAnsi="Times New Roman" w:eastAsia="宋体" w:cs="Times New Roman"/>
          <w:color w:val="0F1115"/>
          <w:kern w:val="0"/>
          <w:sz w:val="24"/>
          <w:szCs w:val="24"/>
          <w:shd w:val="clear" w:color="auto" w:fill="FFFFFF"/>
        </w:rPr>
        <w:t>单因素分析</w:t>
      </w:r>
      <w:r>
        <w:rPr>
          <w:rFonts w:ascii="Times New Roman" w:hAnsi="Times New Roman" w:eastAsia="宋体" w:cs="Times New Roman"/>
          <w:color w:val="0F1115"/>
          <w:kern w:val="0"/>
          <w:sz w:val="24"/>
          <w:szCs w:val="24"/>
          <w:shd w:val="clear" w:color="auto" w:fill="FFFFFF"/>
        </w:rPr>
        <w:t>只能识别单一参数变化的边际影响，无法反映多个参数同时变化时的交互效应。为此，进一步采用5种数据源权重、4个CF半饱和参数、5种CF形式、4种专家—公众权重（1:1、3:1、5:1和10:1）以及3种FAHP偏好强度进行笛卡尔组合，共构造H=1200个联合压力测试情景；隶属函数缩放固定为1.0。记h=1</w:t>
      </w:r>
      <w:r>
        <w:rPr>
          <w:rFonts w:hint="eastAsia" w:ascii="Times New Roman" w:hAnsi="Times New Roman" w:eastAsia="宋体"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H为情景编号。对于每个</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领域—风险</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组合，分别记录跨情景最好排名、最差排名以及进入Top5的情景频率：</w:t>
      </w:r>
    </w:p>
    <w:p w14:paraId="1FCA1C55">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lang w:eastAsia="en-US"/>
        </w:rPr>
      </w:pPr>
      <w:r>
        <w:rPr>
          <w:rFonts w:ascii="Times New Roman" w:hAnsi="Times New Roman" w:eastAsia="宋体" w:cs="宋体"/>
          <w:kern w:val="0"/>
          <w:lang w:eastAsia="en-US"/>
        </w:rPr>
        <w:t>RankRangeᵢⱼ=[minₕRankᵢⱼ⁽ʰ⁾,maxₕRankᵢⱼ⁽ʰ⁾](3-1</w:t>
      </w:r>
      <w:r>
        <w:rPr>
          <w:rFonts w:hint="eastAsia" w:ascii="Times New Roman" w:hAnsi="Times New Roman" w:eastAsia="宋体" w:cs="宋体"/>
          <w:kern w:val="0"/>
        </w:rPr>
        <w:t>6</w:t>
      </w:r>
      <w:r>
        <w:rPr>
          <w:rFonts w:ascii="Times New Roman" w:hAnsi="Times New Roman" w:eastAsia="宋体" w:cs="宋体"/>
          <w:kern w:val="0"/>
          <w:lang w:eastAsia="en-US"/>
        </w:rPr>
        <w:t>)</w:t>
      </w:r>
    </w:p>
    <w:p w14:paraId="077E7103">
      <w:pPr>
        <w:pageBreakBefore w:val="0"/>
        <w:widowControl/>
        <w:suppressAutoHyphens/>
        <w:kinsoku/>
        <w:wordWrap/>
        <w:overflowPunct/>
        <w:topLinePunct w:val="0"/>
        <w:autoSpaceDE/>
        <w:autoSpaceDN/>
        <w:bidi w:val="0"/>
        <w:adjustRightInd/>
        <w:snapToGrid/>
        <w:spacing w:after="200" w:line="360" w:lineRule="auto"/>
        <w:jc w:val="center"/>
        <w:textAlignment w:val="auto"/>
        <w:rPr>
          <w:rFonts w:ascii="Times New Roman" w:hAnsi="Times New Roman" w:eastAsia="宋体" w:cs="宋体"/>
          <w:kern w:val="0"/>
          <w:lang w:eastAsia="en-US"/>
        </w:rPr>
      </w:pPr>
      <w:r>
        <w:rPr>
          <w:rFonts w:ascii="Times New Roman" w:hAnsi="Times New Roman" w:eastAsia="宋体" w:cs="宋体"/>
          <w:kern w:val="0"/>
          <w:lang w:eastAsia="en-US"/>
        </w:rPr>
        <w:t>Top5Rateᵢⱼ=(1/H)Σₕ1{Rankᵢⱼ⁽ʰ⁾≤5}(3-1</w:t>
      </w:r>
      <w:r>
        <w:rPr>
          <w:rFonts w:hint="eastAsia" w:ascii="Times New Roman" w:hAnsi="Times New Roman" w:eastAsia="宋体" w:cs="宋体"/>
          <w:kern w:val="0"/>
        </w:rPr>
        <w:t>7</w:t>
      </w:r>
      <w:r>
        <w:rPr>
          <w:rFonts w:ascii="Times New Roman" w:hAnsi="Times New Roman" w:eastAsia="宋体" w:cs="宋体"/>
          <w:kern w:val="0"/>
          <w:lang w:eastAsia="en-US"/>
        </w:rPr>
        <w:t>)</w:t>
      </w:r>
    </w:p>
    <w:p w14:paraId="1B734336">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联合情景结果按以下规则分层：基准排名不高于5且Top5覆盖率不低于70%的组合划为</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稳健高优先级</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；基准排名不高于5或Top5覆盖率不低于40%的组合划为</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条件高优先级</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；其余组合中，中位排名不高于10者划为</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稳定中高优先级</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；剩余组合划为</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常规监测</w:t>
      </w:r>
      <w:r>
        <w:rPr>
          <w:rFonts w:hint="eastAsia" w:cs="Times New Roman"/>
          <w:color w:val="0F1115"/>
          <w:kern w:val="0"/>
          <w:sz w:val="24"/>
          <w:szCs w:val="24"/>
          <w:shd w:val="clear" w:color="auto" w:fill="FFFFFF"/>
          <w:lang w:eastAsia="zh-CN"/>
        </w:rPr>
        <w:t>”</w:t>
      </w:r>
      <w:r>
        <w:rPr>
          <w:rFonts w:ascii="Times New Roman" w:hAnsi="Times New Roman" w:eastAsia="宋体" w:cs="Times New Roman"/>
          <w:color w:val="0F1115"/>
          <w:kern w:val="0"/>
          <w:sz w:val="24"/>
          <w:szCs w:val="24"/>
          <w:shd w:val="clear" w:color="auto" w:fill="FFFFFF"/>
        </w:rPr>
        <w:t>。该分层用于描述ERS排序的稳定程度。Top5覆盖率是组合中进入前五名的频率。</w:t>
      </w:r>
    </w:p>
    <w:p w14:paraId="585C7CCF">
      <w:pPr>
        <w:pageBreakBefore w:val="0"/>
        <w:widowControl/>
        <w:kinsoku/>
        <w:wordWrap/>
        <w:overflowPunct/>
        <w:topLinePunct w:val="0"/>
        <w:autoSpaceDE/>
        <w:autoSpaceDN/>
        <w:bidi w:val="0"/>
        <w:adjustRightInd/>
        <w:snapToGrid/>
        <w:spacing w:line="360" w:lineRule="auto"/>
        <w:jc w:val="center"/>
        <w:textAlignment w:val="auto"/>
        <w:rPr>
          <w:rFonts w:ascii="Times New Roman" w:hAnsi="Times New Roman" w:eastAsia="宋体" w:cs="Times New Roman"/>
          <w:color w:val="000000"/>
          <w:kern w:val="0"/>
          <w:sz w:val="21"/>
          <w:szCs w:val="18"/>
        </w:rPr>
      </w:pPr>
      <w:r>
        <w:rPr>
          <w:rFonts w:ascii="Times New Roman" w:hAnsi="Times New Roman" w:eastAsia="宋体" w:cs="Times New Roman"/>
          <w:color w:val="000000"/>
          <w:kern w:val="0"/>
          <w:sz w:val="21"/>
          <w:szCs w:val="18"/>
        </w:rPr>
        <w:t>表3</w:t>
      </w:r>
      <w:r>
        <w:rPr>
          <w:rFonts w:hint="eastAsia" w:cs="Times New Roman"/>
          <w:color w:val="000000"/>
          <w:kern w:val="0"/>
          <w:sz w:val="21"/>
          <w:szCs w:val="18"/>
          <w:lang w:eastAsia="zh-CN"/>
        </w:rPr>
        <w:t>—</w:t>
      </w:r>
      <w:r>
        <w:rPr>
          <w:rFonts w:ascii="Times New Roman" w:hAnsi="Times New Roman" w:eastAsia="宋体" w:cs="Times New Roman"/>
          <w:color w:val="000000"/>
          <w:kern w:val="0"/>
          <w:sz w:val="21"/>
          <w:szCs w:val="18"/>
        </w:rPr>
        <w:t>6</w:t>
      </w:r>
      <w:r>
        <w:rPr>
          <w:rFonts w:hint="eastAsia" w:cs="Times New Roman"/>
          <w:color w:val="000000"/>
          <w:kern w:val="0"/>
          <w:sz w:val="21"/>
          <w:szCs w:val="18"/>
          <w:lang w:val="en-US" w:eastAsia="zh-CN"/>
        </w:rPr>
        <w:t xml:space="preserve"> </w:t>
      </w:r>
      <w:r>
        <w:rPr>
          <w:rFonts w:ascii="Times New Roman" w:hAnsi="Times New Roman" w:eastAsia="宋体" w:cs="Times New Roman"/>
          <w:color w:val="000000"/>
          <w:kern w:val="0"/>
          <w:sz w:val="21"/>
          <w:szCs w:val="18"/>
        </w:rPr>
        <w:t>1200个联合情景下的排名区间与稳健性分层</w:t>
      </w:r>
    </w:p>
    <w:tbl>
      <w:tblPr>
        <w:tblStyle w:val="18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6"/>
        <w:gridCol w:w="2452"/>
        <w:gridCol w:w="765"/>
        <w:gridCol w:w="760"/>
        <w:gridCol w:w="1066"/>
        <w:gridCol w:w="1430"/>
        <w:gridCol w:w="1482"/>
      </w:tblGrid>
      <w:tr w14:paraId="5E06D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714" w:type="pct"/>
            <w:tcBorders>
              <w:top w:val="single" w:color="000000" w:sz="12" w:space="0"/>
              <w:left w:val="nil"/>
              <w:bottom w:val="single" w:color="000000" w:sz="4" w:space="0"/>
              <w:right w:val="nil"/>
              <w:tl2br w:val="nil"/>
            </w:tcBorders>
            <w:shd w:val="clear" w:color="auto" w:fill="FFFFFF"/>
          </w:tcPr>
          <w:p w14:paraId="39B9ABA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领域</w:t>
            </w:r>
          </w:p>
        </w:tc>
        <w:tc>
          <w:tcPr>
            <w:tcW w:w="1320" w:type="pct"/>
            <w:tcBorders>
              <w:top w:val="single" w:color="000000" w:sz="12" w:space="0"/>
              <w:left w:val="nil"/>
              <w:bottom w:val="single" w:color="000000" w:sz="4" w:space="0"/>
              <w:right w:val="nil"/>
            </w:tcBorders>
            <w:shd w:val="clear" w:color="auto" w:fill="FFFFFF"/>
          </w:tcPr>
          <w:p w14:paraId="0330461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风险</w:t>
            </w:r>
          </w:p>
        </w:tc>
        <w:tc>
          <w:tcPr>
            <w:tcW w:w="412" w:type="pct"/>
            <w:tcBorders>
              <w:top w:val="single" w:color="000000" w:sz="12" w:space="0"/>
              <w:left w:val="nil"/>
              <w:bottom w:val="single" w:color="000000" w:sz="4" w:space="0"/>
              <w:right w:val="nil"/>
            </w:tcBorders>
            <w:shd w:val="clear" w:color="auto" w:fill="FFFFFF"/>
          </w:tcPr>
          <w:p w14:paraId="5DFC452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基准排名</w:t>
            </w:r>
          </w:p>
        </w:tc>
        <w:tc>
          <w:tcPr>
            <w:tcW w:w="409" w:type="pct"/>
            <w:tcBorders>
              <w:top w:val="single" w:color="000000" w:sz="12" w:space="0"/>
              <w:left w:val="nil"/>
              <w:bottom w:val="single" w:color="000000" w:sz="4" w:space="0"/>
              <w:right w:val="nil"/>
            </w:tcBorders>
            <w:shd w:val="clear" w:color="auto" w:fill="FFFFFF"/>
          </w:tcPr>
          <w:p w14:paraId="4CD9365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中位排名</w:t>
            </w:r>
          </w:p>
        </w:tc>
        <w:tc>
          <w:tcPr>
            <w:tcW w:w="574" w:type="pct"/>
            <w:tcBorders>
              <w:top w:val="single" w:color="000000" w:sz="12" w:space="0"/>
              <w:left w:val="nil"/>
              <w:bottom w:val="single" w:color="000000" w:sz="4" w:space="0"/>
              <w:right w:val="nil"/>
            </w:tcBorders>
            <w:shd w:val="clear" w:color="auto" w:fill="FFFFFF"/>
          </w:tcPr>
          <w:p w14:paraId="67F331D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最好—最差排名</w:t>
            </w:r>
          </w:p>
        </w:tc>
        <w:tc>
          <w:tcPr>
            <w:tcW w:w="770" w:type="pct"/>
            <w:tcBorders>
              <w:top w:val="single" w:color="000000" w:sz="12" w:space="0"/>
              <w:left w:val="nil"/>
              <w:bottom w:val="single" w:color="000000" w:sz="4" w:space="0"/>
              <w:right w:val="nil"/>
            </w:tcBorders>
            <w:shd w:val="clear" w:color="auto" w:fill="FFFFFF"/>
          </w:tcPr>
          <w:p w14:paraId="29E7C40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Top5覆盖率（情景频率）</w:t>
            </w:r>
          </w:p>
        </w:tc>
        <w:tc>
          <w:tcPr>
            <w:tcW w:w="797" w:type="pct"/>
            <w:tcBorders>
              <w:top w:val="single" w:color="000000" w:sz="12" w:space="0"/>
              <w:left w:val="nil"/>
              <w:bottom w:val="single" w:color="000000" w:sz="4" w:space="0"/>
              <w:right w:val="nil"/>
            </w:tcBorders>
            <w:shd w:val="clear" w:color="auto" w:fill="FFFFFF"/>
          </w:tcPr>
          <w:p w14:paraId="5D4D9C2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稳健性分层</w:t>
            </w:r>
          </w:p>
        </w:tc>
      </w:tr>
      <w:tr w14:paraId="1B723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single" w:color="000000" w:sz="4" w:space="0"/>
              <w:left w:val="nil"/>
              <w:bottom w:val="nil"/>
              <w:right w:val="nil"/>
            </w:tcBorders>
            <w:shd w:val="clear" w:color="auto" w:fill="FFFFFF"/>
          </w:tcPr>
          <w:p w14:paraId="57B71AD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机器视觉</w:t>
            </w:r>
          </w:p>
        </w:tc>
        <w:tc>
          <w:tcPr>
            <w:tcW w:w="1320" w:type="pct"/>
            <w:tcBorders>
              <w:top w:val="single" w:color="000000" w:sz="4" w:space="0"/>
              <w:left w:val="nil"/>
              <w:bottom w:val="nil"/>
              <w:right w:val="nil"/>
            </w:tcBorders>
            <w:shd w:val="clear" w:color="auto" w:fill="FFFFFF"/>
          </w:tcPr>
          <w:p w14:paraId="3444463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侵犯隐私</w:t>
            </w:r>
          </w:p>
        </w:tc>
        <w:tc>
          <w:tcPr>
            <w:tcW w:w="412" w:type="pct"/>
            <w:tcBorders>
              <w:top w:val="single" w:color="000000" w:sz="4" w:space="0"/>
              <w:left w:val="nil"/>
              <w:bottom w:val="nil"/>
              <w:right w:val="nil"/>
            </w:tcBorders>
            <w:shd w:val="clear" w:color="auto" w:fill="FFFFFF"/>
          </w:tcPr>
          <w:p w14:paraId="6A8F2EF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w:t>
            </w:r>
          </w:p>
        </w:tc>
        <w:tc>
          <w:tcPr>
            <w:tcW w:w="409" w:type="pct"/>
            <w:tcBorders>
              <w:top w:val="single" w:color="000000" w:sz="4" w:space="0"/>
              <w:left w:val="nil"/>
              <w:bottom w:val="nil"/>
              <w:right w:val="nil"/>
            </w:tcBorders>
            <w:shd w:val="clear" w:color="auto" w:fill="FFFFFF"/>
          </w:tcPr>
          <w:p w14:paraId="65A1F01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w:t>
            </w:r>
          </w:p>
        </w:tc>
        <w:tc>
          <w:tcPr>
            <w:tcW w:w="574" w:type="pct"/>
            <w:tcBorders>
              <w:top w:val="single" w:color="000000" w:sz="4" w:space="0"/>
              <w:left w:val="nil"/>
              <w:bottom w:val="nil"/>
              <w:right w:val="nil"/>
            </w:tcBorders>
            <w:shd w:val="clear" w:color="auto" w:fill="FFFFFF"/>
          </w:tcPr>
          <w:p w14:paraId="1C400B0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1—9</w:t>
            </w:r>
          </w:p>
        </w:tc>
        <w:tc>
          <w:tcPr>
            <w:tcW w:w="770" w:type="pct"/>
            <w:tcBorders>
              <w:top w:val="single" w:color="000000" w:sz="4" w:space="0"/>
              <w:left w:val="nil"/>
              <w:bottom w:val="nil"/>
              <w:right w:val="nil"/>
            </w:tcBorders>
            <w:shd w:val="clear" w:color="auto" w:fill="FFFFFF"/>
          </w:tcPr>
          <w:p w14:paraId="1C78B81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97.0%</w:t>
            </w:r>
          </w:p>
        </w:tc>
        <w:tc>
          <w:tcPr>
            <w:tcW w:w="797" w:type="pct"/>
            <w:tcBorders>
              <w:top w:val="single" w:color="000000" w:sz="4" w:space="0"/>
              <w:left w:val="nil"/>
              <w:bottom w:val="nil"/>
              <w:right w:val="nil"/>
            </w:tcBorders>
            <w:shd w:val="clear" w:color="auto" w:fill="FFFFFF"/>
          </w:tcPr>
          <w:p w14:paraId="6CC9C64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稳健高优先级</w:t>
            </w:r>
          </w:p>
        </w:tc>
      </w:tr>
      <w:tr w14:paraId="3FD4A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69EEF4E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自动驾驶</w:t>
            </w:r>
          </w:p>
        </w:tc>
        <w:tc>
          <w:tcPr>
            <w:tcW w:w="1320" w:type="pct"/>
            <w:tcBorders>
              <w:top w:val="nil"/>
              <w:left w:val="nil"/>
              <w:bottom w:val="nil"/>
              <w:right w:val="nil"/>
            </w:tcBorders>
            <w:shd w:val="clear" w:color="auto" w:fill="FFFFFF"/>
          </w:tcPr>
          <w:p w14:paraId="1001792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决策不自主受控</w:t>
            </w:r>
          </w:p>
        </w:tc>
        <w:tc>
          <w:tcPr>
            <w:tcW w:w="412" w:type="pct"/>
            <w:tcBorders>
              <w:top w:val="nil"/>
              <w:left w:val="nil"/>
              <w:bottom w:val="nil"/>
              <w:right w:val="nil"/>
            </w:tcBorders>
            <w:shd w:val="clear" w:color="auto" w:fill="FFFFFF"/>
          </w:tcPr>
          <w:p w14:paraId="7E49A20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w:t>
            </w:r>
          </w:p>
        </w:tc>
        <w:tc>
          <w:tcPr>
            <w:tcW w:w="409" w:type="pct"/>
            <w:tcBorders>
              <w:top w:val="nil"/>
              <w:left w:val="nil"/>
              <w:bottom w:val="nil"/>
              <w:right w:val="nil"/>
            </w:tcBorders>
            <w:shd w:val="clear" w:color="auto" w:fill="FFFFFF"/>
          </w:tcPr>
          <w:p w14:paraId="523E176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w:t>
            </w:r>
          </w:p>
        </w:tc>
        <w:tc>
          <w:tcPr>
            <w:tcW w:w="574" w:type="pct"/>
            <w:tcBorders>
              <w:top w:val="nil"/>
              <w:left w:val="nil"/>
              <w:bottom w:val="nil"/>
              <w:right w:val="nil"/>
            </w:tcBorders>
            <w:shd w:val="clear" w:color="auto" w:fill="FFFFFF"/>
          </w:tcPr>
          <w:p w14:paraId="7C06BD5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1—12</w:t>
            </w:r>
          </w:p>
        </w:tc>
        <w:tc>
          <w:tcPr>
            <w:tcW w:w="770" w:type="pct"/>
            <w:tcBorders>
              <w:top w:val="nil"/>
              <w:left w:val="nil"/>
              <w:bottom w:val="nil"/>
              <w:right w:val="nil"/>
            </w:tcBorders>
            <w:shd w:val="clear" w:color="auto" w:fill="FFFFFF"/>
          </w:tcPr>
          <w:p w14:paraId="51DCEA8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92.8%</w:t>
            </w:r>
          </w:p>
        </w:tc>
        <w:tc>
          <w:tcPr>
            <w:tcW w:w="797" w:type="pct"/>
            <w:tcBorders>
              <w:top w:val="nil"/>
              <w:left w:val="nil"/>
              <w:bottom w:val="nil"/>
              <w:right w:val="nil"/>
            </w:tcBorders>
            <w:shd w:val="clear" w:color="auto" w:fill="FFFFFF"/>
          </w:tcPr>
          <w:p w14:paraId="5000CFE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稳健高优先级</w:t>
            </w:r>
          </w:p>
        </w:tc>
      </w:tr>
      <w:tr w14:paraId="3A640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509FA5C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自动驾驶</w:t>
            </w:r>
          </w:p>
        </w:tc>
        <w:tc>
          <w:tcPr>
            <w:tcW w:w="1320" w:type="pct"/>
            <w:tcBorders>
              <w:top w:val="nil"/>
              <w:left w:val="nil"/>
              <w:bottom w:val="nil"/>
              <w:right w:val="nil"/>
            </w:tcBorders>
            <w:shd w:val="clear" w:color="auto" w:fill="FFFFFF"/>
          </w:tcPr>
          <w:p w14:paraId="0B007FF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权责归属不清或失当</w:t>
            </w:r>
          </w:p>
        </w:tc>
        <w:tc>
          <w:tcPr>
            <w:tcW w:w="412" w:type="pct"/>
            <w:tcBorders>
              <w:top w:val="nil"/>
              <w:left w:val="nil"/>
              <w:bottom w:val="nil"/>
              <w:right w:val="nil"/>
            </w:tcBorders>
            <w:shd w:val="clear" w:color="auto" w:fill="FFFFFF"/>
          </w:tcPr>
          <w:p w14:paraId="5067D5B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w:t>
            </w:r>
          </w:p>
        </w:tc>
        <w:tc>
          <w:tcPr>
            <w:tcW w:w="409" w:type="pct"/>
            <w:tcBorders>
              <w:top w:val="nil"/>
              <w:left w:val="nil"/>
              <w:bottom w:val="nil"/>
              <w:right w:val="nil"/>
            </w:tcBorders>
            <w:shd w:val="clear" w:color="auto" w:fill="FFFFFF"/>
          </w:tcPr>
          <w:p w14:paraId="0042C2F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w:t>
            </w:r>
          </w:p>
        </w:tc>
        <w:tc>
          <w:tcPr>
            <w:tcW w:w="574" w:type="pct"/>
            <w:tcBorders>
              <w:top w:val="nil"/>
              <w:left w:val="nil"/>
              <w:bottom w:val="nil"/>
              <w:right w:val="nil"/>
            </w:tcBorders>
            <w:shd w:val="clear" w:color="auto" w:fill="FFFFFF"/>
          </w:tcPr>
          <w:p w14:paraId="36446F5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1—12</w:t>
            </w:r>
          </w:p>
        </w:tc>
        <w:tc>
          <w:tcPr>
            <w:tcW w:w="770" w:type="pct"/>
            <w:tcBorders>
              <w:top w:val="nil"/>
              <w:left w:val="nil"/>
              <w:bottom w:val="nil"/>
              <w:right w:val="nil"/>
            </w:tcBorders>
            <w:shd w:val="clear" w:color="auto" w:fill="FFFFFF"/>
          </w:tcPr>
          <w:p w14:paraId="367454E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89.8%</w:t>
            </w:r>
          </w:p>
        </w:tc>
        <w:tc>
          <w:tcPr>
            <w:tcW w:w="797" w:type="pct"/>
            <w:tcBorders>
              <w:top w:val="nil"/>
              <w:left w:val="nil"/>
              <w:bottom w:val="nil"/>
              <w:right w:val="nil"/>
            </w:tcBorders>
            <w:shd w:val="clear" w:color="auto" w:fill="FFFFFF"/>
          </w:tcPr>
          <w:p w14:paraId="59C6297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稳健高优先级</w:t>
            </w:r>
          </w:p>
        </w:tc>
      </w:tr>
      <w:tr w14:paraId="4276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3DDA8AD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服务机器人</w:t>
            </w:r>
          </w:p>
        </w:tc>
        <w:tc>
          <w:tcPr>
            <w:tcW w:w="1320" w:type="pct"/>
            <w:tcBorders>
              <w:top w:val="nil"/>
              <w:left w:val="nil"/>
              <w:bottom w:val="nil"/>
              <w:right w:val="nil"/>
            </w:tcBorders>
            <w:shd w:val="clear" w:color="auto" w:fill="FFFFFF"/>
          </w:tcPr>
          <w:p w14:paraId="1C0702E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决策不自主受控</w:t>
            </w:r>
          </w:p>
        </w:tc>
        <w:tc>
          <w:tcPr>
            <w:tcW w:w="412" w:type="pct"/>
            <w:tcBorders>
              <w:top w:val="nil"/>
              <w:left w:val="nil"/>
              <w:bottom w:val="nil"/>
              <w:right w:val="nil"/>
            </w:tcBorders>
            <w:shd w:val="clear" w:color="auto" w:fill="FFFFFF"/>
          </w:tcPr>
          <w:p w14:paraId="4953129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w:t>
            </w:r>
          </w:p>
        </w:tc>
        <w:tc>
          <w:tcPr>
            <w:tcW w:w="409" w:type="pct"/>
            <w:tcBorders>
              <w:top w:val="nil"/>
              <w:left w:val="nil"/>
              <w:bottom w:val="nil"/>
              <w:right w:val="nil"/>
            </w:tcBorders>
            <w:shd w:val="clear" w:color="auto" w:fill="FFFFFF"/>
          </w:tcPr>
          <w:p w14:paraId="60BD6E2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w:t>
            </w:r>
          </w:p>
        </w:tc>
        <w:tc>
          <w:tcPr>
            <w:tcW w:w="574" w:type="pct"/>
            <w:tcBorders>
              <w:top w:val="nil"/>
              <w:left w:val="nil"/>
              <w:bottom w:val="nil"/>
              <w:right w:val="nil"/>
            </w:tcBorders>
            <w:shd w:val="clear" w:color="auto" w:fill="FFFFFF"/>
          </w:tcPr>
          <w:p w14:paraId="21F83E7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1—14</w:t>
            </w:r>
          </w:p>
        </w:tc>
        <w:tc>
          <w:tcPr>
            <w:tcW w:w="770" w:type="pct"/>
            <w:tcBorders>
              <w:top w:val="nil"/>
              <w:left w:val="nil"/>
              <w:bottom w:val="nil"/>
              <w:right w:val="nil"/>
            </w:tcBorders>
            <w:shd w:val="clear" w:color="auto" w:fill="FFFFFF"/>
          </w:tcPr>
          <w:p w14:paraId="45DD7DE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84.2%</w:t>
            </w:r>
          </w:p>
        </w:tc>
        <w:tc>
          <w:tcPr>
            <w:tcW w:w="797" w:type="pct"/>
            <w:tcBorders>
              <w:top w:val="nil"/>
              <w:left w:val="nil"/>
              <w:bottom w:val="nil"/>
              <w:right w:val="nil"/>
            </w:tcBorders>
            <w:shd w:val="clear" w:color="auto" w:fill="FFFFFF"/>
          </w:tcPr>
          <w:p w14:paraId="5FAEBBD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稳健高优先级</w:t>
            </w:r>
          </w:p>
        </w:tc>
      </w:tr>
      <w:tr w14:paraId="6D056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12B0F7B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个性化算法</w:t>
            </w:r>
          </w:p>
        </w:tc>
        <w:tc>
          <w:tcPr>
            <w:tcW w:w="1320" w:type="pct"/>
            <w:tcBorders>
              <w:top w:val="nil"/>
              <w:left w:val="nil"/>
              <w:bottom w:val="nil"/>
              <w:right w:val="nil"/>
            </w:tcBorders>
            <w:shd w:val="clear" w:color="auto" w:fill="FFFFFF"/>
          </w:tcPr>
          <w:p w14:paraId="3B134FA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侵犯隐私</w:t>
            </w:r>
          </w:p>
        </w:tc>
        <w:tc>
          <w:tcPr>
            <w:tcW w:w="412" w:type="pct"/>
            <w:tcBorders>
              <w:top w:val="nil"/>
              <w:left w:val="nil"/>
              <w:bottom w:val="nil"/>
              <w:right w:val="nil"/>
            </w:tcBorders>
            <w:shd w:val="clear" w:color="auto" w:fill="FFFFFF"/>
          </w:tcPr>
          <w:p w14:paraId="057E48C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w:t>
            </w:r>
          </w:p>
        </w:tc>
        <w:tc>
          <w:tcPr>
            <w:tcW w:w="409" w:type="pct"/>
            <w:tcBorders>
              <w:top w:val="nil"/>
              <w:left w:val="nil"/>
              <w:bottom w:val="nil"/>
              <w:right w:val="nil"/>
            </w:tcBorders>
            <w:shd w:val="clear" w:color="auto" w:fill="FFFFFF"/>
          </w:tcPr>
          <w:p w14:paraId="020F72D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w:t>
            </w:r>
          </w:p>
        </w:tc>
        <w:tc>
          <w:tcPr>
            <w:tcW w:w="574" w:type="pct"/>
            <w:tcBorders>
              <w:top w:val="nil"/>
              <w:left w:val="nil"/>
              <w:bottom w:val="nil"/>
              <w:right w:val="nil"/>
            </w:tcBorders>
            <w:shd w:val="clear" w:color="auto" w:fill="FFFFFF"/>
          </w:tcPr>
          <w:p w14:paraId="403EFE2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4—15</w:t>
            </w:r>
          </w:p>
        </w:tc>
        <w:tc>
          <w:tcPr>
            <w:tcW w:w="770" w:type="pct"/>
            <w:tcBorders>
              <w:top w:val="nil"/>
              <w:left w:val="nil"/>
              <w:bottom w:val="nil"/>
              <w:right w:val="nil"/>
            </w:tcBorders>
            <w:shd w:val="clear" w:color="auto" w:fill="FFFFFF"/>
          </w:tcPr>
          <w:p w14:paraId="14BE9CB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54.1%</w:t>
            </w:r>
          </w:p>
        </w:tc>
        <w:tc>
          <w:tcPr>
            <w:tcW w:w="797" w:type="pct"/>
            <w:tcBorders>
              <w:top w:val="nil"/>
              <w:left w:val="nil"/>
              <w:bottom w:val="nil"/>
              <w:right w:val="nil"/>
            </w:tcBorders>
            <w:shd w:val="clear" w:color="auto" w:fill="FFFFFF"/>
          </w:tcPr>
          <w:p w14:paraId="4307973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条件高优先级</w:t>
            </w:r>
          </w:p>
        </w:tc>
      </w:tr>
      <w:tr w14:paraId="3523E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1DAD507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个性化算法</w:t>
            </w:r>
          </w:p>
        </w:tc>
        <w:tc>
          <w:tcPr>
            <w:tcW w:w="1320" w:type="pct"/>
            <w:tcBorders>
              <w:top w:val="nil"/>
              <w:left w:val="nil"/>
              <w:bottom w:val="nil"/>
              <w:right w:val="nil"/>
            </w:tcBorders>
            <w:shd w:val="clear" w:color="auto" w:fill="FFFFFF"/>
          </w:tcPr>
          <w:p w14:paraId="37E7841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加剧社会偏见或歧视</w:t>
            </w:r>
          </w:p>
        </w:tc>
        <w:tc>
          <w:tcPr>
            <w:tcW w:w="412" w:type="pct"/>
            <w:tcBorders>
              <w:top w:val="nil"/>
              <w:left w:val="nil"/>
              <w:bottom w:val="nil"/>
              <w:right w:val="nil"/>
            </w:tcBorders>
            <w:shd w:val="clear" w:color="auto" w:fill="FFFFFF"/>
          </w:tcPr>
          <w:p w14:paraId="33C9531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6</w:t>
            </w:r>
          </w:p>
        </w:tc>
        <w:tc>
          <w:tcPr>
            <w:tcW w:w="409" w:type="pct"/>
            <w:tcBorders>
              <w:top w:val="nil"/>
              <w:left w:val="nil"/>
              <w:bottom w:val="nil"/>
              <w:right w:val="nil"/>
            </w:tcBorders>
            <w:shd w:val="clear" w:color="auto" w:fill="FFFFFF"/>
          </w:tcPr>
          <w:p w14:paraId="07AFF3B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7</w:t>
            </w:r>
          </w:p>
        </w:tc>
        <w:tc>
          <w:tcPr>
            <w:tcW w:w="574" w:type="pct"/>
            <w:tcBorders>
              <w:top w:val="nil"/>
              <w:left w:val="nil"/>
              <w:bottom w:val="nil"/>
              <w:right w:val="nil"/>
            </w:tcBorders>
            <w:shd w:val="clear" w:color="auto" w:fill="FFFFFF"/>
          </w:tcPr>
          <w:p w14:paraId="5E0B9D3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5—11</w:t>
            </w:r>
          </w:p>
        </w:tc>
        <w:tc>
          <w:tcPr>
            <w:tcW w:w="770" w:type="pct"/>
            <w:tcBorders>
              <w:top w:val="nil"/>
              <w:left w:val="nil"/>
              <w:bottom w:val="nil"/>
              <w:right w:val="nil"/>
            </w:tcBorders>
            <w:shd w:val="clear" w:color="auto" w:fill="FFFFFF"/>
          </w:tcPr>
          <w:p w14:paraId="2125554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5.4%</w:t>
            </w:r>
          </w:p>
        </w:tc>
        <w:tc>
          <w:tcPr>
            <w:tcW w:w="797" w:type="pct"/>
            <w:tcBorders>
              <w:top w:val="nil"/>
              <w:left w:val="nil"/>
              <w:bottom w:val="nil"/>
              <w:right w:val="nil"/>
            </w:tcBorders>
            <w:shd w:val="clear" w:color="auto" w:fill="FFFFFF"/>
          </w:tcPr>
          <w:p w14:paraId="44BD32E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稳定中高优先级</w:t>
            </w:r>
          </w:p>
        </w:tc>
      </w:tr>
      <w:tr w14:paraId="5908B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2B6395E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机器视觉</w:t>
            </w:r>
          </w:p>
        </w:tc>
        <w:tc>
          <w:tcPr>
            <w:tcW w:w="1320" w:type="pct"/>
            <w:tcBorders>
              <w:top w:val="nil"/>
              <w:left w:val="nil"/>
              <w:bottom w:val="nil"/>
              <w:right w:val="nil"/>
            </w:tcBorders>
            <w:shd w:val="clear" w:color="auto" w:fill="FFFFFF"/>
          </w:tcPr>
          <w:p w14:paraId="1DAA966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决策不自主受控</w:t>
            </w:r>
          </w:p>
        </w:tc>
        <w:tc>
          <w:tcPr>
            <w:tcW w:w="412" w:type="pct"/>
            <w:tcBorders>
              <w:top w:val="nil"/>
              <w:left w:val="nil"/>
              <w:bottom w:val="nil"/>
              <w:right w:val="nil"/>
            </w:tcBorders>
            <w:shd w:val="clear" w:color="auto" w:fill="FFFFFF"/>
          </w:tcPr>
          <w:p w14:paraId="313E6FB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7</w:t>
            </w:r>
          </w:p>
        </w:tc>
        <w:tc>
          <w:tcPr>
            <w:tcW w:w="409" w:type="pct"/>
            <w:tcBorders>
              <w:top w:val="nil"/>
              <w:left w:val="nil"/>
              <w:bottom w:val="nil"/>
              <w:right w:val="nil"/>
            </w:tcBorders>
            <w:shd w:val="clear" w:color="auto" w:fill="FFFFFF"/>
          </w:tcPr>
          <w:p w14:paraId="535E4D0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8</w:t>
            </w:r>
          </w:p>
        </w:tc>
        <w:tc>
          <w:tcPr>
            <w:tcW w:w="574" w:type="pct"/>
            <w:tcBorders>
              <w:top w:val="nil"/>
              <w:left w:val="nil"/>
              <w:bottom w:val="nil"/>
              <w:right w:val="nil"/>
            </w:tcBorders>
            <w:shd w:val="clear" w:color="auto" w:fill="FFFFFF"/>
          </w:tcPr>
          <w:p w14:paraId="1604D6A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3—13</w:t>
            </w:r>
          </w:p>
        </w:tc>
        <w:tc>
          <w:tcPr>
            <w:tcW w:w="770" w:type="pct"/>
            <w:tcBorders>
              <w:top w:val="nil"/>
              <w:left w:val="nil"/>
              <w:bottom w:val="nil"/>
              <w:right w:val="nil"/>
            </w:tcBorders>
            <w:shd w:val="clear" w:color="auto" w:fill="FFFFFF"/>
          </w:tcPr>
          <w:p w14:paraId="5DD7A2B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18.7%</w:t>
            </w:r>
          </w:p>
        </w:tc>
        <w:tc>
          <w:tcPr>
            <w:tcW w:w="797" w:type="pct"/>
            <w:tcBorders>
              <w:top w:val="nil"/>
              <w:left w:val="nil"/>
              <w:bottom w:val="nil"/>
              <w:right w:val="nil"/>
            </w:tcBorders>
            <w:shd w:val="clear" w:color="auto" w:fill="FFFFFF"/>
          </w:tcPr>
          <w:p w14:paraId="5D2CF1D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稳定中高优先级</w:t>
            </w:r>
          </w:p>
        </w:tc>
      </w:tr>
      <w:tr w14:paraId="2ED4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5A7CF47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服务机器人</w:t>
            </w:r>
          </w:p>
        </w:tc>
        <w:tc>
          <w:tcPr>
            <w:tcW w:w="1320" w:type="pct"/>
            <w:tcBorders>
              <w:top w:val="nil"/>
              <w:left w:val="nil"/>
              <w:bottom w:val="nil"/>
              <w:right w:val="nil"/>
            </w:tcBorders>
            <w:shd w:val="clear" w:color="auto" w:fill="FFFFFF"/>
          </w:tcPr>
          <w:p w14:paraId="2DE5467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侵犯隐私</w:t>
            </w:r>
          </w:p>
        </w:tc>
        <w:tc>
          <w:tcPr>
            <w:tcW w:w="412" w:type="pct"/>
            <w:tcBorders>
              <w:top w:val="nil"/>
              <w:left w:val="nil"/>
              <w:bottom w:val="nil"/>
              <w:right w:val="nil"/>
            </w:tcBorders>
            <w:shd w:val="clear" w:color="auto" w:fill="FFFFFF"/>
          </w:tcPr>
          <w:p w14:paraId="56CCC15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8</w:t>
            </w:r>
          </w:p>
        </w:tc>
        <w:tc>
          <w:tcPr>
            <w:tcW w:w="409" w:type="pct"/>
            <w:tcBorders>
              <w:top w:val="nil"/>
              <w:left w:val="nil"/>
              <w:bottom w:val="nil"/>
              <w:right w:val="nil"/>
            </w:tcBorders>
            <w:shd w:val="clear" w:color="auto" w:fill="FFFFFF"/>
          </w:tcPr>
          <w:p w14:paraId="500C758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7</w:t>
            </w:r>
          </w:p>
        </w:tc>
        <w:tc>
          <w:tcPr>
            <w:tcW w:w="574" w:type="pct"/>
            <w:tcBorders>
              <w:top w:val="nil"/>
              <w:left w:val="nil"/>
              <w:bottom w:val="nil"/>
              <w:right w:val="nil"/>
            </w:tcBorders>
            <w:shd w:val="clear" w:color="auto" w:fill="FFFFFF"/>
          </w:tcPr>
          <w:p w14:paraId="73AD2C6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3—15</w:t>
            </w:r>
          </w:p>
        </w:tc>
        <w:tc>
          <w:tcPr>
            <w:tcW w:w="770" w:type="pct"/>
            <w:tcBorders>
              <w:top w:val="nil"/>
              <w:left w:val="nil"/>
              <w:bottom w:val="nil"/>
              <w:right w:val="nil"/>
            </w:tcBorders>
            <w:shd w:val="clear" w:color="auto" w:fill="FFFFFF"/>
          </w:tcPr>
          <w:p w14:paraId="42A42DF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24.9%</w:t>
            </w:r>
          </w:p>
        </w:tc>
        <w:tc>
          <w:tcPr>
            <w:tcW w:w="797" w:type="pct"/>
            <w:tcBorders>
              <w:top w:val="nil"/>
              <w:left w:val="nil"/>
              <w:bottom w:val="nil"/>
              <w:right w:val="nil"/>
            </w:tcBorders>
            <w:shd w:val="clear" w:color="auto" w:fill="FFFFFF"/>
          </w:tcPr>
          <w:p w14:paraId="7DFBE63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稳定中高优先级</w:t>
            </w:r>
          </w:p>
        </w:tc>
      </w:tr>
      <w:tr w14:paraId="71174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265B08E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机器视觉</w:t>
            </w:r>
          </w:p>
        </w:tc>
        <w:tc>
          <w:tcPr>
            <w:tcW w:w="1320" w:type="pct"/>
            <w:tcBorders>
              <w:top w:val="nil"/>
              <w:left w:val="nil"/>
              <w:bottom w:val="nil"/>
              <w:right w:val="nil"/>
            </w:tcBorders>
            <w:shd w:val="clear" w:color="auto" w:fill="FFFFFF"/>
          </w:tcPr>
          <w:p w14:paraId="1D21E4A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破坏社会公平</w:t>
            </w:r>
          </w:p>
        </w:tc>
        <w:tc>
          <w:tcPr>
            <w:tcW w:w="412" w:type="pct"/>
            <w:tcBorders>
              <w:top w:val="nil"/>
              <w:left w:val="nil"/>
              <w:bottom w:val="nil"/>
              <w:right w:val="nil"/>
            </w:tcBorders>
            <w:shd w:val="clear" w:color="auto" w:fill="FFFFFF"/>
          </w:tcPr>
          <w:p w14:paraId="39239A9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9</w:t>
            </w:r>
          </w:p>
        </w:tc>
        <w:tc>
          <w:tcPr>
            <w:tcW w:w="409" w:type="pct"/>
            <w:tcBorders>
              <w:top w:val="nil"/>
              <w:left w:val="nil"/>
              <w:bottom w:val="nil"/>
              <w:right w:val="nil"/>
            </w:tcBorders>
            <w:shd w:val="clear" w:color="auto" w:fill="FFFFFF"/>
          </w:tcPr>
          <w:p w14:paraId="1DE014C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11</w:t>
            </w:r>
          </w:p>
        </w:tc>
        <w:tc>
          <w:tcPr>
            <w:tcW w:w="574" w:type="pct"/>
            <w:tcBorders>
              <w:top w:val="nil"/>
              <w:left w:val="nil"/>
              <w:bottom w:val="nil"/>
              <w:right w:val="nil"/>
            </w:tcBorders>
            <w:shd w:val="clear" w:color="auto" w:fill="FFFFFF"/>
          </w:tcPr>
          <w:p w14:paraId="66B823C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6—17</w:t>
            </w:r>
          </w:p>
        </w:tc>
        <w:tc>
          <w:tcPr>
            <w:tcW w:w="770" w:type="pct"/>
            <w:tcBorders>
              <w:top w:val="nil"/>
              <w:left w:val="nil"/>
              <w:bottom w:val="nil"/>
              <w:right w:val="nil"/>
            </w:tcBorders>
            <w:shd w:val="clear" w:color="auto" w:fill="FFFFFF"/>
          </w:tcPr>
          <w:p w14:paraId="4BAD52E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0.0%</w:t>
            </w:r>
          </w:p>
        </w:tc>
        <w:tc>
          <w:tcPr>
            <w:tcW w:w="797" w:type="pct"/>
            <w:tcBorders>
              <w:top w:val="nil"/>
              <w:left w:val="nil"/>
              <w:bottom w:val="nil"/>
              <w:right w:val="nil"/>
            </w:tcBorders>
            <w:shd w:val="clear" w:color="auto" w:fill="FFFFFF"/>
          </w:tcPr>
          <w:p w14:paraId="59FE082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常规监测</w:t>
            </w:r>
          </w:p>
        </w:tc>
      </w:tr>
      <w:tr w14:paraId="2D0B3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7C1F201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个性化算法</w:t>
            </w:r>
          </w:p>
        </w:tc>
        <w:tc>
          <w:tcPr>
            <w:tcW w:w="1320" w:type="pct"/>
            <w:tcBorders>
              <w:top w:val="nil"/>
              <w:left w:val="nil"/>
              <w:bottom w:val="nil"/>
              <w:right w:val="nil"/>
            </w:tcBorders>
            <w:shd w:val="clear" w:color="auto" w:fill="FFFFFF"/>
          </w:tcPr>
          <w:p w14:paraId="68950A2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决策不自主受控</w:t>
            </w:r>
          </w:p>
        </w:tc>
        <w:tc>
          <w:tcPr>
            <w:tcW w:w="412" w:type="pct"/>
            <w:tcBorders>
              <w:top w:val="nil"/>
              <w:left w:val="nil"/>
              <w:bottom w:val="nil"/>
              <w:right w:val="nil"/>
            </w:tcBorders>
            <w:shd w:val="clear" w:color="auto" w:fill="FFFFFF"/>
          </w:tcPr>
          <w:p w14:paraId="5E54781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10</w:t>
            </w:r>
          </w:p>
        </w:tc>
        <w:tc>
          <w:tcPr>
            <w:tcW w:w="409" w:type="pct"/>
            <w:tcBorders>
              <w:top w:val="nil"/>
              <w:left w:val="nil"/>
              <w:bottom w:val="nil"/>
              <w:right w:val="nil"/>
            </w:tcBorders>
            <w:shd w:val="clear" w:color="auto" w:fill="FFFFFF"/>
          </w:tcPr>
          <w:p w14:paraId="09321B6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10</w:t>
            </w:r>
          </w:p>
        </w:tc>
        <w:tc>
          <w:tcPr>
            <w:tcW w:w="574" w:type="pct"/>
            <w:tcBorders>
              <w:top w:val="nil"/>
              <w:left w:val="nil"/>
              <w:bottom w:val="nil"/>
              <w:right w:val="nil"/>
            </w:tcBorders>
            <w:shd w:val="clear" w:color="auto" w:fill="FFFFFF"/>
          </w:tcPr>
          <w:p w14:paraId="6E4BABA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4—16</w:t>
            </w:r>
          </w:p>
        </w:tc>
        <w:tc>
          <w:tcPr>
            <w:tcW w:w="770" w:type="pct"/>
            <w:tcBorders>
              <w:top w:val="nil"/>
              <w:left w:val="nil"/>
              <w:bottom w:val="nil"/>
              <w:right w:val="nil"/>
            </w:tcBorders>
            <w:shd w:val="clear" w:color="auto" w:fill="FFFFFF"/>
          </w:tcPr>
          <w:p w14:paraId="5492C1B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1.6%</w:t>
            </w:r>
          </w:p>
        </w:tc>
        <w:tc>
          <w:tcPr>
            <w:tcW w:w="797" w:type="pct"/>
            <w:tcBorders>
              <w:top w:val="nil"/>
              <w:left w:val="nil"/>
              <w:bottom w:val="nil"/>
              <w:right w:val="nil"/>
            </w:tcBorders>
            <w:shd w:val="clear" w:color="auto" w:fill="FFFFFF"/>
          </w:tcPr>
          <w:p w14:paraId="32370CE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稳定中高优先级</w:t>
            </w:r>
          </w:p>
        </w:tc>
      </w:tr>
      <w:tr w14:paraId="6D5ED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0991B23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自动驾驶</w:t>
            </w:r>
          </w:p>
        </w:tc>
        <w:tc>
          <w:tcPr>
            <w:tcW w:w="1320" w:type="pct"/>
            <w:tcBorders>
              <w:top w:val="nil"/>
              <w:left w:val="nil"/>
              <w:bottom w:val="nil"/>
              <w:right w:val="nil"/>
            </w:tcBorders>
            <w:shd w:val="clear" w:color="auto" w:fill="FFFFFF"/>
          </w:tcPr>
          <w:p w14:paraId="6688C3A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破坏社会公平</w:t>
            </w:r>
          </w:p>
        </w:tc>
        <w:tc>
          <w:tcPr>
            <w:tcW w:w="412" w:type="pct"/>
            <w:tcBorders>
              <w:top w:val="nil"/>
              <w:left w:val="nil"/>
              <w:bottom w:val="nil"/>
              <w:right w:val="nil"/>
            </w:tcBorders>
            <w:shd w:val="clear" w:color="auto" w:fill="FFFFFF"/>
          </w:tcPr>
          <w:p w14:paraId="575FDF9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11</w:t>
            </w:r>
          </w:p>
        </w:tc>
        <w:tc>
          <w:tcPr>
            <w:tcW w:w="409" w:type="pct"/>
            <w:tcBorders>
              <w:top w:val="nil"/>
              <w:left w:val="nil"/>
              <w:bottom w:val="nil"/>
              <w:right w:val="nil"/>
            </w:tcBorders>
            <w:shd w:val="clear" w:color="auto" w:fill="FFFFFF"/>
          </w:tcPr>
          <w:p w14:paraId="07AD3B7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12</w:t>
            </w:r>
          </w:p>
        </w:tc>
        <w:tc>
          <w:tcPr>
            <w:tcW w:w="574" w:type="pct"/>
            <w:tcBorders>
              <w:top w:val="nil"/>
              <w:left w:val="nil"/>
              <w:bottom w:val="nil"/>
              <w:right w:val="nil"/>
            </w:tcBorders>
            <w:shd w:val="clear" w:color="auto" w:fill="FFFFFF"/>
          </w:tcPr>
          <w:p w14:paraId="6E296AF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2—19</w:t>
            </w:r>
          </w:p>
        </w:tc>
        <w:tc>
          <w:tcPr>
            <w:tcW w:w="770" w:type="pct"/>
            <w:tcBorders>
              <w:top w:val="nil"/>
              <w:left w:val="nil"/>
              <w:bottom w:val="nil"/>
              <w:right w:val="nil"/>
            </w:tcBorders>
            <w:shd w:val="clear" w:color="auto" w:fill="FFFFFF"/>
          </w:tcPr>
          <w:p w14:paraId="3BDD9F7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20.0%</w:t>
            </w:r>
          </w:p>
        </w:tc>
        <w:tc>
          <w:tcPr>
            <w:tcW w:w="797" w:type="pct"/>
            <w:tcBorders>
              <w:top w:val="nil"/>
              <w:left w:val="nil"/>
              <w:bottom w:val="nil"/>
              <w:right w:val="nil"/>
            </w:tcBorders>
            <w:shd w:val="clear" w:color="auto" w:fill="FFFFFF"/>
          </w:tcPr>
          <w:p w14:paraId="5669E62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常规监测</w:t>
            </w:r>
          </w:p>
        </w:tc>
      </w:tr>
      <w:tr w14:paraId="5AD14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4BD888C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机器视觉</w:t>
            </w:r>
          </w:p>
        </w:tc>
        <w:tc>
          <w:tcPr>
            <w:tcW w:w="1320" w:type="pct"/>
            <w:tcBorders>
              <w:top w:val="nil"/>
              <w:left w:val="nil"/>
              <w:bottom w:val="nil"/>
              <w:right w:val="nil"/>
            </w:tcBorders>
            <w:shd w:val="clear" w:color="auto" w:fill="FFFFFF"/>
          </w:tcPr>
          <w:p w14:paraId="2813BA4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加剧社会偏见或歧视</w:t>
            </w:r>
          </w:p>
        </w:tc>
        <w:tc>
          <w:tcPr>
            <w:tcW w:w="412" w:type="pct"/>
            <w:tcBorders>
              <w:top w:val="nil"/>
              <w:left w:val="nil"/>
              <w:bottom w:val="nil"/>
              <w:right w:val="nil"/>
            </w:tcBorders>
            <w:shd w:val="clear" w:color="auto" w:fill="FFFFFF"/>
          </w:tcPr>
          <w:p w14:paraId="601CC30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12</w:t>
            </w:r>
          </w:p>
        </w:tc>
        <w:tc>
          <w:tcPr>
            <w:tcW w:w="409" w:type="pct"/>
            <w:tcBorders>
              <w:top w:val="nil"/>
              <w:left w:val="nil"/>
              <w:bottom w:val="nil"/>
              <w:right w:val="nil"/>
            </w:tcBorders>
            <w:shd w:val="clear" w:color="auto" w:fill="FFFFFF"/>
          </w:tcPr>
          <w:p w14:paraId="326732D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12</w:t>
            </w:r>
          </w:p>
        </w:tc>
        <w:tc>
          <w:tcPr>
            <w:tcW w:w="574" w:type="pct"/>
            <w:tcBorders>
              <w:top w:val="nil"/>
              <w:left w:val="nil"/>
              <w:bottom w:val="nil"/>
              <w:right w:val="nil"/>
            </w:tcBorders>
            <w:shd w:val="clear" w:color="auto" w:fill="FFFFFF"/>
          </w:tcPr>
          <w:p w14:paraId="75F0AC8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8—19</w:t>
            </w:r>
          </w:p>
        </w:tc>
        <w:tc>
          <w:tcPr>
            <w:tcW w:w="770" w:type="pct"/>
            <w:tcBorders>
              <w:top w:val="nil"/>
              <w:left w:val="nil"/>
              <w:bottom w:val="nil"/>
              <w:right w:val="nil"/>
            </w:tcBorders>
            <w:shd w:val="clear" w:color="auto" w:fill="FFFFFF"/>
          </w:tcPr>
          <w:p w14:paraId="6FA8B15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0.0%</w:t>
            </w:r>
          </w:p>
        </w:tc>
        <w:tc>
          <w:tcPr>
            <w:tcW w:w="797" w:type="pct"/>
            <w:tcBorders>
              <w:top w:val="nil"/>
              <w:left w:val="nil"/>
              <w:bottom w:val="nil"/>
              <w:right w:val="nil"/>
            </w:tcBorders>
            <w:shd w:val="clear" w:color="auto" w:fill="FFFFFF"/>
          </w:tcPr>
          <w:p w14:paraId="08D4414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常规监测</w:t>
            </w:r>
          </w:p>
        </w:tc>
      </w:tr>
      <w:tr w14:paraId="77410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6C3EF1A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机器视觉</w:t>
            </w:r>
          </w:p>
        </w:tc>
        <w:tc>
          <w:tcPr>
            <w:tcW w:w="1320" w:type="pct"/>
            <w:tcBorders>
              <w:top w:val="nil"/>
              <w:left w:val="nil"/>
              <w:bottom w:val="nil"/>
              <w:right w:val="nil"/>
            </w:tcBorders>
            <w:shd w:val="clear" w:color="auto" w:fill="FFFFFF"/>
          </w:tcPr>
          <w:p w14:paraId="43C4452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权责归属不清或失当</w:t>
            </w:r>
          </w:p>
        </w:tc>
        <w:tc>
          <w:tcPr>
            <w:tcW w:w="412" w:type="pct"/>
            <w:tcBorders>
              <w:top w:val="nil"/>
              <w:left w:val="nil"/>
              <w:bottom w:val="nil"/>
              <w:right w:val="nil"/>
            </w:tcBorders>
            <w:shd w:val="clear" w:color="auto" w:fill="FFFFFF"/>
          </w:tcPr>
          <w:p w14:paraId="0947643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13</w:t>
            </w:r>
          </w:p>
        </w:tc>
        <w:tc>
          <w:tcPr>
            <w:tcW w:w="409" w:type="pct"/>
            <w:tcBorders>
              <w:top w:val="nil"/>
              <w:left w:val="nil"/>
              <w:bottom w:val="nil"/>
              <w:right w:val="nil"/>
            </w:tcBorders>
            <w:shd w:val="clear" w:color="auto" w:fill="FFFFFF"/>
          </w:tcPr>
          <w:p w14:paraId="1AB4B6EF">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14</w:t>
            </w:r>
          </w:p>
        </w:tc>
        <w:tc>
          <w:tcPr>
            <w:tcW w:w="574" w:type="pct"/>
            <w:tcBorders>
              <w:top w:val="nil"/>
              <w:left w:val="nil"/>
              <w:bottom w:val="nil"/>
              <w:right w:val="nil"/>
            </w:tcBorders>
            <w:shd w:val="clear" w:color="auto" w:fill="FFFFFF"/>
          </w:tcPr>
          <w:p w14:paraId="4FD2CEF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4—19</w:t>
            </w:r>
          </w:p>
        </w:tc>
        <w:tc>
          <w:tcPr>
            <w:tcW w:w="770" w:type="pct"/>
            <w:tcBorders>
              <w:top w:val="nil"/>
              <w:left w:val="nil"/>
              <w:bottom w:val="nil"/>
              <w:right w:val="nil"/>
            </w:tcBorders>
            <w:shd w:val="clear" w:color="auto" w:fill="FFFFFF"/>
          </w:tcPr>
          <w:p w14:paraId="11541A6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4.3%</w:t>
            </w:r>
          </w:p>
        </w:tc>
        <w:tc>
          <w:tcPr>
            <w:tcW w:w="797" w:type="pct"/>
            <w:tcBorders>
              <w:top w:val="nil"/>
              <w:left w:val="nil"/>
              <w:bottom w:val="nil"/>
              <w:right w:val="nil"/>
            </w:tcBorders>
            <w:shd w:val="clear" w:color="auto" w:fill="FFFFFF"/>
          </w:tcPr>
          <w:p w14:paraId="5207EA5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常规监测</w:t>
            </w:r>
          </w:p>
        </w:tc>
      </w:tr>
      <w:tr w14:paraId="2FDEB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1EB91C8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个性化算法</w:t>
            </w:r>
          </w:p>
        </w:tc>
        <w:tc>
          <w:tcPr>
            <w:tcW w:w="1320" w:type="pct"/>
            <w:tcBorders>
              <w:top w:val="nil"/>
              <w:left w:val="nil"/>
              <w:bottom w:val="nil"/>
              <w:right w:val="nil"/>
            </w:tcBorders>
            <w:shd w:val="clear" w:color="auto" w:fill="FFFFFF"/>
          </w:tcPr>
          <w:p w14:paraId="2EFE9B3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破坏社会公平</w:t>
            </w:r>
          </w:p>
        </w:tc>
        <w:tc>
          <w:tcPr>
            <w:tcW w:w="412" w:type="pct"/>
            <w:tcBorders>
              <w:top w:val="nil"/>
              <w:left w:val="nil"/>
              <w:bottom w:val="nil"/>
              <w:right w:val="nil"/>
            </w:tcBorders>
            <w:shd w:val="clear" w:color="auto" w:fill="FFFFFF"/>
          </w:tcPr>
          <w:p w14:paraId="44B703A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14</w:t>
            </w:r>
          </w:p>
        </w:tc>
        <w:tc>
          <w:tcPr>
            <w:tcW w:w="409" w:type="pct"/>
            <w:tcBorders>
              <w:top w:val="nil"/>
              <w:left w:val="nil"/>
              <w:bottom w:val="nil"/>
              <w:right w:val="nil"/>
            </w:tcBorders>
            <w:shd w:val="clear" w:color="auto" w:fill="FFFFFF"/>
          </w:tcPr>
          <w:p w14:paraId="674D409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12</w:t>
            </w:r>
          </w:p>
        </w:tc>
        <w:tc>
          <w:tcPr>
            <w:tcW w:w="574" w:type="pct"/>
            <w:tcBorders>
              <w:top w:val="nil"/>
              <w:left w:val="nil"/>
              <w:bottom w:val="nil"/>
              <w:right w:val="nil"/>
            </w:tcBorders>
            <w:shd w:val="clear" w:color="auto" w:fill="FFFFFF"/>
          </w:tcPr>
          <w:p w14:paraId="0607ADA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8—18</w:t>
            </w:r>
          </w:p>
        </w:tc>
        <w:tc>
          <w:tcPr>
            <w:tcW w:w="770" w:type="pct"/>
            <w:tcBorders>
              <w:top w:val="nil"/>
              <w:left w:val="nil"/>
              <w:bottom w:val="nil"/>
              <w:right w:val="nil"/>
            </w:tcBorders>
            <w:shd w:val="clear" w:color="auto" w:fill="FFFFFF"/>
          </w:tcPr>
          <w:p w14:paraId="3D50668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0.0%</w:t>
            </w:r>
          </w:p>
        </w:tc>
        <w:tc>
          <w:tcPr>
            <w:tcW w:w="797" w:type="pct"/>
            <w:tcBorders>
              <w:top w:val="nil"/>
              <w:left w:val="nil"/>
              <w:bottom w:val="nil"/>
              <w:right w:val="nil"/>
            </w:tcBorders>
            <w:shd w:val="clear" w:color="auto" w:fill="FFFFFF"/>
          </w:tcPr>
          <w:p w14:paraId="1A6A519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常规监测</w:t>
            </w:r>
          </w:p>
        </w:tc>
      </w:tr>
      <w:tr w14:paraId="1B28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08F8F67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自动驾驶</w:t>
            </w:r>
          </w:p>
        </w:tc>
        <w:tc>
          <w:tcPr>
            <w:tcW w:w="1320" w:type="pct"/>
            <w:tcBorders>
              <w:top w:val="nil"/>
              <w:left w:val="nil"/>
              <w:bottom w:val="nil"/>
              <w:right w:val="nil"/>
            </w:tcBorders>
            <w:shd w:val="clear" w:color="auto" w:fill="FFFFFF"/>
          </w:tcPr>
          <w:p w14:paraId="7460A43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侵犯隐私</w:t>
            </w:r>
          </w:p>
        </w:tc>
        <w:tc>
          <w:tcPr>
            <w:tcW w:w="412" w:type="pct"/>
            <w:tcBorders>
              <w:top w:val="nil"/>
              <w:left w:val="nil"/>
              <w:bottom w:val="nil"/>
              <w:right w:val="nil"/>
            </w:tcBorders>
            <w:shd w:val="clear" w:color="auto" w:fill="FFFFFF"/>
          </w:tcPr>
          <w:p w14:paraId="20174A2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15</w:t>
            </w:r>
          </w:p>
        </w:tc>
        <w:tc>
          <w:tcPr>
            <w:tcW w:w="409" w:type="pct"/>
            <w:tcBorders>
              <w:top w:val="nil"/>
              <w:left w:val="nil"/>
              <w:bottom w:val="nil"/>
              <w:right w:val="nil"/>
            </w:tcBorders>
            <w:shd w:val="clear" w:color="auto" w:fill="FFFFFF"/>
          </w:tcPr>
          <w:p w14:paraId="5456339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14</w:t>
            </w:r>
          </w:p>
        </w:tc>
        <w:tc>
          <w:tcPr>
            <w:tcW w:w="574" w:type="pct"/>
            <w:tcBorders>
              <w:top w:val="nil"/>
              <w:left w:val="nil"/>
              <w:bottom w:val="nil"/>
              <w:right w:val="nil"/>
            </w:tcBorders>
            <w:shd w:val="clear" w:color="auto" w:fill="FFFFFF"/>
          </w:tcPr>
          <w:p w14:paraId="281E3D9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11—19</w:t>
            </w:r>
          </w:p>
        </w:tc>
        <w:tc>
          <w:tcPr>
            <w:tcW w:w="770" w:type="pct"/>
            <w:tcBorders>
              <w:top w:val="nil"/>
              <w:left w:val="nil"/>
              <w:bottom w:val="nil"/>
              <w:right w:val="nil"/>
            </w:tcBorders>
            <w:shd w:val="clear" w:color="auto" w:fill="FFFFFF"/>
          </w:tcPr>
          <w:p w14:paraId="3B4A44C6">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0.0%</w:t>
            </w:r>
          </w:p>
        </w:tc>
        <w:tc>
          <w:tcPr>
            <w:tcW w:w="797" w:type="pct"/>
            <w:tcBorders>
              <w:top w:val="nil"/>
              <w:left w:val="nil"/>
              <w:bottom w:val="nil"/>
              <w:right w:val="nil"/>
            </w:tcBorders>
            <w:shd w:val="clear" w:color="auto" w:fill="FFFFFF"/>
          </w:tcPr>
          <w:p w14:paraId="640C72A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常规监测</w:t>
            </w:r>
          </w:p>
        </w:tc>
      </w:tr>
      <w:tr w14:paraId="56B2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77CCEC0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服务机器人</w:t>
            </w:r>
          </w:p>
        </w:tc>
        <w:tc>
          <w:tcPr>
            <w:tcW w:w="1320" w:type="pct"/>
            <w:tcBorders>
              <w:top w:val="nil"/>
              <w:left w:val="nil"/>
              <w:bottom w:val="nil"/>
              <w:right w:val="nil"/>
            </w:tcBorders>
            <w:shd w:val="clear" w:color="auto" w:fill="FFFFFF"/>
          </w:tcPr>
          <w:p w14:paraId="7589116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破坏社会公平</w:t>
            </w:r>
          </w:p>
        </w:tc>
        <w:tc>
          <w:tcPr>
            <w:tcW w:w="412" w:type="pct"/>
            <w:tcBorders>
              <w:top w:val="nil"/>
              <w:left w:val="nil"/>
              <w:bottom w:val="nil"/>
              <w:right w:val="nil"/>
            </w:tcBorders>
            <w:shd w:val="clear" w:color="auto" w:fill="FFFFFF"/>
          </w:tcPr>
          <w:p w14:paraId="439E763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16</w:t>
            </w:r>
          </w:p>
        </w:tc>
        <w:tc>
          <w:tcPr>
            <w:tcW w:w="409" w:type="pct"/>
            <w:tcBorders>
              <w:top w:val="nil"/>
              <w:left w:val="nil"/>
              <w:bottom w:val="nil"/>
              <w:right w:val="nil"/>
            </w:tcBorders>
            <w:shd w:val="clear" w:color="auto" w:fill="FFFFFF"/>
          </w:tcPr>
          <w:p w14:paraId="2876C45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15</w:t>
            </w:r>
          </w:p>
        </w:tc>
        <w:tc>
          <w:tcPr>
            <w:tcW w:w="574" w:type="pct"/>
            <w:tcBorders>
              <w:top w:val="nil"/>
              <w:left w:val="nil"/>
              <w:bottom w:val="nil"/>
              <w:right w:val="nil"/>
            </w:tcBorders>
            <w:shd w:val="clear" w:color="auto" w:fill="FFFFFF"/>
          </w:tcPr>
          <w:p w14:paraId="4158083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2—19</w:t>
            </w:r>
          </w:p>
        </w:tc>
        <w:tc>
          <w:tcPr>
            <w:tcW w:w="770" w:type="pct"/>
            <w:tcBorders>
              <w:top w:val="nil"/>
              <w:left w:val="nil"/>
              <w:bottom w:val="nil"/>
              <w:right w:val="nil"/>
            </w:tcBorders>
            <w:shd w:val="clear" w:color="auto" w:fill="FFFFFF"/>
          </w:tcPr>
          <w:p w14:paraId="2AF8CF1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7.2%</w:t>
            </w:r>
          </w:p>
        </w:tc>
        <w:tc>
          <w:tcPr>
            <w:tcW w:w="797" w:type="pct"/>
            <w:tcBorders>
              <w:top w:val="nil"/>
              <w:left w:val="nil"/>
              <w:bottom w:val="nil"/>
              <w:right w:val="nil"/>
            </w:tcBorders>
            <w:shd w:val="clear" w:color="auto" w:fill="FFFFFF"/>
          </w:tcPr>
          <w:p w14:paraId="73B2914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常规监测</w:t>
            </w:r>
          </w:p>
        </w:tc>
      </w:tr>
      <w:tr w14:paraId="17B85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1A184094">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服务机器人</w:t>
            </w:r>
          </w:p>
        </w:tc>
        <w:tc>
          <w:tcPr>
            <w:tcW w:w="1320" w:type="pct"/>
            <w:tcBorders>
              <w:top w:val="nil"/>
              <w:left w:val="nil"/>
              <w:bottom w:val="nil"/>
              <w:right w:val="nil"/>
            </w:tcBorders>
            <w:shd w:val="clear" w:color="auto" w:fill="FFFFFF"/>
          </w:tcPr>
          <w:p w14:paraId="0D24629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权责归属不清或失当</w:t>
            </w:r>
          </w:p>
        </w:tc>
        <w:tc>
          <w:tcPr>
            <w:tcW w:w="412" w:type="pct"/>
            <w:tcBorders>
              <w:top w:val="nil"/>
              <w:left w:val="nil"/>
              <w:bottom w:val="nil"/>
              <w:right w:val="nil"/>
            </w:tcBorders>
            <w:shd w:val="clear" w:color="auto" w:fill="FFFFFF"/>
          </w:tcPr>
          <w:p w14:paraId="4B05442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17</w:t>
            </w:r>
          </w:p>
        </w:tc>
        <w:tc>
          <w:tcPr>
            <w:tcW w:w="409" w:type="pct"/>
            <w:tcBorders>
              <w:top w:val="nil"/>
              <w:left w:val="nil"/>
              <w:bottom w:val="nil"/>
              <w:right w:val="nil"/>
            </w:tcBorders>
            <w:shd w:val="clear" w:color="auto" w:fill="FFFFFF"/>
          </w:tcPr>
          <w:p w14:paraId="102CB1E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16</w:t>
            </w:r>
          </w:p>
        </w:tc>
        <w:tc>
          <w:tcPr>
            <w:tcW w:w="574" w:type="pct"/>
            <w:tcBorders>
              <w:top w:val="nil"/>
              <w:left w:val="nil"/>
              <w:bottom w:val="nil"/>
              <w:right w:val="nil"/>
            </w:tcBorders>
            <w:shd w:val="clear" w:color="auto" w:fill="FFFFFF"/>
          </w:tcPr>
          <w:p w14:paraId="4C63A047">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11—19</w:t>
            </w:r>
          </w:p>
        </w:tc>
        <w:tc>
          <w:tcPr>
            <w:tcW w:w="770" w:type="pct"/>
            <w:tcBorders>
              <w:top w:val="nil"/>
              <w:left w:val="nil"/>
              <w:bottom w:val="nil"/>
              <w:right w:val="nil"/>
            </w:tcBorders>
            <w:shd w:val="clear" w:color="auto" w:fill="FFFFFF"/>
          </w:tcPr>
          <w:p w14:paraId="73ED0DF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0.0%</w:t>
            </w:r>
          </w:p>
        </w:tc>
        <w:tc>
          <w:tcPr>
            <w:tcW w:w="797" w:type="pct"/>
            <w:tcBorders>
              <w:top w:val="nil"/>
              <w:left w:val="nil"/>
              <w:bottom w:val="nil"/>
              <w:right w:val="nil"/>
            </w:tcBorders>
            <w:shd w:val="clear" w:color="auto" w:fill="FFFFFF"/>
          </w:tcPr>
          <w:p w14:paraId="29DD591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常规监测</w:t>
            </w:r>
          </w:p>
        </w:tc>
      </w:tr>
      <w:tr w14:paraId="6510F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4C7B4450">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个性化算法</w:t>
            </w:r>
          </w:p>
        </w:tc>
        <w:tc>
          <w:tcPr>
            <w:tcW w:w="1320" w:type="pct"/>
            <w:tcBorders>
              <w:top w:val="nil"/>
              <w:left w:val="nil"/>
              <w:bottom w:val="nil"/>
              <w:right w:val="nil"/>
            </w:tcBorders>
            <w:shd w:val="clear" w:color="auto" w:fill="FFFFFF"/>
          </w:tcPr>
          <w:p w14:paraId="3601A71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权责归属不清或失当</w:t>
            </w:r>
          </w:p>
        </w:tc>
        <w:tc>
          <w:tcPr>
            <w:tcW w:w="412" w:type="pct"/>
            <w:tcBorders>
              <w:top w:val="nil"/>
              <w:left w:val="nil"/>
              <w:bottom w:val="nil"/>
              <w:right w:val="nil"/>
            </w:tcBorders>
            <w:shd w:val="clear" w:color="auto" w:fill="FFFFFF"/>
          </w:tcPr>
          <w:p w14:paraId="2212251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18</w:t>
            </w:r>
          </w:p>
        </w:tc>
        <w:tc>
          <w:tcPr>
            <w:tcW w:w="409" w:type="pct"/>
            <w:tcBorders>
              <w:top w:val="nil"/>
              <w:left w:val="nil"/>
              <w:bottom w:val="nil"/>
              <w:right w:val="nil"/>
            </w:tcBorders>
            <w:shd w:val="clear" w:color="auto" w:fill="FFFFFF"/>
          </w:tcPr>
          <w:p w14:paraId="45E4C762">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18</w:t>
            </w:r>
          </w:p>
        </w:tc>
        <w:tc>
          <w:tcPr>
            <w:tcW w:w="574" w:type="pct"/>
            <w:tcBorders>
              <w:top w:val="nil"/>
              <w:left w:val="nil"/>
              <w:bottom w:val="nil"/>
              <w:right w:val="nil"/>
            </w:tcBorders>
            <w:shd w:val="clear" w:color="auto" w:fill="FFFFFF"/>
          </w:tcPr>
          <w:p w14:paraId="6E1DC26C">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14—20</w:t>
            </w:r>
          </w:p>
        </w:tc>
        <w:tc>
          <w:tcPr>
            <w:tcW w:w="770" w:type="pct"/>
            <w:tcBorders>
              <w:top w:val="nil"/>
              <w:left w:val="nil"/>
              <w:bottom w:val="nil"/>
              <w:right w:val="nil"/>
            </w:tcBorders>
            <w:shd w:val="clear" w:color="auto" w:fill="FFFFFF"/>
          </w:tcPr>
          <w:p w14:paraId="4B89EF3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0.0%</w:t>
            </w:r>
          </w:p>
        </w:tc>
        <w:tc>
          <w:tcPr>
            <w:tcW w:w="797" w:type="pct"/>
            <w:tcBorders>
              <w:top w:val="nil"/>
              <w:left w:val="nil"/>
              <w:bottom w:val="nil"/>
              <w:right w:val="nil"/>
            </w:tcBorders>
            <w:shd w:val="clear" w:color="auto" w:fill="FFFFFF"/>
          </w:tcPr>
          <w:p w14:paraId="015DDE1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常规监测</w:t>
            </w:r>
          </w:p>
        </w:tc>
      </w:tr>
      <w:tr w14:paraId="56B9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nil"/>
              <w:right w:val="nil"/>
            </w:tcBorders>
            <w:shd w:val="clear" w:color="auto" w:fill="FFFFFF"/>
          </w:tcPr>
          <w:p w14:paraId="00DF0BE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服务机器人</w:t>
            </w:r>
          </w:p>
        </w:tc>
        <w:tc>
          <w:tcPr>
            <w:tcW w:w="1320" w:type="pct"/>
            <w:tcBorders>
              <w:top w:val="nil"/>
              <w:left w:val="nil"/>
              <w:bottom w:val="nil"/>
              <w:right w:val="nil"/>
            </w:tcBorders>
            <w:shd w:val="clear" w:color="auto" w:fill="FFFFFF"/>
          </w:tcPr>
          <w:p w14:paraId="3E0BE315">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加剧社会偏见或歧视</w:t>
            </w:r>
          </w:p>
        </w:tc>
        <w:tc>
          <w:tcPr>
            <w:tcW w:w="412" w:type="pct"/>
            <w:tcBorders>
              <w:top w:val="nil"/>
              <w:left w:val="nil"/>
              <w:bottom w:val="nil"/>
              <w:right w:val="nil"/>
            </w:tcBorders>
            <w:shd w:val="clear" w:color="auto" w:fill="FFFFFF"/>
          </w:tcPr>
          <w:p w14:paraId="5BB36D9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19</w:t>
            </w:r>
          </w:p>
        </w:tc>
        <w:tc>
          <w:tcPr>
            <w:tcW w:w="409" w:type="pct"/>
            <w:tcBorders>
              <w:top w:val="nil"/>
              <w:left w:val="nil"/>
              <w:bottom w:val="nil"/>
              <w:right w:val="nil"/>
            </w:tcBorders>
            <w:shd w:val="clear" w:color="auto" w:fill="FFFFFF"/>
          </w:tcPr>
          <w:p w14:paraId="0DC3953D">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19</w:t>
            </w:r>
          </w:p>
        </w:tc>
        <w:tc>
          <w:tcPr>
            <w:tcW w:w="574" w:type="pct"/>
            <w:tcBorders>
              <w:top w:val="nil"/>
              <w:left w:val="nil"/>
              <w:bottom w:val="nil"/>
              <w:right w:val="nil"/>
            </w:tcBorders>
            <w:shd w:val="clear" w:color="auto" w:fill="FFFFFF"/>
          </w:tcPr>
          <w:p w14:paraId="7FBF6BD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12—20</w:t>
            </w:r>
          </w:p>
        </w:tc>
        <w:tc>
          <w:tcPr>
            <w:tcW w:w="770" w:type="pct"/>
            <w:tcBorders>
              <w:top w:val="nil"/>
              <w:left w:val="nil"/>
              <w:bottom w:val="nil"/>
              <w:right w:val="nil"/>
            </w:tcBorders>
            <w:shd w:val="clear" w:color="auto" w:fill="FFFFFF"/>
          </w:tcPr>
          <w:p w14:paraId="55A2768B">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0.0%</w:t>
            </w:r>
          </w:p>
        </w:tc>
        <w:tc>
          <w:tcPr>
            <w:tcW w:w="797" w:type="pct"/>
            <w:tcBorders>
              <w:top w:val="nil"/>
              <w:left w:val="nil"/>
              <w:bottom w:val="nil"/>
              <w:right w:val="nil"/>
            </w:tcBorders>
            <w:shd w:val="clear" w:color="auto" w:fill="FFFFFF"/>
          </w:tcPr>
          <w:p w14:paraId="0346B2C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常规监测</w:t>
            </w:r>
          </w:p>
        </w:tc>
      </w:tr>
      <w:tr w14:paraId="20161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tcBorders>
              <w:top w:val="nil"/>
              <w:left w:val="nil"/>
              <w:bottom w:val="single" w:color="000000" w:sz="12" w:space="0"/>
              <w:right w:val="nil"/>
            </w:tcBorders>
            <w:shd w:val="clear" w:color="auto" w:fill="FFFFFF"/>
          </w:tcPr>
          <w:p w14:paraId="7ABC3CE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自动驾驶</w:t>
            </w:r>
          </w:p>
        </w:tc>
        <w:tc>
          <w:tcPr>
            <w:tcW w:w="1320" w:type="pct"/>
            <w:tcBorders>
              <w:top w:val="nil"/>
              <w:left w:val="nil"/>
              <w:bottom w:val="single" w:color="000000" w:sz="12" w:space="0"/>
              <w:right w:val="nil"/>
            </w:tcBorders>
            <w:shd w:val="clear" w:color="auto" w:fill="FFFFFF"/>
          </w:tcPr>
          <w:p w14:paraId="7E165CAA">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加剧社会偏见或歧视</w:t>
            </w:r>
          </w:p>
        </w:tc>
        <w:tc>
          <w:tcPr>
            <w:tcW w:w="412" w:type="pct"/>
            <w:tcBorders>
              <w:top w:val="nil"/>
              <w:left w:val="nil"/>
              <w:bottom w:val="single" w:color="000000" w:sz="12" w:space="0"/>
              <w:right w:val="nil"/>
            </w:tcBorders>
            <w:shd w:val="clear" w:color="auto" w:fill="FFFFFF"/>
          </w:tcPr>
          <w:p w14:paraId="450299C9">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20</w:t>
            </w:r>
          </w:p>
        </w:tc>
        <w:tc>
          <w:tcPr>
            <w:tcW w:w="409" w:type="pct"/>
            <w:tcBorders>
              <w:top w:val="nil"/>
              <w:left w:val="nil"/>
              <w:bottom w:val="single" w:color="000000" w:sz="12" w:space="0"/>
              <w:right w:val="nil"/>
            </w:tcBorders>
            <w:shd w:val="clear" w:color="auto" w:fill="FFFFFF"/>
          </w:tcPr>
          <w:p w14:paraId="0CB61A2E">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20</w:t>
            </w:r>
          </w:p>
        </w:tc>
        <w:tc>
          <w:tcPr>
            <w:tcW w:w="574" w:type="pct"/>
            <w:tcBorders>
              <w:top w:val="nil"/>
              <w:left w:val="nil"/>
              <w:bottom w:val="single" w:color="000000" w:sz="12" w:space="0"/>
              <w:right w:val="nil"/>
            </w:tcBorders>
            <w:shd w:val="clear" w:color="auto" w:fill="FFFFFF"/>
          </w:tcPr>
          <w:p w14:paraId="1BCD8763">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19—20</w:t>
            </w:r>
          </w:p>
        </w:tc>
        <w:tc>
          <w:tcPr>
            <w:tcW w:w="770" w:type="pct"/>
            <w:tcBorders>
              <w:top w:val="nil"/>
              <w:left w:val="nil"/>
              <w:bottom w:val="single" w:color="000000" w:sz="12" w:space="0"/>
              <w:right w:val="nil"/>
            </w:tcBorders>
            <w:shd w:val="clear" w:color="auto" w:fill="FFFFFF"/>
          </w:tcPr>
          <w:p w14:paraId="19E644E1">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0.0%</w:t>
            </w:r>
          </w:p>
        </w:tc>
        <w:tc>
          <w:tcPr>
            <w:tcW w:w="797" w:type="pct"/>
            <w:tcBorders>
              <w:top w:val="nil"/>
              <w:left w:val="nil"/>
              <w:bottom w:val="single" w:color="000000" w:sz="12" w:space="0"/>
              <w:right w:val="nil"/>
            </w:tcBorders>
            <w:shd w:val="clear" w:color="auto" w:fill="FFFFFF"/>
          </w:tcPr>
          <w:p w14:paraId="02CED8F8">
            <w:pPr>
              <w:keepNext w:val="0"/>
              <w:keepLines w:val="0"/>
              <w:pageBreakBefore w:val="0"/>
              <w:widowControl/>
              <w:suppressAutoHyphen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b w:val="0"/>
                <w:color w:val="000000"/>
                <w:kern w:val="0"/>
                <w:sz w:val="21"/>
                <w:szCs w:val="21"/>
                <w:lang w:eastAsia="en-US"/>
              </w:rPr>
            </w:pPr>
            <w:r>
              <w:rPr>
                <w:rFonts w:ascii="Times New Roman" w:hAnsi="Times New Roman" w:eastAsia="宋体" w:cs="宋体"/>
                <w:b w:val="0"/>
                <w:color w:val="000000"/>
                <w:kern w:val="0"/>
                <w:sz w:val="21"/>
                <w:szCs w:val="21"/>
                <w:lang w:eastAsia="en-US"/>
              </w:rPr>
              <w:t>常规监测</w:t>
            </w:r>
          </w:p>
        </w:tc>
      </w:tr>
    </w:tbl>
    <w:p w14:paraId="784A36C8">
      <w:pPr>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F1115"/>
          <w:kern w:val="0"/>
          <w:sz w:val="24"/>
          <w:szCs w:val="24"/>
          <w:shd w:val="clear" w:color="auto" w:fill="FFFFFF"/>
        </w:rPr>
      </w:pPr>
      <w:r>
        <w:rPr>
          <w:rFonts w:ascii="Times New Roman" w:hAnsi="Times New Roman" w:eastAsia="宋体" w:cs="Times New Roman"/>
          <w:color w:val="0F1115"/>
          <w:kern w:val="0"/>
          <w:sz w:val="24"/>
          <w:szCs w:val="24"/>
          <w:shd w:val="clear" w:color="auto" w:fill="FFFFFF"/>
        </w:rPr>
        <w:t>1200个联合情景结果显示</w:t>
      </w:r>
      <w:r>
        <w:rPr>
          <w:rFonts w:hint="eastAsia" w:ascii="Times New Roman" w:hAnsi="Times New Roman" w:eastAsia="宋体" w:cs="Times New Roman"/>
          <w:color w:val="0F1115"/>
          <w:kern w:val="0"/>
          <w:sz w:val="24"/>
          <w:szCs w:val="24"/>
          <w:shd w:val="clear" w:color="auto" w:fill="FFFFFF"/>
        </w:rPr>
        <w:t>，</w:t>
      </w:r>
      <w:r>
        <w:rPr>
          <w:rFonts w:ascii="Times New Roman" w:hAnsi="Times New Roman" w:eastAsia="宋体" w:cs="Times New Roman"/>
          <w:color w:val="0F1115"/>
          <w:kern w:val="0"/>
          <w:sz w:val="24"/>
          <w:szCs w:val="24"/>
          <w:shd w:val="clear" w:color="auto" w:fill="FFFFFF"/>
        </w:rPr>
        <w:t>ERS模型在多项参数同时变化时仍能保持较稳定的整体分层结构。基准排名前四的评价单元进入Top5的比例分别为97.0%、92.8%、89.8%和84.2%，说明高优先级风险具有较强的稳定性。相比之下，基准排名第五的评价单元进入Top5的比例降至54.1%，表明临界位置更容易受到参数组合变化的影响。部分中后位评价单元的排名区间较宽，但进入Top5的概率总体较低。因此，模型能够较稳定地识别核心高优先级风险，但对于处于排名边界或中间位置的评价单元，不宜仅依据单一基准排名作出判断，还应结合排名区间和Top5进入率进行综合分析。</w:t>
      </w:r>
    </w:p>
    <w:p w14:paraId="494FFC94">
      <w:pPr>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rPr>
      </w:pPr>
      <w:r>
        <w:rPr>
          <w:rFonts w:ascii="Times New Roman" w:hAnsi="Times New Roman" w:eastAsia="宋体"/>
        </w:rPr>
        <w:br w:type="page"/>
      </w:r>
    </w:p>
    <w:p w14:paraId="1D0C1B81">
      <w:pPr>
        <w:pStyle w:val="3"/>
        <w:bidi w:val="0"/>
        <w:rPr>
          <w:rFonts w:hint="default" w:ascii="Times New Roman" w:hAnsi="Times New Roman" w:eastAsia="宋体"/>
          <w:lang w:val="en-US"/>
        </w:rPr>
      </w:pPr>
      <w:bookmarkStart w:id="16" w:name="_Toc10624"/>
      <w:r>
        <w:rPr>
          <w:rFonts w:hint="eastAsia" w:ascii="Times New Roman" w:hAnsi="Times New Roman" w:eastAsia="宋体"/>
          <w:lang w:val="en-US" w:eastAsia="zh-CN"/>
        </w:rPr>
        <w:t>四、</w:t>
      </w:r>
      <w:r>
        <w:rPr>
          <w:rFonts w:hint="eastAsia"/>
          <w:lang w:val="en-US" w:eastAsia="zh-CN"/>
        </w:rPr>
        <w:t>科创企业AI伦理风险评估</w:t>
      </w:r>
      <w:bookmarkEnd w:id="16"/>
    </w:p>
    <w:p w14:paraId="4D830B83">
      <w:pPr>
        <w:pStyle w:val="4"/>
        <w:bidi w:val="0"/>
        <w:rPr>
          <w:rFonts w:ascii="Times New Roman" w:hAnsi="Times New Roman" w:eastAsia="宋体"/>
        </w:rPr>
      </w:pPr>
      <w:bookmarkStart w:id="17" w:name="_Toc28247"/>
      <w:r>
        <w:rPr>
          <w:rFonts w:hint="eastAsia" w:ascii="Times New Roman" w:hAnsi="Times New Roman" w:eastAsia="宋体"/>
          <w:lang w:eastAsia="zh-CN"/>
        </w:rPr>
        <w:t>（</w:t>
      </w:r>
      <w:r>
        <w:rPr>
          <w:rFonts w:hint="eastAsia" w:ascii="Times New Roman" w:hAnsi="Times New Roman" w:eastAsia="宋体"/>
          <w:lang w:val="en-US" w:eastAsia="zh-CN"/>
        </w:rPr>
        <w:t>一</w:t>
      </w:r>
      <w:r>
        <w:rPr>
          <w:rFonts w:hint="eastAsia" w:ascii="Times New Roman" w:hAnsi="Times New Roman" w:eastAsia="宋体"/>
          <w:lang w:eastAsia="zh-CN"/>
        </w:rPr>
        <w:t>）</w:t>
      </w:r>
      <w:r>
        <w:rPr>
          <w:rFonts w:ascii="Times New Roman" w:hAnsi="Times New Roman" w:eastAsia="宋体"/>
        </w:rPr>
        <w:t>分析框架与问题设定</w:t>
      </w:r>
      <w:bookmarkEnd w:id="17"/>
    </w:p>
    <w:p w14:paraId="0CD3CBCC">
      <w:pPr>
        <w:bidi w:val="0"/>
      </w:pPr>
      <w:r>
        <w:t>前文已构建</w:t>
      </w:r>
      <w:r>
        <w:rPr>
          <w:rFonts w:hint="eastAsia"/>
          <w:lang w:val="en-US" w:eastAsia="zh-CN"/>
        </w:rPr>
        <w:t>AI</w:t>
      </w:r>
      <w:r>
        <w:t>伦理风险评分模型，并给出</w:t>
      </w:r>
      <w:r>
        <w:rPr>
          <w:rFonts w:hint="eastAsia"/>
        </w:rPr>
        <w:t>了</w:t>
      </w:r>
      <w:r>
        <w:t>四个应用领域、五类伦理风险共20个评价单元的评分排序。本章</w:t>
      </w:r>
      <w:r>
        <w:rPr>
          <w:rFonts w:hint="eastAsia"/>
        </w:rPr>
        <w:t>聚焦</w:t>
      </w:r>
      <w:r>
        <w:rPr>
          <w:rFonts w:hint="eastAsia"/>
          <w:lang w:val="en-US" w:eastAsia="zh-CN"/>
        </w:rPr>
        <w:t>科创企业</w:t>
      </w:r>
      <w:r>
        <w:rPr>
          <w:rFonts w:hint="eastAsia"/>
        </w:rPr>
        <w:t>，</w:t>
      </w:r>
      <w:r>
        <w:rPr>
          <w:rFonts w:hint="eastAsia"/>
          <w:lang w:val="en-US" w:eastAsia="zh-CN"/>
        </w:rPr>
        <w:t>评估科创企业的AI伦理风险，以</w:t>
      </w:r>
      <w:r>
        <w:t>企业AI专利布局与年报AI</w:t>
      </w:r>
      <w:r>
        <w:rPr>
          <w:rFonts w:hint="eastAsia"/>
        </w:rPr>
        <w:t>关键词</w:t>
      </w:r>
      <w:r>
        <w:t>为切入点，构造</w:t>
      </w:r>
      <w:r>
        <w:rPr>
          <w:rFonts w:hint="eastAsia"/>
          <w:lang w:eastAsia="zh-CN"/>
        </w:rPr>
        <w:t>“</w:t>
      </w:r>
      <w:r>
        <w:t>暴露倍数</w:t>
      </w:r>
      <w:r>
        <w:rPr>
          <w:rFonts w:hint="eastAsia"/>
          <w:lang w:eastAsia="zh-CN"/>
        </w:rPr>
        <w:t>”</w:t>
      </w:r>
      <w:r>
        <w:t>与</w:t>
      </w:r>
      <w:r>
        <w:rPr>
          <w:rFonts w:hint="eastAsia"/>
          <w:lang w:eastAsia="zh-CN"/>
        </w:rPr>
        <w:t>“</w:t>
      </w:r>
      <w:r>
        <w:t>企业综合ERS</w:t>
      </w:r>
      <w:r>
        <w:rPr>
          <w:rFonts w:hint="eastAsia"/>
          <w:lang w:eastAsia="zh-CN"/>
        </w:rPr>
        <w:t>”</w:t>
      </w:r>
      <w:r>
        <w:t>两个企业级指标，前者衡量企业相对行业平均水平的</w:t>
      </w:r>
      <w:r>
        <w:rPr>
          <w:rFonts w:hint="eastAsia"/>
        </w:rPr>
        <w:t>风险</w:t>
      </w:r>
      <w:r>
        <w:rPr>
          <w:rFonts w:hint="eastAsia"/>
          <w:lang w:val="en-US" w:eastAsia="zh-CN"/>
        </w:rPr>
        <w:t>暴露</w:t>
      </w:r>
      <w:r>
        <w:rPr>
          <w:rFonts w:hint="eastAsia"/>
        </w:rPr>
        <w:t>频率</w:t>
      </w:r>
      <w:r>
        <w:t>，后者衡量企业的伦理风险等级；再以二者为坐标轴进行四象限划分，</w:t>
      </w:r>
      <w:r>
        <w:rPr>
          <w:rFonts w:hint="eastAsia"/>
        </w:rPr>
        <w:t>识别出</w:t>
      </w:r>
      <w:r>
        <w:rPr>
          <w:rFonts w:hint="eastAsia"/>
          <w:lang w:val="en-US" w:eastAsia="zh-CN"/>
        </w:rPr>
        <w:t>高/低</w:t>
      </w:r>
      <w:r>
        <w:rPr>
          <w:rFonts w:hint="eastAsia"/>
        </w:rPr>
        <w:t>频风险暴露</w:t>
      </w:r>
      <w:r>
        <w:rPr>
          <w:rFonts w:hint="eastAsia"/>
          <w:lang w:eastAsia="zh-CN"/>
        </w:rPr>
        <w:t>、</w:t>
      </w:r>
      <w:r>
        <w:rPr>
          <w:rFonts w:hint="eastAsia"/>
        </w:rPr>
        <w:t>高</w:t>
      </w:r>
      <w:r>
        <w:rPr>
          <w:rFonts w:hint="eastAsia"/>
          <w:lang w:val="en-US" w:eastAsia="zh-CN"/>
        </w:rPr>
        <w:t>/低</w:t>
      </w:r>
      <w:r>
        <w:rPr>
          <w:rFonts w:hint="eastAsia"/>
        </w:rPr>
        <w:t>损失强度</w:t>
      </w:r>
      <w:r>
        <w:rPr>
          <w:rFonts w:hint="eastAsia"/>
          <w:lang w:val="en-US" w:eastAsia="zh-CN"/>
        </w:rPr>
        <w:t>AI</w:t>
      </w:r>
      <w:r>
        <w:rPr>
          <w:rFonts w:hint="eastAsia"/>
        </w:rPr>
        <w:t>伦理风</w:t>
      </w:r>
      <w:r>
        <w:rPr>
          <w:rFonts w:hint="eastAsia"/>
          <w:lang w:val="en-US" w:eastAsia="zh-CN"/>
        </w:rPr>
        <w:t>险</w:t>
      </w:r>
      <w:r>
        <w:rPr>
          <w:rFonts w:hint="eastAsia"/>
        </w:rPr>
        <w:t>的企业</w:t>
      </w:r>
      <w:r>
        <w:rPr>
          <w:rFonts w:hint="eastAsia"/>
          <w:lang w:eastAsia="zh-CN"/>
        </w:rPr>
        <w:t>，</w:t>
      </w:r>
      <w:r>
        <w:rPr>
          <w:rFonts w:hint="eastAsia"/>
          <w:lang w:val="en-US" w:eastAsia="zh-CN"/>
        </w:rPr>
        <w:t>从而有针对性地对科创企业AI伦理风险进行管理</w:t>
      </w:r>
      <w:r>
        <w:t>。</w:t>
      </w:r>
    </w:p>
    <w:p w14:paraId="1EB70CC0">
      <w:pPr>
        <w:pStyle w:val="4"/>
        <w:bidi w:val="0"/>
        <w:rPr>
          <w:rFonts w:ascii="Times New Roman" w:hAnsi="Times New Roman" w:eastAsia="宋体"/>
        </w:rPr>
      </w:pPr>
      <w:bookmarkStart w:id="18" w:name="_Toc22078"/>
      <w:r>
        <w:rPr>
          <w:rFonts w:hint="eastAsia" w:ascii="Times New Roman" w:hAnsi="Times New Roman" w:eastAsia="宋体"/>
          <w:lang w:eastAsia="zh-CN"/>
        </w:rPr>
        <w:t>（</w:t>
      </w:r>
      <w:r>
        <w:rPr>
          <w:rFonts w:hint="eastAsia"/>
          <w:lang w:val="en-US" w:eastAsia="zh-CN"/>
        </w:rPr>
        <w:t>二</w:t>
      </w:r>
      <w:r>
        <w:rPr>
          <w:rFonts w:hint="eastAsia" w:ascii="Times New Roman" w:hAnsi="Times New Roman" w:eastAsia="宋体"/>
          <w:lang w:eastAsia="zh-CN"/>
        </w:rPr>
        <w:t>）</w:t>
      </w:r>
      <w:r>
        <w:rPr>
          <w:rFonts w:hint="eastAsia"/>
          <w:lang w:val="en-US" w:eastAsia="zh-CN"/>
        </w:rPr>
        <w:t>科创企业风险评估</w:t>
      </w:r>
      <w:r>
        <w:rPr>
          <w:rFonts w:ascii="Times New Roman" w:hAnsi="Times New Roman" w:eastAsia="宋体"/>
        </w:rPr>
        <w:t>指标构造</w:t>
      </w:r>
      <w:bookmarkEnd w:id="18"/>
    </w:p>
    <w:p w14:paraId="2BAC70EF">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ascii="Times New Roman" w:hAnsi="Times New Roman" w:eastAsia="宋体"/>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1．</w:t>
      </w:r>
      <w:r>
        <w:rPr>
          <w:rFonts w:hint="eastAsia"/>
          <w:lang w:val="en-US" w:eastAsia="zh-CN"/>
        </w:rPr>
        <w:t>风险发生频率指标</w:t>
      </w:r>
      <w:r>
        <w:rPr>
          <w:rFonts w:ascii="Times New Roman" w:hAnsi="Times New Roman" w:eastAsia="宋体"/>
        </w:rPr>
        <w:t>的构造</w:t>
      </w:r>
    </w:p>
    <w:p w14:paraId="73E90C06">
      <w:pPr>
        <w:bidi w:val="0"/>
        <w:rPr>
          <w:rFonts w:hint="eastAsia" w:eastAsia="宋体"/>
          <w:lang w:eastAsia="zh-CN"/>
        </w:rPr>
      </w:pPr>
      <w:r>
        <w:rPr>
          <w:rFonts w:hint="eastAsia"/>
          <w:lang w:eastAsia="zh-CN"/>
        </w:rPr>
        <w:t>“</w:t>
      </w:r>
      <w:r>
        <w:t>暴露倍数</w:t>
      </w:r>
      <w:r>
        <w:rPr>
          <w:rFonts w:hint="eastAsia"/>
          <w:lang w:eastAsia="zh-CN"/>
        </w:rPr>
        <w:t>”</w:t>
      </w:r>
      <w:r>
        <w:t>衡量企业相对行业平均水平的AI</w:t>
      </w:r>
      <w:r>
        <w:rPr>
          <w:rFonts w:hint="eastAsia"/>
        </w:rPr>
        <w:t>风险频率</w:t>
      </w:r>
      <w:r>
        <w:t>，由专利与词频两个维度</w:t>
      </w:r>
      <w:r>
        <w:rPr>
          <w:rFonts w:hint="eastAsia"/>
          <w:lang w:val="en-US" w:eastAsia="zh-CN"/>
        </w:rPr>
        <w:t>加权</w:t>
      </w:r>
      <w:r>
        <w:t>合成。以企业AI专利密度刻画其AI相关专利的密集程度</w:t>
      </w:r>
      <w:r>
        <w:rPr>
          <w:rFonts w:hint="eastAsia"/>
        </w:rPr>
        <w:t>，</w:t>
      </w:r>
      <w:r>
        <w:t>以企业词频强度刻画</w:t>
      </w:r>
      <w:r>
        <w:rPr>
          <w:rFonts w:hint="eastAsia"/>
        </w:rPr>
        <w:t>其</w:t>
      </w:r>
      <w:r>
        <w:t>AI的</w:t>
      </w:r>
      <w:r>
        <w:rPr>
          <w:rFonts w:hint="eastAsia"/>
        </w:rPr>
        <w:t>布局</w:t>
      </w:r>
      <w:r>
        <w:t>程度。引入双维度，是为了兼顾</w:t>
      </w:r>
      <w:r>
        <w:rPr>
          <w:rFonts w:hint="eastAsia"/>
        </w:rPr>
        <w:t>企业主观与客观的AI布局情况</w:t>
      </w:r>
      <w:r>
        <w:rPr>
          <w:rFonts w:hint="eastAsia"/>
          <w:lang w:eastAsia="zh-CN"/>
        </w:rPr>
        <w:t>。</w:t>
      </w:r>
      <w:r>
        <w:rPr>
          <w:rFonts w:hint="eastAsia"/>
          <w:lang w:val="en-US" w:eastAsia="zh-CN"/>
        </w:rPr>
        <w:t>因</w:t>
      </w:r>
      <w:r>
        <w:rPr>
          <w:rFonts w:hint="eastAsia"/>
        </w:rPr>
        <w:t>词频数据能及时反映企业当前的AI应用意愿和战略部署，在衡量“风险发生频率”上更具时效优势</w:t>
      </w:r>
      <w:r>
        <w:rPr>
          <w:rFonts w:hint="eastAsia"/>
          <w:lang w:eastAsia="zh-CN"/>
        </w:rPr>
        <w:t>，</w:t>
      </w:r>
      <w:r>
        <w:rPr>
          <w:rFonts w:hint="eastAsia"/>
          <w:lang w:val="en-US" w:eastAsia="zh-CN"/>
        </w:rPr>
        <w:t>设定</w:t>
      </w:r>
      <w:r>
        <w:t>词频权重0.7、专利权重0.3</w:t>
      </w:r>
      <w:r>
        <w:rPr>
          <w:rFonts w:hint="eastAsia"/>
          <w:lang w:eastAsia="zh-CN"/>
        </w:rPr>
        <w:t>。</w:t>
      </w:r>
    </w:p>
    <w:p w14:paraId="5BC5F94A">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t>企业AI专利密度=重点领域专利总数÷专利总数</w:t>
      </w:r>
      <w:r>
        <w:tab/>
      </w:r>
      <w:r>
        <w:t>(4-1)</w:t>
      </w:r>
    </w:p>
    <w:p w14:paraId="14CA6109">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t>专利暴露倍数=企业AI专利密度÷行业平均AI专利密度</w:t>
      </w:r>
      <w:r>
        <w:rPr>
          <w:rFonts w:hint="eastAsia"/>
          <w:lang w:eastAsia="zh-CN"/>
        </w:rPr>
        <w:t>（</w:t>
      </w:r>
      <w:r>
        <w:t>4-2)</w:t>
      </w:r>
    </w:p>
    <w:p w14:paraId="2478235C">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rPr>
        <w:t>企业AI</w:t>
      </w:r>
      <w:r>
        <w:t>词频强度=年报AI总词频÷年报总词数</w:t>
      </w:r>
      <w:r>
        <w:tab/>
      </w:r>
      <w:r>
        <w:t>(4-3)</w:t>
      </w:r>
    </w:p>
    <w:p w14:paraId="5493EAC8">
      <w:pPr>
        <w:bidi w:val="0"/>
        <w:jc w:val="center"/>
      </w:pPr>
      <w:r>
        <w:t>词频暴露倍数=企业</w:t>
      </w:r>
      <w:r>
        <w:rPr>
          <w:rFonts w:hint="eastAsia"/>
        </w:rPr>
        <w:t>AI</w:t>
      </w:r>
      <w:r>
        <w:t>词频强度÷行业平均</w:t>
      </w:r>
      <w:r>
        <w:rPr>
          <w:rFonts w:hint="eastAsia"/>
        </w:rPr>
        <w:t>AI</w:t>
      </w:r>
      <w:r>
        <w:t>词频强度</w:t>
      </w:r>
      <w:r>
        <w:rPr>
          <w:rFonts w:hint="eastAsia"/>
          <w:lang w:eastAsia="zh-CN"/>
        </w:rPr>
        <w:t>（</w:t>
      </w:r>
      <w:r>
        <w:t>4-4)</w:t>
      </w:r>
    </w:p>
    <w:p w14:paraId="26E0B88E">
      <w:pPr>
        <w:bidi w:val="0"/>
        <w:jc w:val="center"/>
        <w:rPr>
          <w:rFonts w:ascii="Times New Roman" w:hAnsi="Times New Roman" w:eastAsia="宋体"/>
          <w:i/>
          <w:iCs/>
          <w:szCs w:val="21"/>
        </w:rPr>
      </w:pPr>
      <w:r>
        <w:t>暴露倍数=0.</w:t>
      </w:r>
      <w:r>
        <w:rPr>
          <w:rFonts w:hint="eastAsia"/>
          <w:lang w:val="en-US" w:eastAsia="zh-CN"/>
        </w:rPr>
        <w:t>3</w:t>
      </w:r>
      <w:r>
        <w:t>×专利暴露倍数+0.</w:t>
      </w:r>
      <w:r>
        <w:rPr>
          <w:rFonts w:hint="eastAsia"/>
          <w:lang w:val="en-US" w:eastAsia="zh-CN"/>
        </w:rPr>
        <w:t>7</w:t>
      </w:r>
      <w:r>
        <w:t>×词频暴露倍数</w:t>
      </w:r>
      <w:r>
        <w:tab/>
      </w:r>
      <w:r>
        <w:t>(4-5)</w:t>
      </w:r>
    </w:p>
    <w:p w14:paraId="2A567631">
      <w:pPr>
        <w:bidi w:val="0"/>
      </w:pPr>
      <w:r>
        <w:t>其中，行业平均AI专利密度为全样本重点领域专利总数与专利总数之比；企业词频强度按企业可获得的全部年份先逐年计算</w:t>
      </w:r>
      <w:r>
        <w:rPr>
          <w:rFonts w:hint="eastAsia"/>
        </w:rPr>
        <w:t>，</w:t>
      </w:r>
      <w:r>
        <w:t>再跨年份平均。</w:t>
      </w:r>
    </w:p>
    <w:p w14:paraId="0BB4E2BB">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ascii="Times New Roman" w:hAnsi="Times New Roman" w:eastAsia="宋体"/>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2．</w:t>
      </w:r>
      <w:r>
        <w:rPr>
          <w:rFonts w:hint="eastAsia"/>
          <w:lang w:val="en-US" w:eastAsia="zh-CN"/>
        </w:rPr>
        <w:t>损失程度指标</w:t>
      </w:r>
      <w:r>
        <w:rPr>
          <w:rFonts w:ascii="Times New Roman" w:hAnsi="Times New Roman" w:eastAsia="宋体"/>
        </w:rPr>
        <w:t>的构造</w:t>
      </w:r>
    </w:p>
    <w:p w14:paraId="77BB218D">
      <w:pPr>
        <w:bidi w:val="0"/>
        <w:rPr>
          <w:rFonts w:hint="default" w:ascii="Times New Roman" w:hAnsi="Times New Roman" w:eastAsia="宋体"/>
          <w:lang w:val="en-US" w:eastAsia="zh-CN"/>
        </w:rPr>
      </w:pPr>
      <w:r>
        <w:t>专利ERS按企业AI专利组合在各领域的占比、以各领域ERS均值加权求和，反映企业在</w:t>
      </w:r>
      <w:r>
        <w:rPr>
          <w:rFonts w:hint="eastAsia"/>
        </w:rPr>
        <w:t>各</w:t>
      </w:r>
      <w:r>
        <w:t>风险领域的专利布局结构；</w:t>
      </w:r>
      <w:r>
        <w:rPr>
          <w:rFonts w:hint="eastAsia"/>
        </w:rPr>
        <w:t>AI</w:t>
      </w:r>
      <w:r>
        <w:t>词频ERS对企业整体词频暴露倍数做对数压缩后</w:t>
      </w:r>
      <w:r>
        <w:rPr>
          <w:rFonts w:hint="eastAsia"/>
        </w:rPr>
        <w:t>，</w:t>
      </w:r>
      <w:r>
        <w:t>映射到行业平均风险，反映企业整体</w:t>
      </w:r>
      <w:r>
        <w:rPr>
          <w:rFonts w:hint="eastAsia"/>
        </w:rPr>
        <w:t>的</w:t>
      </w:r>
      <w:r>
        <w:t>AI强度</w:t>
      </w:r>
      <w:r>
        <w:rPr>
          <w:rFonts w:hint="eastAsia"/>
        </w:rPr>
        <w:t>。</w:t>
      </w:r>
      <w:r>
        <w:rPr>
          <w:rFonts w:hint="eastAsia"/>
          <w:lang w:val="en-US" w:eastAsia="zh-CN"/>
        </w:rPr>
        <w:t>因</w:t>
      </w:r>
      <w:r>
        <w:rPr>
          <w:rFonts w:hint="eastAsia"/>
        </w:rPr>
        <w:t>专利数据能通过IPC分类号精确刻画企业的技术领域结构，与各领域的ERS基准评分精确匹配，在衡量“风险严重性”上精度更高</w:t>
      </w:r>
      <w:r>
        <w:rPr>
          <w:rFonts w:hint="eastAsia"/>
          <w:lang w:eastAsia="zh-CN"/>
        </w:rPr>
        <w:t>，</w:t>
      </w:r>
      <w:r>
        <w:rPr>
          <w:rFonts w:hint="eastAsia"/>
          <w:lang w:val="en-US" w:eastAsia="zh-CN"/>
        </w:rPr>
        <w:t>设定专利权重0.7、词频权重0.3。</w:t>
      </w:r>
    </w:p>
    <w:p w14:paraId="77BE2128">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rPr>
        <w:t>AI</w:t>
      </w:r>
      <w:r>
        <w:t>专利ERS=Σ（领域专利占比×该领域ERS均值）</w:t>
      </w:r>
      <w:r>
        <w:tab/>
      </w:r>
      <w:r>
        <w:t>(4-6)</w:t>
      </w:r>
    </w:p>
    <w:p w14:paraId="3D06A881">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rPr>
        <w:t>AI</w:t>
      </w:r>
      <w:r>
        <w:t>词频ERS=ln</w:t>
      </w:r>
      <w:r>
        <w:rPr>
          <w:rFonts w:hint="eastAsia"/>
          <w:lang w:eastAsia="zh-CN"/>
        </w:rPr>
        <w:t>（</w:t>
      </w:r>
      <w:r>
        <w:t>1+词频暴露倍数</w:t>
      </w:r>
      <w:r>
        <w:rPr>
          <w:rFonts w:hint="eastAsia"/>
          <w:lang w:eastAsia="zh-CN"/>
        </w:rPr>
        <w:t>）</w:t>
      </w:r>
      <w:r>
        <w:t>/ln</w:t>
      </w:r>
      <w:r>
        <w:rPr>
          <w:rFonts w:hint="eastAsia"/>
          <w:lang w:eastAsia="zh-CN"/>
        </w:rPr>
        <w:t>（</w:t>
      </w:r>
      <w:r>
        <w:t>1+max词频暴露倍数</w:t>
      </w:r>
      <w:r>
        <w:rPr>
          <w:rFonts w:hint="eastAsia"/>
          <w:lang w:eastAsia="zh-CN"/>
        </w:rPr>
        <w:t>）</w:t>
      </w:r>
      <w:r>
        <w:t>×行业平均ERS</w:t>
      </w:r>
      <w:r>
        <w:tab/>
      </w:r>
      <w:r>
        <w:t>(4-7)</w:t>
      </w:r>
    </w:p>
    <w:p w14:paraId="1484D009">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t>企业综合ERS=0.</w:t>
      </w:r>
      <w:r>
        <w:rPr>
          <w:rFonts w:hint="eastAsia"/>
          <w:lang w:val="en-US" w:eastAsia="zh-CN"/>
        </w:rPr>
        <w:t>7</w:t>
      </w:r>
      <w:r>
        <w:t>×专利ERS+0.</w:t>
      </w:r>
      <w:r>
        <w:rPr>
          <w:rFonts w:hint="eastAsia"/>
          <w:lang w:val="en-US" w:eastAsia="zh-CN"/>
        </w:rPr>
        <w:t>3</w:t>
      </w:r>
      <w:r>
        <w:t>×词频ERS</w:t>
      </w:r>
      <w:r>
        <w:tab/>
      </w:r>
      <w:r>
        <w:t>(4-8)</w:t>
      </w:r>
    </w:p>
    <w:p w14:paraId="54E67CA2">
      <w:pPr>
        <w:bidi w:val="0"/>
      </w:pPr>
      <w:r>
        <w:t>之所以对词频维度做对数压缩，是因为词频暴露倍数分布高度右偏，若不压缩，个别极端值会主导企业综合ERS的排序；取对数后再归一，能把量级</w:t>
      </w:r>
      <w:r>
        <w:rPr>
          <w:rFonts w:hint="eastAsia"/>
        </w:rPr>
        <w:t>上的</w:t>
      </w:r>
      <w:r>
        <w:t>差异转为档位</w:t>
      </w:r>
      <w:r>
        <w:rPr>
          <w:rFonts w:hint="eastAsia"/>
        </w:rPr>
        <w:t>上的</w:t>
      </w:r>
      <w:r>
        <w:t>差异。式中</w:t>
      </w:r>
      <w:r>
        <w:rPr>
          <w:rFonts w:hint="eastAsia"/>
        </w:rPr>
        <w:t>的</w:t>
      </w:r>
      <w:r>
        <w:t>行业平均ERS为20个</w:t>
      </w:r>
      <w:r>
        <w:rPr>
          <w:rFonts w:hint="eastAsia"/>
        </w:rPr>
        <w:t>“</w:t>
      </w:r>
      <w:r>
        <w:t>领域—风险</w:t>
      </w:r>
      <w:r>
        <w:rPr>
          <w:rFonts w:hint="eastAsia"/>
        </w:rPr>
        <w:t>”</w:t>
      </w:r>
      <w:r>
        <w:t>ERS的均值。</w:t>
      </w:r>
    </w:p>
    <w:p w14:paraId="198AE3F0">
      <w:pPr>
        <w:pStyle w:val="4"/>
        <w:bidi w:val="0"/>
        <w:rPr>
          <w:rFonts w:ascii="Times New Roman" w:hAnsi="Times New Roman" w:eastAsia="宋体"/>
        </w:rPr>
      </w:pPr>
      <w:bookmarkStart w:id="19" w:name="_Toc23152"/>
      <w:r>
        <w:rPr>
          <w:rFonts w:hint="eastAsia" w:ascii="Times New Roman" w:hAnsi="Times New Roman" w:eastAsia="宋体"/>
          <w:lang w:eastAsia="zh-CN"/>
        </w:rPr>
        <w:t>（</w:t>
      </w:r>
      <w:r>
        <w:rPr>
          <w:rFonts w:hint="eastAsia"/>
          <w:lang w:val="en-US" w:eastAsia="zh-CN"/>
        </w:rPr>
        <w:t>三</w:t>
      </w:r>
      <w:r>
        <w:rPr>
          <w:rFonts w:hint="eastAsia" w:ascii="Times New Roman" w:hAnsi="Times New Roman" w:eastAsia="宋体"/>
          <w:lang w:eastAsia="zh-CN"/>
        </w:rPr>
        <w:t>）</w:t>
      </w:r>
      <w:r>
        <w:rPr>
          <w:rFonts w:ascii="Times New Roman" w:hAnsi="Times New Roman" w:eastAsia="宋体"/>
        </w:rPr>
        <w:t>数据来源与描述性统计</w:t>
      </w:r>
      <w:bookmarkEnd w:id="19"/>
    </w:p>
    <w:p w14:paraId="1BFF97B2">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ascii="Times New Roman" w:hAnsi="Times New Roman" w:eastAsia="宋体"/>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1．</w:t>
      </w:r>
      <w:r>
        <w:rPr>
          <w:rFonts w:ascii="Times New Roman" w:hAnsi="Times New Roman" w:eastAsia="宋体"/>
        </w:rPr>
        <w:t>样本与数据来源</w:t>
      </w:r>
    </w:p>
    <w:p w14:paraId="342B7915">
      <w:pPr>
        <w:bidi w:val="0"/>
      </w:pPr>
      <w:r>
        <w:rPr>
          <w:rFonts w:hint="eastAsia"/>
        </w:rPr>
        <w:t>本章的</w:t>
      </w:r>
      <w:r>
        <w:t>研究样本为</w:t>
      </w:r>
      <w:r>
        <w:rPr>
          <w:rFonts w:hint="eastAsia"/>
        </w:rPr>
        <w:t>随机抽取的14</w:t>
      </w:r>
      <w:r>
        <w:rPr>
          <w:rFonts w:hint="eastAsia"/>
          <w:lang w:val="en-US" w:eastAsia="zh-CN"/>
        </w:rPr>
        <w:t>6</w:t>
      </w:r>
      <w:r>
        <w:rPr>
          <w:rFonts w:hint="eastAsia"/>
        </w:rPr>
        <w:t>家</w:t>
      </w:r>
      <w:r>
        <w:t>科创板上市企业。企业专利数据来源于中知慧海知识产权大数据与智慧服务系统，共获取专利数据86602条，专利申请年份跨度为2006—2026年；企业年报AI词频数据来源于国泰安（CSMAR）数据库，</w:t>
      </w:r>
      <w:r>
        <w:rPr>
          <w:rFonts w:hint="eastAsia"/>
        </w:rPr>
        <w:t>时间区间为</w:t>
      </w:r>
      <w:r>
        <w:t>20</w:t>
      </w:r>
      <w:r>
        <w:rPr>
          <w:rFonts w:hint="eastAsia"/>
          <w:lang w:val="en-US" w:eastAsia="zh-CN"/>
        </w:rPr>
        <w:t>21</w:t>
      </w:r>
      <w:r>
        <w:t>—2025年。</w:t>
      </w:r>
    </w:p>
    <w:p w14:paraId="3050110C">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ascii="Times New Roman" w:hAnsi="Times New Roman" w:eastAsia="宋体"/>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2．</w:t>
      </w:r>
      <w:r>
        <w:rPr>
          <w:rFonts w:hint="eastAsia"/>
          <w:lang w:val="en-US" w:eastAsia="zh-CN"/>
        </w:rPr>
        <w:t>描述性统计</w:t>
      </w:r>
    </w:p>
    <w:p w14:paraId="6F915E26">
      <w:pPr>
        <w:bidi w:val="0"/>
        <w:rPr>
          <w:rFonts w:ascii="Times New Roman" w:hAnsi="Times New Roman" w:eastAsia="宋体"/>
        </w:rPr>
      </w:pPr>
      <w:r>
        <w:rPr>
          <w:rFonts w:hint="eastAsia"/>
        </w:rPr>
        <w:t>样本企业覆盖19个行业</w:t>
      </w:r>
      <w:r>
        <w:rPr>
          <w:rFonts w:hint="eastAsia"/>
          <w:lang w:eastAsia="zh-CN"/>
        </w:rPr>
        <w:t>，</w:t>
      </w:r>
      <w:r>
        <w:rPr>
          <w:rFonts w:hint="eastAsia"/>
          <w:lang w:val="en-US" w:eastAsia="zh-CN"/>
        </w:rPr>
        <w:t>见表4-1</w:t>
      </w:r>
      <w:r>
        <w:rPr>
          <w:rFonts w:hint="eastAsia"/>
        </w:rPr>
        <w:t>。行业分布高度集中：计算机、通信和其他电子设备制造业（</w:t>
      </w:r>
      <w:r>
        <w:rPr>
          <w:rFonts w:hint="eastAsia"/>
          <w:lang w:val="en-US" w:eastAsia="zh-CN"/>
        </w:rPr>
        <w:t>43</w:t>
      </w:r>
      <w:r>
        <w:rPr>
          <w:rFonts w:hint="eastAsia"/>
        </w:rPr>
        <w:t>家）与专用设备制造业（</w:t>
      </w:r>
      <w:r>
        <w:rPr>
          <w:rFonts w:hint="eastAsia"/>
          <w:lang w:val="en-US" w:eastAsia="zh-CN"/>
        </w:rPr>
        <w:t>37</w:t>
      </w:r>
      <w:r>
        <w:rPr>
          <w:rFonts w:hint="eastAsia"/>
        </w:rPr>
        <w:t>家）合计占比</w:t>
      </w:r>
      <w:r>
        <w:rPr>
          <w:rFonts w:hint="eastAsia"/>
          <w:lang w:val="en-US" w:eastAsia="zh-CN"/>
        </w:rPr>
        <w:t>过半</w:t>
      </w:r>
      <w:r>
        <w:rPr>
          <w:rFonts w:hint="eastAsia"/>
        </w:rPr>
        <w:t>，软件和信息技术服务业（</w:t>
      </w:r>
      <w:r>
        <w:rPr>
          <w:rFonts w:hint="eastAsia"/>
          <w:lang w:val="en-US" w:eastAsia="zh-CN"/>
        </w:rPr>
        <w:t>21</w:t>
      </w:r>
      <w:r>
        <w:rPr>
          <w:rFonts w:hint="eastAsia"/>
        </w:rPr>
        <w:t>家）次之，三者合计占</w:t>
      </w:r>
      <w:r>
        <w:rPr>
          <w:rFonts w:hint="eastAsia"/>
          <w:lang w:val="en-US" w:eastAsia="zh-CN"/>
        </w:rPr>
        <w:t>69.2</w:t>
      </w:r>
      <w:r>
        <w:rPr>
          <w:rFonts w:hint="eastAsia"/>
        </w:rPr>
        <w:t>%；其余行业各占1～</w:t>
      </w:r>
      <w:r>
        <w:rPr>
          <w:rFonts w:hint="eastAsia"/>
          <w:lang w:val="en-US" w:eastAsia="zh-CN"/>
        </w:rPr>
        <w:t>10</w:t>
      </w:r>
      <w:r>
        <w:rPr>
          <w:rFonts w:hint="eastAsia"/>
        </w:rPr>
        <w:t>家。整体呈现以电子信息与高端装备制造为主导、硬科技属性突出的特征。</w:t>
      </w:r>
    </w:p>
    <w:p w14:paraId="47D6677D">
      <w:pPr>
        <w:pageBreakBefore w:val="0"/>
        <w:widowControl/>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color w:val="0D0D0D" w:themeColor="text1" w:themeTint="F2"/>
          <w:sz w:val="21"/>
          <w:szCs w:val="20"/>
          <w:lang w:val="en-US" w:eastAsia="zh-CN"/>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sz w:val="21"/>
          <w:szCs w:val="18"/>
          <w14:textFill>
            <w14:solidFill>
              <w14:schemeClr w14:val="tx1">
                <w14:lumMod w14:val="95000"/>
                <w14:lumOff w14:val="5000"/>
              </w14:schemeClr>
            </w14:solidFill>
          </w14:textFill>
        </w:rPr>
        <w:t>表4-1样本企业</w:t>
      </w:r>
      <w:r>
        <w:rPr>
          <w:rFonts w:hint="eastAsia" w:cs="Times New Roman"/>
          <w:color w:val="0D0D0D" w:themeColor="text1" w:themeTint="F2"/>
          <w:sz w:val="21"/>
          <w:szCs w:val="18"/>
          <w:lang w:val="en-US" w:eastAsia="zh-CN"/>
          <w14:textFill>
            <w14:solidFill>
              <w14:schemeClr w14:val="tx1">
                <w14:lumMod w14:val="95000"/>
                <w14:lumOff w14:val="5000"/>
              </w14:schemeClr>
            </w14:solidFill>
          </w14:textFill>
        </w:rPr>
        <w:t>的</w:t>
      </w:r>
      <w:r>
        <w:rPr>
          <w:rFonts w:ascii="Times New Roman" w:hAnsi="Times New Roman" w:eastAsia="宋体" w:cs="Times New Roman"/>
          <w:color w:val="0D0D0D" w:themeColor="text1" w:themeTint="F2"/>
          <w:sz w:val="21"/>
          <w:szCs w:val="18"/>
          <w14:textFill>
            <w14:solidFill>
              <w14:schemeClr w14:val="tx1">
                <w14:lumMod w14:val="95000"/>
                <w14:lumOff w14:val="5000"/>
              </w14:schemeClr>
            </w14:solidFill>
          </w14:textFill>
        </w:rPr>
        <w:t>行业</w:t>
      </w:r>
      <w:r>
        <w:rPr>
          <w:rFonts w:hint="eastAsia" w:cs="Times New Roman"/>
          <w:color w:val="0D0D0D" w:themeColor="text1" w:themeTint="F2"/>
          <w:sz w:val="21"/>
          <w:szCs w:val="18"/>
          <w:lang w:val="en-US" w:eastAsia="zh-CN"/>
          <w14:textFill>
            <w14:solidFill>
              <w14:schemeClr w14:val="tx1">
                <w14:lumMod w14:val="95000"/>
                <w14:lumOff w14:val="5000"/>
              </w14:schemeClr>
            </w14:solidFill>
          </w14:textFill>
        </w:rPr>
        <w:t>分布</w:t>
      </w:r>
    </w:p>
    <w:tbl>
      <w:tblPr>
        <w:tblStyle w:val="44"/>
        <w:tblW w:w="4998" w:type="pct"/>
        <w:jc w:val="center"/>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11"/>
        <w:gridCol w:w="1735"/>
        <w:gridCol w:w="2238"/>
      </w:tblGrid>
      <w:tr w14:paraId="26E3CCCD">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0" w:type="pct"/>
            <w:tcBorders>
              <w:top w:val="single" w:color="000000" w:sz="12" w:space="0"/>
              <w:bottom w:val="single" w:color="000000" w:sz="4" w:space="0"/>
              <w:tl2br w:val="nil"/>
            </w:tcBorders>
            <w:shd w:val="clear" w:color="auto" w:fill="FFFFFF"/>
            <w:vAlign w:val="center"/>
          </w:tcPr>
          <w:p w14:paraId="574C1D3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b w:val="0"/>
                <w:color w:val="000000"/>
                <w:kern w:val="0"/>
                <w:sz w:val="21"/>
                <w:szCs w:val="21"/>
              </w:rPr>
            </w:pPr>
            <w:r>
              <w:rPr>
                <w:rFonts w:ascii="Times New Roman" w:hAnsi="Times New Roman" w:eastAsia="宋体" w:cs="Times New Roman"/>
                <w:b w:val="0"/>
                <w:color w:val="000000"/>
                <w:kern w:val="0"/>
                <w:sz w:val="21"/>
                <w:szCs w:val="21"/>
              </w:rPr>
              <w:t>行业名称</w:t>
            </w:r>
          </w:p>
        </w:tc>
        <w:tc>
          <w:tcPr>
            <w:tcW w:w="934" w:type="pct"/>
            <w:tcBorders>
              <w:top w:val="single" w:color="000000" w:sz="12" w:space="0"/>
              <w:bottom w:val="single" w:color="000000" w:sz="4" w:space="0"/>
            </w:tcBorders>
            <w:shd w:val="clear" w:color="auto" w:fill="FFFFFF"/>
            <w:vAlign w:val="center"/>
          </w:tcPr>
          <w:p w14:paraId="0B8BEB0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b w:val="0"/>
                <w:color w:val="000000"/>
                <w:kern w:val="0"/>
                <w:sz w:val="21"/>
                <w:szCs w:val="21"/>
              </w:rPr>
            </w:pPr>
            <w:r>
              <w:rPr>
                <w:rFonts w:ascii="Times New Roman" w:hAnsi="Times New Roman" w:eastAsia="宋体" w:cs="Times New Roman"/>
                <w:b w:val="0"/>
                <w:color w:val="000000"/>
                <w:kern w:val="0"/>
                <w:sz w:val="21"/>
                <w:szCs w:val="21"/>
              </w:rPr>
              <w:t>企业数</w:t>
            </w:r>
          </w:p>
        </w:tc>
        <w:tc>
          <w:tcPr>
            <w:tcW w:w="1205" w:type="pct"/>
            <w:tcBorders>
              <w:top w:val="single" w:color="000000" w:sz="12" w:space="0"/>
              <w:bottom w:val="single" w:color="000000" w:sz="4" w:space="0"/>
            </w:tcBorders>
            <w:shd w:val="clear" w:color="auto" w:fill="FFFFFF"/>
            <w:vAlign w:val="center"/>
          </w:tcPr>
          <w:p w14:paraId="3E5C83A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b w:val="0"/>
                <w:color w:val="000000"/>
                <w:kern w:val="0"/>
                <w:sz w:val="21"/>
                <w:szCs w:val="21"/>
              </w:rPr>
            </w:pPr>
            <w:r>
              <w:rPr>
                <w:rFonts w:ascii="Times New Roman" w:hAnsi="Times New Roman" w:eastAsia="宋体" w:cs="Times New Roman"/>
                <w:b w:val="0"/>
                <w:color w:val="000000"/>
                <w:kern w:val="0"/>
                <w:sz w:val="21"/>
                <w:szCs w:val="21"/>
              </w:rPr>
              <w:t>占比（%）</w:t>
            </w:r>
          </w:p>
        </w:tc>
      </w:tr>
      <w:tr w14:paraId="75BB6D47">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60" w:type="pct"/>
            <w:tcBorders>
              <w:top w:val="single" w:color="000000" w:sz="4" w:space="0"/>
            </w:tcBorders>
            <w:shd w:val="clear" w:color="auto" w:fill="FFFFFF"/>
            <w:vAlign w:val="center"/>
          </w:tcPr>
          <w:p w14:paraId="65343FB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b w:val="0"/>
                <w:color w:val="000000"/>
                <w:kern w:val="0"/>
                <w:sz w:val="21"/>
                <w:szCs w:val="21"/>
              </w:rPr>
            </w:pPr>
            <w:r>
              <w:rPr>
                <w:rFonts w:ascii="Times New Roman" w:hAnsi="Times New Roman" w:eastAsia="宋体" w:cs="Times New Roman"/>
                <w:b w:val="0"/>
                <w:color w:val="000000"/>
                <w:kern w:val="0"/>
                <w:sz w:val="21"/>
                <w:szCs w:val="21"/>
              </w:rPr>
              <w:t>计算机、通信和其他电子设备制造业</w:t>
            </w:r>
          </w:p>
        </w:tc>
        <w:tc>
          <w:tcPr>
            <w:tcW w:w="934" w:type="pct"/>
            <w:tcBorders>
              <w:top w:val="single" w:color="000000" w:sz="4" w:space="0"/>
            </w:tcBorders>
            <w:shd w:val="clear" w:color="auto" w:fill="FFFFFF"/>
            <w:vAlign w:val="center"/>
          </w:tcPr>
          <w:p w14:paraId="4341E0E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color w:val="000000"/>
                <w:kern w:val="0"/>
                <w:sz w:val="21"/>
                <w:szCs w:val="21"/>
                <w:lang w:val="en-US"/>
              </w:rPr>
            </w:pPr>
            <w:r>
              <w:rPr>
                <w:rFonts w:hint="eastAsia" w:ascii="Times New Roman" w:hAnsi="Times New Roman" w:eastAsia="宋体" w:cs="Times New Roman"/>
                <w:b w:val="0"/>
                <w:color w:val="000000"/>
                <w:kern w:val="0"/>
                <w:sz w:val="21"/>
                <w:szCs w:val="21"/>
                <w:lang w:val="en-US" w:eastAsia="zh-CN"/>
              </w:rPr>
              <w:t>4</w:t>
            </w:r>
            <w:r>
              <w:rPr>
                <w:rFonts w:hint="eastAsia" w:cs="Times New Roman"/>
                <w:b w:val="0"/>
                <w:color w:val="000000"/>
                <w:kern w:val="0"/>
                <w:sz w:val="21"/>
                <w:szCs w:val="21"/>
                <w:lang w:val="en-US" w:eastAsia="zh-CN"/>
              </w:rPr>
              <w:t>3</w:t>
            </w:r>
          </w:p>
        </w:tc>
        <w:tc>
          <w:tcPr>
            <w:tcW w:w="1205" w:type="pct"/>
            <w:tcBorders>
              <w:top w:val="single" w:color="000000" w:sz="4" w:space="0"/>
            </w:tcBorders>
            <w:shd w:val="clear" w:color="auto" w:fill="FFFFFF"/>
            <w:vAlign w:val="center"/>
          </w:tcPr>
          <w:p w14:paraId="222036C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color w:val="000000"/>
                <w:kern w:val="0"/>
                <w:sz w:val="21"/>
                <w:szCs w:val="21"/>
                <w:lang w:val="en-US" w:eastAsia="zh-CN"/>
              </w:rPr>
            </w:pPr>
            <w:r>
              <w:rPr>
                <w:rFonts w:hint="eastAsia" w:cs="Times New Roman"/>
                <w:b w:val="0"/>
                <w:color w:val="000000"/>
                <w:kern w:val="0"/>
                <w:sz w:val="21"/>
                <w:szCs w:val="21"/>
                <w:lang w:val="en-US" w:eastAsia="zh-CN"/>
              </w:rPr>
              <w:t>29.5</w:t>
            </w:r>
          </w:p>
        </w:tc>
      </w:tr>
      <w:tr w14:paraId="79F1FF9C">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60" w:type="pct"/>
            <w:shd w:val="clear" w:color="auto" w:fill="FFFFFF"/>
            <w:vAlign w:val="center"/>
          </w:tcPr>
          <w:p w14:paraId="3CEE53B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b w:val="0"/>
                <w:color w:val="000000"/>
                <w:kern w:val="0"/>
                <w:sz w:val="21"/>
                <w:szCs w:val="21"/>
              </w:rPr>
            </w:pPr>
            <w:r>
              <w:rPr>
                <w:rFonts w:ascii="Times New Roman" w:hAnsi="Times New Roman" w:eastAsia="宋体" w:cs="Times New Roman"/>
                <w:b w:val="0"/>
                <w:color w:val="000000"/>
                <w:kern w:val="0"/>
                <w:sz w:val="21"/>
                <w:szCs w:val="21"/>
              </w:rPr>
              <w:t>专用设备制造业</w:t>
            </w:r>
          </w:p>
        </w:tc>
        <w:tc>
          <w:tcPr>
            <w:tcW w:w="934" w:type="pct"/>
            <w:shd w:val="clear" w:color="auto" w:fill="FFFFFF"/>
            <w:vAlign w:val="center"/>
          </w:tcPr>
          <w:p w14:paraId="3FEF867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color w:val="000000"/>
                <w:kern w:val="0"/>
                <w:sz w:val="21"/>
                <w:szCs w:val="21"/>
                <w:lang w:val="en-US"/>
              </w:rPr>
            </w:pPr>
            <w:r>
              <w:rPr>
                <w:rFonts w:hint="eastAsia" w:ascii="Times New Roman" w:hAnsi="Times New Roman" w:eastAsia="宋体" w:cs="Times New Roman"/>
                <w:b w:val="0"/>
                <w:color w:val="000000"/>
                <w:kern w:val="0"/>
                <w:sz w:val="21"/>
                <w:szCs w:val="21"/>
                <w:lang w:val="en-US" w:eastAsia="zh-CN"/>
              </w:rPr>
              <w:t>3</w:t>
            </w:r>
            <w:r>
              <w:rPr>
                <w:rFonts w:hint="eastAsia" w:cs="Times New Roman"/>
                <w:b w:val="0"/>
                <w:color w:val="000000"/>
                <w:kern w:val="0"/>
                <w:sz w:val="21"/>
                <w:szCs w:val="21"/>
                <w:lang w:val="en-US" w:eastAsia="zh-CN"/>
              </w:rPr>
              <w:t>7</w:t>
            </w:r>
          </w:p>
        </w:tc>
        <w:tc>
          <w:tcPr>
            <w:tcW w:w="1205" w:type="pct"/>
            <w:shd w:val="clear" w:color="auto" w:fill="FFFFFF"/>
            <w:vAlign w:val="center"/>
          </w:tcPr>
          <w:p w14:paraId="5864536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color w:val="000000"/>
                <w:kern w:val="0"/>
                <w:sz w:val="21"/>
                <w:szCs w:val="21"/>
                <w:lang w:val="en-US"/>
              </w:rPr>
            </w:pPr>
            <w:r>
              <w:rPr>
                <w:rFonts w:hint="eastAsia" w:ascii="Times New Roman" w:hAnsi="Times New Roman" w:eastAsia="宋体" w:cs="Times New Roman"/>
                <w:b w:val="0"/>
                <w:color w:val="000000"/>
                <w:kern w:val="0"/>
                <w:sz w:val="21"/>
                <w:szCs w:val="21"/>
                <w:lang w:val="en-US" w:eastAsia="zh-CN"/>
              </w:rPr>
              <w:t>2</w:t>
            </w:r>
            <w:r>
              <w:rPr>
                <w:rFonts w:hint="eastAsia" w:cs="Times New Roman"/>
                <w:b w:val="0"/>
                <w:color w:val="000000"/>
                <w:kern w:val="0"/>
                <w:sz w:val="21"/>
                <w:szCs w:val="21"/>
                <w:lang w:val="en-US" w:eastAsia="zh-CN"/>
              </w:rPr>
              <w:t>5.3</w:t>
            </w:r>
          </w:p>
        </w:tc>
      </w:tr>
      <w:tr w14:paraId="2AC3B5A0">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60" w:type="pct"/>
            <w:shd w:val="clear" w:color="auto" w:fill="FFFFFF"/>
            <w:vAlign w:val="center"/>
          </w:tcPr>
          <w:p w14:paraId="47B85EE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b w:val="0"/>
                <w:color w:val="000000"/>
                <w:kern w:val="0"/>
                <w:sz w:val="21"/>
                <w:szCs w:val="21"/>
              </w:rPr>
            </w:pPr>
            <w:r>
              <w:rPr>
                <w:rFonts w:ascii="Times New Roman" w:hAnsi="Times New Roman" w:eastAsia="宋体" w:cs="Times New Roman"/>
                <w:b w:val="0"/>
                <w:color w:val="000000"/>
                <w:kern w:val="0"/>
                <w:sz w:val="21"/>
                <w:szCs w:val="21"/>
              </w:rPr>
              <w:t>软件和信息技术服务业</w:t>
            </w:r>
          </w:p>
        </w:tc>
        <w:tc>
          <w:tcPr>
            <w:tcW w:w="934" w:type="pct"/>
            <w:shd w:val="clear" w:color="auto" w:fill="FFFFFF"/>
            <w:vAlign w:val="center"/>
          </w:tcPr>
          <w:p w14:paraId="59A4046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color w:val="000000"/>
                <w:kern w:val="0"/>
                <w:sz w:val="21"/>
                <w:szCs w:val="21"/>
                <w:lang w:val="en-US" w:eastAsia="zh-CN"/>
              </w:rPr>
            </w:pPr>
            <w:r>
              <w:rPr>
                <w:rFonts w:hint="eastAsia" w:cs="Times New Roman"/>
                <w:b w:val="0"/>
                <w:color w:val="000000"/>
                <w:kern w:val="0"/>
                <w:sz w:val="21"/>
                <w:szCs w:val="21"/>
                <w:lang w:val="en-US" w:eastAsia="zh-CN"/>
              </w:rPr>
              <w:t>21</w:t>
            </w:r>
          </w:p>
        </w:tc>
        <w:tc>
          <w:tcPr>
            <w:tcW w:w="1205" w:type="pct"/>
            <w:shd w:val="clear" w:color="auto" w:fill="FFFFFF"/>
            <w:vAlign w:val="center"/>
          </w:tcPr>
          <w:p w14:paraId="7CB25B0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color w:val="000000"/>
                <w:kern w:val="0"/>
                <w:sz w:val="21"/>
                <w:szCs w:val="21"/>
                <w:lang w:val="en-US" w:eastAsia="zh-CN"/>
              </w:rPr>
            </w:pPr>
            <w:r>
              <w:rPr>
                <w:rFonts w:hint="eastAsia" w:cs="Times New Roman"/>
                <w:b w:val="0"/>
                <w:color w:val="000000"/>
                <w:kern w:val="0"/>
                <w:sz w:val="21"/>
                <w:szCs w:val="21"/>
                <w:lang w:val="en-US" w:eastAsia="zh-CN"/>
              </w:rPr>
              <w:t>14.4</w:t>
            </w:r>
          </w:p>
        </w:tc>
      </w:tr>
      <w:tr w14:paraId="13B0F2A0">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60" w:type="pct"/>
            <w:shd w:val="clear" w:color="auto" w:fill="FFFFFF"/>
            <w:vAlign w:val="center"/>
          </w:tcPr>
          <w:p w14:paraId="307E27A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b w:val="0"/>
                <w:color w:val="000000"/>
                <w:kern w:val="0"/>
                <w:sz w:val="21"/>
                <w:szCs w:val="21"/>
              </w:rPr>
            </w:pPr>
            <w:r>
              <w:rPr>
                <w:rFonts w:ascii="Times New Roman" w:hAnsi="Times New Roman" w:eastAsia="宋体" w:cs="Times New Roman"/>
                <w:b w:val="0"/>
                <w:color w:val="000000"/>
                <w:kern w:val="0"/>
                <w:sz w:val="21"/>
                <w:szCs w:val="21"/>
              </w:rPr>
              <w:t>医药制造业</w:t>
            </w:r>
          </w:p>
        </w:tc>
        <w:tc>
          <w:tcPr>
            <w:tcW w:w="934" w:type="pct"/>
            <w:shd w:val="clear" w:color="auto" w:fill="FFFFFF"/>
            <w:vAlign w:val="center"/>
          </w:tcPr>
          <w:p w14:paraId="3D666F4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b w:val="0"/>
                <w:color w:val="000000"/>
                <w:kern w:val="0"/>
                <w:sz w:val="21"/>
                <w:szCs w:val="21"/>
              </w:rPr>
            </w:pPr>
            <w:r>
              <w:rPr>
                <w:rFonts w:hint="eastAsia" w:ascii="Times New Roman" w:hAnsi="Times New Roman" w:eastAsia="宋体" w:cs="Times New Roman"/>
                <w:b w:val="0"/>
                <w:color w:val="000000"/>
                <w:kern w:val="0"/>
                <w:sz w:val="21"/>
                <w:szCs w:val="21"/>
                <w:lang w:val="en-US" w:eastAsia="zh-CN"/>
              </w:rPr>
              <w:t>9</w:t>
            </w:r>
          </w:p>
        </w:tc>
        <w:tc>
          <w:tcPr>
            <w:tcW w:w="1205" w:type="pct"/>
            <w:shd w:val="clear" w:color="auto" w:fill="FFFFFF"/>
            <w:vAlign w:val="center"/>
          </w:tcPr>
          <w:p w14:paraId="16F49CE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b w:val="0"/>
                <w:color w:val="000000"/>
                <w:kern w:val="0"/>
                <w:sz w:val="21"/>
                <w:szCs w:val="21"/>
              </w:rPr>
            </w:pPr>
            <w:r>
              <w:rPr>
                <w:rFonts w:hint="eastAsia" w:ascii="Times New Roman" w:hAnsi="Times New Roman" w:eastAsia="宋体" w:cs="Times New Roman"/>
                <w:b w:val="0"/>
                <w:color w:val="000000"/>
                <w:kern w:val="0"/>
                <w:sz w:val="21"/>
                <w:szCs w:val="21"/>
                <w:lang w:val="en-US" w:eastAsia="zh-CN"/>
              </w:rPr>
              <w:t>6.2</w:t>
            </w:r>
          </w:p>
        </w:tc>
      </w:tr>
      <w:tr w14:paraId="2CE5A1F1">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60" w:type="pct"/>
            <w:shd w:val="clear" w:color="auto" w:fill="FFFFFF"/>
            <w:vAlign w:val="center"/>
          </w:tcPr>
          <w:p w14:paraId="1638669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b w:val="0"/>
                <w:color w:val="000000"/>
                <w:kern w:val="0"/>
                <w:sz w:val="21"/>
                <w:szCs w:val="21"/>
                <w:lang w:val="en-US" w:eastAsia="zh-CN" w:bidi="ar-SA"/>
              </w:rPr>
            </w:pPr>
            <w:r>
              <w:rPr>
                <w:rFonts w:ascii="Times New Roman" w:hAnsi="Times New Roman" w:eastAsia="宋体" w:cs="Times New Roman"/>
                <w:b w:val="0"/>
                <w:color w:val="000000"/>
                <w:kern w:val="0"/>
                <w:sz w:val="21"/>
                <w:szCs w:val="21"/>
              </w:rPr>
              <w:t>研究和试验发展</w:t>
            </w:r>
          </w:p>
        </w:tc>
        <w:tc>
          <w:tcPr>
            <w:tcW w:w="934" w:type="pct"/>
            <w:shd w:val="clear" w:color="auto" w:fill="FFFFFF"/>
            <w:vAlign w:val="center"/>
          </w:tcPr>
          <w:p w14:paraId="025E100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color w:val="000000"/>
                <w:kern w:val="0"/>
                <w:sz w:val="21"/>
                <w:szCs w:val="21"/>
                <w:lang w:val="en-US" w:eastAsia="zh-CN" w:bidi="ar-SA"/>
              </w:rPr>
            </w:pPr>
            <w:r>
              <w:rPr>
                <w:rFonts w:hint="eastAsia" w:cs="Times New Roman"/>
                <w:b w:val="0"/>
                <w:color w:val="000000"/>
                <w:kern w:val="0"/>
                <w:sz w:val="21"/>
                <w:szCs w:val="21"/>
                <w:lang w:val="en-US" w:eastAsia="zh-CN"/>
              </w:rPr>
              <w:t>7</w:t>
            </w:r>
          </w:p>
        </w:tc>
        <w:tc>
          <w:tcPr>
            <w:tcW w:w="1205" w:type="pct"/>
            <w:shd w:val="clear" w:color="auto" w:fill="FFFFFF"/>
            <w:vAlign w:val="center"/>
          </w:tcPr>
          <w:p w14:paraId="26C5EC6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color w:val="000000"/>
                <w:kern w:val="0"/>
                <w:sz w:val="21"/>
                <w:szCs w:val="21"/>
                <w:lang w:val="en-US" w:eastAsia="zh-CN" w:bidi="ar-SA"/>
              </w:rPr>
            </w:pPr>
            <w:r>
              <w:rPr>
                <w:rFonts w:hint="eastAsia" w:cs="Times New Roman"/>
                <w:b w:val="0"/>
                <w:color w:val="000000"/>
                <w:kern w:val="0"/>
                <w:sz w:val="21"/>
                <w:szCs w:val="21"/>
                <w:lang w:val="en-US" w:eastAsia="zh-CN" w:bidi="ar-SA"/>
              </w:rPr>
              <w:t>4.8</w:t>
            </w:r>
          </w:p>
        </w:tc>
      </w:tr>
      <w:tr w14:paraId="62D464DD">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60" w:type="pct"/>
            <w:shd w:val="clear" w:color="auto" w:fill="FFFFFF"/>
            <w:vAlign w:val="center"/>
          </w:tcPr>
          <w:p w14:paraId="748F4D4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b w:val="0"/>
                <w:color w:val="000000"/>
                <w:kern w:val="0"/>
                <w:sz w:val="21"/>
                <w:szCs w:val="21"/>
              </w:rPr>
            </w:pPr>
            <w:r>
              <w:rPr>
                <w:rFonts w:ascii="Times New Roman" w:hAnsi="Times New Roman" w:eastAsia="宋体" w:cs="Times New Roman"/>
                <w:b w:val="0"/>
                <w:color w:val="000000"/>
                <w:kern w:val="0"/>
                <w:sz w:val="21"/>
                <w:szCs w:val="21"/>
              </w:rPr>
              <w:t>仪器仪表制造业</w:t>
            </w:r>
          </w:p>
        </w:tc>
        <w:tc>
          <w:tcPr>
            <w:tcW w:w="934" w:type="pct"/>
            <w:shd w:val="clear" w:color="auto" w:fill="FFFFFF"/>
            <w:vAlign w:val="center"/>
          </w:tcPr>
          <w:p w14:paraId="7AA2718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color w:val="000000"/>
                <w:kern w:val="0"/>
                <w:sz w:val="21"/>
                <w:szCs w:val="21"/>
                <w:lang w:val="en-US" w:eastAsia="zh-CN"/>
              </w:rPr>
            </w:pPr>
            <w:r>
              <w:rPr>
                <w:rFonts w:hint="eastAsia" w:cs="Times New Roman"/>
                <w:b w:val="0"/>
                <w:color w:val="000000"/>
                <w:kern w:val="0"/>
                <w:sz w:val="21"/>
                <w:szCs w:val="21"/>
                <w:lang w:val="en-US" w:eastAsia="zh-CN"/>
              </w:rPr>
              <w:t>4</w:t>
            </w:r>
          </w:p>
        </w:tc>
        <w:tc>
          <w:tcPr>
            <w:tcW w:w="1205" w:type="pct"/>
            <w:shd w:val="clear" w:color="auto" w:fill="FFFFFF"/>
            <w:vAlign w:val="center"/>
          </w:tcPr>
          <w:p w14:paraId="681E04A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color w:val="000000"/>
                <w:kern w:val="0"/>
                <w:sz w:val="21"/>
                <w:szCs w:val="21"/>
                <w:lang w:val="en-US" w:eastAsia="zh-CN"/>
              </w:rPr>
            </w:pPr>
            <w:r>
              <w:rPr>
                <w:rFonts w:hint="eastAsia" w:cs="Times New Roman"/>
                <w:b w:val="0"/>
                <w:color w:val="000000"/>
                <w:kern w:val="0"/>
                <w:sz w:val="21"/>
                <w:szCs w:val="21"/>
                <w:lang w:val="en-US" w:eastAsia="zh-CN"/>
              </w:rPr>
              <w:t>2.7</w:t>
            </w:r>
          </w:p>
        </w:tc>
      </w:tr>
      <w:tr w14:paraId="3D9A665A">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60" w:type="pct"/>
            <w:tcBorders>
              <w:bottom w:val="single" w:color="000000" w:sz="12" w:space="0"/>
            </w:tcBorders>
            <w:shd w:val="clear" w:color="auto" w:fill="FFFFFF"/>
            <w:vAlign w:val="center"/>
          </w:tcPr>
          <w:p w14:paraId="1AFAC07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 w:val="0"/>
                <w:color w:val="000000"/>
                <w:kern w:val="0"/>
                <w:sz w:val="21"/>
                <w:szCs w:val="21"/>
                <w:lang w:val="en-US" w:eastAsia="zh-CN"/>
              </w:rPr>
            </w:pPr>
            <w:r>
              <w:rPr>
                <w:rFonts w:hint="eastAsia" w:cs="Times New Roman"/>
                <w:b w:val="0"/>
                <w:color w:val="000000"/>
                <w:kern w:val="0"/>
                <w:sz w:val="21"/>
                <w:szCs w:val="21"/>
                <w:lang w:val="en-US" w:eastAsia="zh-CN"/>
              </w:rPr>
              <w:t>其他</w:t>
            </w:r>
          </w:p>
        </w:tc>
        <w:tc>
          <w:tcPr>
            <w:tcW w:w="934" w:type="pct"/>
            <w:tcBorders>
              <w:bottom w:val="single" w:color="000000" w:sz="12" w:space="0"/>
            </w:tcBorders>
            <w:shd w:val="clear" w:color="auto" w:fill="FFFFFF"/>
            <w:vAlign w:val="center"/>
          </w:tcPr>
          <w:p w14:paraId="120FBA0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color w:val="000000"/>
                <w:kern w:val="0"/>
                <w:sz w:val="21"/>
                <w:szCs w:val="21"/>
                <w:lang w:val="en-US" w:eastAsia="zh-CN"/>
              </w:rPr>
            </w:pPr>
            <w:r>
              <w:rPr>
                <w:rFonts w:hint="eastAsia" w:cs="Times New Roman"/>
                <w:b w:val="0"/>
                <w:color w:val="000000"/>
                <w:kern w:val="0"/>
                <w:sz w:val="21"/>
                <w:szCs w:val="21"/>
                <w:lang w:val="en-US" w:eastAsia="zh-CN"/>
              </w:rPr>
              <w:t>25</w:t>
            </w:r>
          </w:p>
        </w:tc>
        <w:tc>
          <w:tcPr>
            <w:tcW w:w="1205" w:type="pct"/>
            <w:tcBorders>
              <w:bottom w:val="single" w:color="000000" w:sz="12" w:space="0"/>
            </w:tcBorders>
            <w:shd w:val="clear" w:color="auto" w:fill="FFFFFF"/>
            <w:vAlign w:val="center"/>
          </w:tcPr>
          <w:p w14:paraId="0FA9718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color w:val="000000"/>
                <w:kern w:val="0"/>
                <w:sz w:val="21"/>
                <w:szCs w:val="21"/>
                <w:lang w:val="en-US" w:eastAsia="zh-CN"/>
              </w:rPr>
            </w:pPr>
            <w:r>
              <w:rPr>
                <w:rFonts w:hint="eastAsia" w:cs="Times New Roman"/>
                <w:b w:val="0"/>
                <w:color w:val="000000"/>
                <w:kern w:val="0"/>
                <w:sz w:val="21"/>
                <w:szCs w:val="21"/>
                <w:lang w:val="en-US" w:eastAsia="zh-CN"/>
              </w:rPr>
              <w:t>17.1</w:t>
            </w:r>
          </w:p>
        </w:tc>
      </w:tr>
    </w:tbl>
    <w:p w14:paraId="00A94DF6">
      <w:pPr>
        <w:bidi w:val="0"/>
        <w:rPr>
          <w:rFonts w:ascii="Times New Roman" w:hAnsi="Times New Roman" w:eastAsia="宋体"/>
        </w:rPr>
      </w:pPr>
      <w:r>
        <w:rPr>
          <w:rFonts w:hint="eastAsia"/>
        </w:rPr>
        <w:t>本章的研究涵盖</w:t>
      </w:r>
      <w:r>
        <w:t>86602条专利，</w:t>
      </w:r>
      <w:r>
        <w:rPr>
          <w:rFonts w:hint="eastAsia"/>
        </w:rPr>
        <w:t>使用千问</w:t>
      </w:r>
      <w:r>
        <w:t>大模型</w:t>
      </w:r>
      <w:r>
        <w:rPr>
          <w:rFonts w:hint="eastAsia"/>
        </w:rPr>
        <w:t>，</w:t>
      </w:r>
      <w:r>
        <w:t>按标题、摘要与IPC分类号</w:t>
      </w:r>
      <w:r>
        <w:rPr>
          <w:rFonts w:hint="eastAsia"/>
        </w:rPr>
        <w:t>归为机器视觉、服务机器人、个性化算法和自动驾驶</w:t>
      </w:r>
      <w:r>
        <w:t>四个重点领域，四领域专利合计16</w:t>
      </w:r>
      <w:r>
        <w:rPr>
          <w:rFonts w:hint="eastAsia"/>
          <w:lang w:val="en-US" w:eastAsia="zh-CN"/>
        </w:rPr>
        <w:t>587</w:t>
      </w:r>
      <w:r>
        <w:t>条，占全部专利的19.</w:t>
      </w:r>
      <w:r>
        <w:rPr>
          <w:rFonts w:hint="eastAsia"/>
          <w:lang w:val="en-US" w:eastAsia="zh-CN"/>
        </w:rPr>
        <w:t>2</w:t>
      </w:r>
      <w:r>
        <w:t>%。分领域看，机器视觉8</w:t>
      </w:r>
      <w:r>
        <w:rPr>
          <w:rFonts w:hint="eastAsia"/>
          <w:lang w:val="en-US" w:eastAsia="zh-CN"/>
        </w:rPr>
        <w:t>810</w:t>
      </w:r>
      <w:r>
        <w:t>条</w:t>
      </w:r>
      <w:r>
        <w:rPr>
          <w:rFonts w:hint="eastAsia"/>
        </w:rPr>
        <w:t>，占比53%</w:t>
      </w:r>
      <w:r>
        <w:t>、服务机器人70</w:t>
      </w:r>
      <w:r>
        <w:rPr>
          <w:rFonts w:hint="eastAsia"/>
          <w:lang w:val="en-US" w:eastAsia="zh-CN"/>
        </w:rPr>
        <w:t>74</w:t>
      </w:r>
      <w:r>
        <w:t>条</w:t>
      </w:r>
      <w:r>
        <w:rPr>
          <w:rFonts w:hint="eastAsia"/>
        </w:rPr>
        <w:t>，占比</w:t>
      </w:r>
      <w:r>
        <w:t>42.</w:t>
      </w:r>
      <w:r>
        <w:rPr>
          <w:rFonts w:hint="eastAsia"/>
          <w:lang w:val="en-US" w:eastAsia="zh-CN"/>
        </w:rPr>
        <w:t>8</w:t>
      </w:r>
      <w:r>
        <w:t>%、个性化算法366条</w:t>
      </w:r>
      <w:r>
        <w:rPr>
          <w:rFonts w:hint="eastAsia"/>
        </w:rPr>
        <w:t>，占比</w:t>
      </w:r>
      <w:r>
        <w:t>2.2%、自动驾驶33</w:t>
      </w:r>
      <w:r>
        <w:rPr>
          <w:rFonts w:hint="eastAsia"/>
          <w:lang w:val="en-US" w:eastAsia="zh-CN"/>
        </w:rPr>
        <w:t>7</w:t>
      </w:r>
      <w:r>
        <w:t>条</w:t>
      </w:r>
      <w:r>
        <w:rPr>
          <w:rFonts w:hint="eastAsia"/>
        </w:rPr>
        <w:t>，占比</w:t>
      </w:r>
      <w:r>
        <w:t>2.0%，机器视觉与服务机器人合计占四领域专利的95.</w:t>
      </w:r>
      <w:r>
        <w:rPr>
          <w:rFonts w:hint="eastAsia"/>
          <w:lang w:val="en-US" w:eastAsia="zh-CN"/>
        </w:rPr>
        <w:t>8</w:t>
      </w:r>
      <w:r>
        <w:t>%，说明科创板企业AI专利布局高度集中于这两大方向。企业层面，专利总数均值为</w:t>
      </w:r>
      <w:r>
        <w:rPr>
          <w:rFonts w:hint="eastAsia"/>
          <w:lang w:val="en-US" w:eastAsia="zh-CN"/>
        </w:rPr>
        <w:t>593.2</w:t>
      </w:r>
      <w:r>
        <w:t>、中位数</w:t>
      </w:r>
      <w:r>
        <w:rPr>
          <w:rFonts w:hint="eastAsia"/>
          <w:lang w:val="en-US" w:eastAsia="zh-CN"/>
        </w:rPr>
        <w:t>289.5</w:t>
      </w:r>
      <w:r>
        <w:t>、标准差</w:t>
      </w:r>
      <w:r>
        <w:rPr>
          <w:rFonts w:hint="eastAsia"/>
          <w:lang w:val="en-US" w:eastAsia="zh-CN"/>
        </w:rPr>
        <w:t>843.1</w:t>
      </w:r>
      <w:r>
        <w:t>，最大值4929；重点领域专利总数均值</w:t>
      </w:r>
      <w:r>
        <w:rPr>
          <w:rFonts w:hint="eastAsia"/>
          <w:lang w:val="en-US" w:eastAsia="zh-CN"/>
        </w:rPr>
        <w:t>113.6</w:t>
      </w:r>
      <w:r>
        <w:t>、中位数为0，</w:t>
      </w:r>
      <w:r>
        <w:rPr>
          <w:rFonts w:hint="eastAsia"/>
          <w:lang w:val="en-US" w:eastAsia="zh-CN"/>
        </w:rPr>
        <w:t>87</w:t>
      </w:r>
      <w:r>
        <w:t>家企业（5</w:t>
      </w:r>
      <w:r>
        <w:rPr>
          <w:rFonts w:hint="eastAsia"/>
          <w:lang w:val="en-US" w:eastAsia="zh-CN"/>
        </w:rPr>
        <w:t>9.6</w:t>
      </w:r>
      <w:r>
        <w:t>%）重点领域专利为0，少数头部企业（如石头世纪、传音控股）贡献了绝大部分重点领域专利，分布高度右偏。</w:t>
      </w:r>
    </w:p>
    <w:p w14:paraId="2FACDB4C">
      <w:pPr>
        <w:bidi w:val="0"/>
      </w:pPr>
      <w:r>
        <w:t>CSMAR年报数据共匹配到1</w:t>
      </w:r>
      <w:r>
        <w:rPr>
          <w:rFonts w:hint="eastAsia"/>
          <w:lang w:val="en-US" w:eastAsia="zh-CN"/>
        </w:rPr>
        <w:t>46</w:t>
      </w:r>
      <w:r>
        <w:t>家企业的635条记录。年报AI总词频均值为</w:t>
      </w:r>
      <w:r>
        <w:rPr>
          <w:rFonts w:hint="eastAsia"/>
          <w:lang w:val="en-US" w:eastAsia="zh-CN"/>
        </w:rPr>
        <w:t>7.54</w:t>
      </w:r>
      <w:r>
        <w:t>、中位数</w:t>
      </w:r>
      <w:r>
        <w:rPr>
          <w:rFonts w:hint="eastAsia"/>
          <w:lang w:val="en-US" w:eastAsia="zh-CN"/>
        </w:rPr>
        <w:t>0</w:t>
      </w:r>
      <w:r>
        <w:t>、最大值</w:t>
      </w:r>
      <w:r>
        <w:rPr>
          <w:rFonts w:hint="eastAsia"/>
          <w:lang w:val="en-US" w:eastAsia="zh-CN"/>
        </w:rPr>
        <w:t>666</w:t>
      </w:r>
      <w:r>
        <w:t>，年报总词数均值为</w:t>
      </w:r>
      <w:r>
        <w:rPr>
          <w:rFonts w:hint="eastAsia"/>
          <w:lang w:val="en-US" w:eastAsia="zh-CN"/>
        </w:rPr>
        <w:t>56626.85</w:t>
      </w:r>
      <w:r>
        <w:t>。按</w:t>
      </w:r>
      <w:r>
        <w:rPr>
          <w:rFonts w:hint="eastAsia"/>
          <w:lang w:eastAsia="zh-CN"/>
        </w:rPr>
        <w:t>“</w:t>
      </w:r>
      <w:r>
        <w:t>年报AI总词频÷年报总词数</w:t>
      </w:r>
      <w:r>
        <w:rPr>
          <w:rFonts w:hint="eastAsia"/>
          <w:lang w:eastAsia="zh-CN"/>
        </w:rPr>
        <w:t>”</w:t>
      </w:r>
      <w:r>
        <w:t>计算词频强度，再按企业跨年份平均后，词频强度均值为</w:t>
      </w:r>
      <w:r>
        <w:rPr>
          <w:rFonts w:hint="eastAsia"/>
        </w:rPr>
        <w:t>0.0171%</w:t>
      </w:r>
      <w:r>
        <w:t>、中位数0.0037%、最大值0.6273%，同样呈明显右偏，表明多数企业年报对AI的叙述强度较低，少数企业显著偏高。</w:t>
      </w:r>
    </w:p>
    <w:p w14:paraId="0338A64D">
      <w:pPr>
        <w:bidi w:val="0"/>
      </w:pPr>
      <w:r>
        <w:t>表4-</w:t>
      </w:r>
      <w:r>
        <w:rPr>
          <w:rFonts w:hint="eastAsia"/>
        </w:rPr>
        <w:t>2</w:t>
      </w:r>
      <w:r>
        <w:t>汇总了六个构造指标的描述性统计</w:t>
      </w:r>
      <w:r>
        <w:rPr>
          <w:rFonts w:hint="eastAsia"/>
          <w:lang w:eastAsia="zh-CN"/>
        </w:rPr>
        <w:t>，</w:t>
      </w:r>
      <w:r>
        <w:rPr>
          <w:rFonts w:hint="eastAsia"/>
          <w:lang w:val="en-US" w:eastAsia="zh-CN"/>
        </w:rPr>
        <w:t>可以看出</w:t>
      </w:r>
      <w:r>
        <w:t>合成后的暴露倍数与企业综合ERS的均值均明显大于中位数，呈右偏分布。</w:t>
      </w:r>
    </w:p>
    <w:p w14:paraId="616D4817">
      <w:pPr>
        <w:pageBreakBefore w:val="0"/>
        <w:widowControl/>
        <w:kinsoku/>
        <w:wordWrap/>
        <w:overflowPunct/>
        <w:topLinePunct w:val="0"/>
        <w:autoSpaceDE/>
        <w:autoSpaceDN/>
        <w:bidi w:val="0"/>
        <w:adjustRightInd/>
        <w:snapToGrid/>
        <w:spacing w:line="360" w:lineRule="auto"/>
        <w:jc w:val="center"/>
        <w:textAlignment w:val="auto"/>
        <w:rPr>
          <w:rFonts w:ascii="Times New Roman" w:hAnsi="Times New Roman" w:eastAsia="宋体" w:cs="Times New Roman"/>
          <w:color w:val="0D0D0D" w:themeColor="text1" w:themeTint="F2"/>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sz w:val="21"/>
          <w:szCs w:val="18"/>
          <w14:textFill>
            <w14:solidFill>
              <w14:schemeClr w14:val="tx1">
                <w14:lumMod w14:val="95000"/>
                <w14:lumOff w14:val="5000"/>
              </w14:schemeClr>
            </w14:solidFill>
          </w14:textFill>
        </w:rPr>
        <w:t>表4-2构造指标的描述性统计</w:t>
      </w:r>
    </w:p>
    <w:tbl>
      <w:tblPr>
        <w:tblStyle w:val="44"/>
        <w:tblW w:w="4998" w:type="pct"/>
        <w:jc w:val="center"/>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8"/>
        <w:gridCol w:w="1542"/>
        <w:gridCol w:w="1485"/>
        <w:gridCol w:w="1524"/>
        <w:gridCol w:w="1466"/>
        <w:gridCol w:w="1269"/>
      </w:tblGrid>
      <w:tr w14:paraId="21DCBB9D">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075" w:type="pct"/>
            <w:tcBorders>
              <w:top w:val="single" w:color="000000" w:sz="12" w:space="0"/>
              <w:bottom w:val="single" w:color="000000" w:sz="4" w:space="0"/>
              <w:tl2br w:val="nil"/>
            </w:tcBorders>
            <w:shd w:val="clear" w:color="auto" w:fill="FFFFFF"/>
            <w:vAlign w:val="center"/>
          </w:tcPr>
          <w:p w14:paraId="12C7BB7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变量</w:t>
            </w:r>
          </w:p>
        </w:tc>
        <w:tc>
          <w:tcPr>
            <w:tcW w:w="830" w:type="pct"/>
            <w:tcBorders>
              <w:top w:val="single" w:color="000000" w:sz="12" w:space="0"/>
              <w:bottom w:val="single" w:color="000000" w:sz="4" w:space="0"/>
            </w:tcBorders>
            <w:shd w:val="clear" w:color="auto" w:fill="FFFFFF"/>
            <w:vAlign w:val="center"/>
          </w:tcPr>
          <w:p w14:paraId="253E0A9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均值</w:t>
            </w:r>
          </w:p>
        </w:tc>
        <w:tc>
          <w:tcPr>
            <w:tcW w:w="799" w:type="pct"/>
            <w:tcBorders>
              <w:top w:val="single" w:color="000000" w:sz="12" w:space="0"/>
              <w:bottom w:val="single" w:color="000000" w:sz="4" w:space="0"/>
            </w:tcBorders>
            <w:shd w:val="clear" w:color="auto" w:fill="FFFFFF"/>
            <w:vAlign w:val="center"/>
          </w:tcPr>
          <w:p w14:paraId="3341A66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中位数</w:t>
            </w:r>
          </w:p>
        </w:tc>
        <w:tc>
          <w:tcPr>
            <w:tcW w:w="820" w:type="pct"/>
            <w:tcBorders>
              <w:top w:val="single" w:color="000000" w:sz="12" w:space="0"/>
              <w:bottom w:val="single" w:color="000000" w:sz="4" w:space="0"/>
            </w:tcBorders>
            <w:shd w:val="clear" w:color="auto" w:fill="FFFFFF"/>
            <w:vAlign w:val="center"/>
          </w:tcPr>
          <w:p w14:paraId="3F1B5CA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标准差</w:t>
            </w:r>
          </w:p>
        </w:tc>
        <w:tc>
          <w:tcPr>
            <w:tcW w:w="789" w:type="pct"/>
            <w:tcBorders>
              <w:top w:val="single" w:color="000000" w:sz="12" w:space="0"/>
              <w:bottom w:val="single" w:color="000000" w:sz="4" w:space="0"/>
            </w:tcBorders>
            <w:shd w:val="clear" w:color="auto" w:fill="FFFFFF"/>
            <w:vAlign w:val="center"/>
          </w:tcPr>
          <w:p w14:paraId="2E5920C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最小值</w:t>
            </w:r>
          </w:p>
        </w:tc>
        <w:tc>
          <w:tcPr>
            <w:tcW w:w="683" w:type="pct"/>
            <w:tcBorders>
              <w:top w:val="single" w:color="000000" w:sz="12" w:space="0"/>
              <w:bottom w:val="single" w:color="000000" w:sz="4" w:space="0"/>
            </w:tcBorders>
            <w:shd w:val="clear" w:color="auto" w:fill="FFFFFF"/>
            <w:vAlign w:val="center"/>
          </w:tcPr>
          <w:p w14:paraId="7B08070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最大值</w:t>
            </w:r>
          </w:p>
        </w:tc>
      </w:tr>
      <w:tr w14:paraId="04E6481D">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8" w:type="dxa"/>
            <w:tcBorders>
              <w:top w:val="single" w:color="000000" w:sz="4" w:space="0"/>
            </w:tcBorders>
            <w:shd w:val="clear" w:color="auto" w:fill="FFFFFF"/>
            <w:vAlign w:val="center"/>
          </w:tcPr>
          <w:p w14:paraId="59C4A9D9">
            <w:pPr>
              <w:keepNext w:val="0"/>
              <w:keepLines w:val="0"/>
              <w:pageBreakBefore w:val="0"/>
              <w:kinsoku/>
              <w:wordWrap/>
              <w:overflowPunct/>
              <w:topLinePunct w:val="0"/>
              <w:autoSpaceDE/>
              <w:autoSpaceDN/>
              <w:bidi w:val="0"/>
              <w:adjustRightInd/>
              <w:snapToGrid/>
              <w:ind w:firstLine="0" w:firstLineChars="0"/>
              <w:textAlignment w:val="auto"/>
              <w:rPr>
                <w:rFonts w:hint="eastAsia"/>
                <w:sz w:val="21"/>
                <w:szCs w:val="21"/>
              </w:rPr>
            </w:pPr>
            <w:r>
              <w:rPr>
                <w:rFonts w:hint="eastAsia"/>
                <w:sz w:val="21"/>
                <w:szCs w:val="21"/>
                <w:lang w:val="en-US" w:eastAsia="zh-CN"/>
              </w:rPr>
              <w:t>专利暴露倍数</w:t>
            </w:r>
          </w:p>
        </w:tc>
        <w:tc>
          <w:tcPr>
            <w:tcW w:w="1542" w:type="dxa"/>
            <w:tcBorders>
              <w:top w:val="single" w:color="000000" w:sz="4" w:space="0"/>
            </w:tcBorders>
            <w:shd w:val="clear" w:color="auto" w:fill="FFFFFF"/>
            <w:vAlign w:val="center"/>
          </w:tcPr>
          <w:p w14:paraId="26250374">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0.8951</w:t>
            </w:r>
          </w:p>
        </w:tc>
        <w:tc>
          <w:tcPr>
            <w:tcW w:w="1485" w:type="dxa"/>
            <w:tcBorders>
              <w:top w:val="single" w:color="000000" w:sz="4" w:space="0"/>
            </w:tcBorders>
            <w:shd w:val="clear" w:color="auto" w:fill="FFFFFF"/>
            <w:vAlign w:val="center"/>
          </w:tcPr>
          <w:p w14:paraId="1BCC77E1">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0.0000</w:t>
            </w:r>
          </w:p>
        </w:tc>
        <w:tc>
          <w:tcPr>
            <w:tcW w:w="1524" w:type="dxa"/>
            <w:tcBorders>
              <w:top w:val="single" w:color="000000" w:sz="4" w:space="0"/>
            </w:tcBorders>
            <w:shd w:val="clear" w:color="auto" w:fill="FFFFFF"/>
            <w:vAlign w:val="center"/>
          </w:tcPr>
          <w:p w14:paraId="71CC3FE2">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1.7963</w:t>
            </w:r>
          </w:p>
        </w:tc>
        <w:tc>
          <w:tcPr>
            <w:tcW w:w="1466" w:type="dxa"/>
            <w:tcBorders>
              <w:top w:val="single" w:color="000000" w:sz="4" w:space="0"/>
            </w:tcBorders>
            <w:shd w:val="clear" w:color="auto" w:fill="FFFFFF"/>
            <w:vAlign w:val="center"/>
          </w:tcPr>
          <w:p w14:paraId="2A88D16A">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0.0000</w:t>
            </w:r>
          </w:p>
        </w:tc>
        <w:tc>
          <w:tcPr>
            <w:tcW w:w="1269" w:type="dxa"/>
            <w:tcBorders>
              <w:top w:val="single" w:color="000000" w:sz="4" w:space="0"/>
            </w:tcBorders>
            <w:shd w:val="clear" w:color="auto" w:fill="FFFFFF"/>
            <w:vAlign w:val="center"/>
          </w:tcPr>
          <w:p w14:paraId="641D1110">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5.2211</w:t>
            </w:r>
          </w:p>
        </w:tc>
      </w:tr>
      <w:tr w14:paraId="19EEAD84">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8" w:type="dxa"/>
            <w:shd w:val="clear" w:color="auto" w:fill="FFFFFF"/>
            <w:vAlign w:val="center"/>
          </w:tcPr>
          <w:p w14:paraId="2749CFE9">
            <w:pPr>
              <w:keepNext w:val="0"/>
              <w:keepLines w:val="0"/>
              <w:pageBreakBefore w:val="0"/>
              <w:kinsoku/>
              <w:wordWrap/>
              <w:overflowPunct/>
              <w:topLinePunct w:val="0"/>
              <w:autoSpaceDE/>
              <w:autoSpaceDN/>
              <w:bidi w:val="0"/>
              <w:adjustRightInd/>
              <w:snapToGrid/>
              <w:ind w:firstLine="0" w:firstLineChars="0"/>
              <w:textAlignment w:val="auto"/>
              <w:rPr>
                <w:rFonts w:hint="eastAsia"/>
                <w:sz w:val="21"/>
                <w:szCs w:val="21"/>
              </w:rPr>
            </w:pPr>
            <w:r>
              <w:rPr>
                <w:rFonts w:hint="eastAsia"/>
                <w:sz w:val="21"/>
                <w:szCs w:val="21"/>
                <w:lang w:val="en-US" w:eastAsia="zh-CN"/>
              </w:rPr>
              <w:t>词频暴露倍数</w:t>
            </w:r>
          </w:p>
        </w:tc>
        <w:tc>
          <w:tcPr>
            <w:tcW w:w="1542" w:type="dxa"/>
            <w:shd w:val="clear" w:color="auto" w:fill="FFFFFF"/>
            <w:vAlign w:val="center"/>
          </w:tcPr>
          <w:p w14:paraId="4DE8F310">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2.2199</w:t>
            </w:r>
          </w:p>
        </w:tc>
        <w:tc>
          <w:tcPr>
            <w:tcW w:w="1485" w:type="dxa"/>
            <w:shd w:val="clear" w:color="auto" w:fill="FFFFFF"/>
            <w:vAlign w:val="center"/>
          </w:tcPr>
          <w:p w14:paraId="7174CA3A">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0.9574</w:t>
            </w:r>
          </w:p>
        </w:tc>
        <w:tc>
          <w:tcPr>
            <w:tcW w:w="1524" w:type="dxa"/>
            <w:shd w:val="clear" w:color="auto" w:fill="FFFFFF"/>
            <w:vAlign w:val="center"/>
          </w:tcPr>
          <w:p w14:paraId="2D5E208B">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3.2532</w:t>
            </w:r>
          </w:p>
        </w:tc>
        <w:tc>
          <w:tcPr>
            <w:tcW w:w="1466" w:type="dxa"/>
            <w:shd w:val="clear" w:color="auto" w:fill="FFFFFF"/>
            <w:vAlign w:val="center"/>
          </w:tcPr>
          <w:p w14:paraId="294791A3">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0.0000</w:t>
            </w:r>
          </w:p>
        </w:tc>
        <w:tc>
          <w:tcPr>
            <w:tcW w:w="1269" w:type="dxa"/>
            <w:shd w:val="clear" w:color="auto" w:fill="FFFFFF"/>
            <w:vAlign w:val="center"/>
          </w:tcPr>
          <w:p w14:paraId="696505D4">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15.8298</w:t>
            </w:r>
          </w:p>
        </w:tc>
      </w:tr>
      <w:tr w14:paraId="66006C97">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8" w:type="dxa"/>
            <w:shd w:val="clear" w:color="auto" w:fill="FFFFFF"/>
            <w:vAlign w:val="center"/>
          </w:tcPr>
          <w:p w14:paraId="46894286">
            <w:pPr>
              <w:keepNext w:val="0"/>
              <w:keepLines w:val="0"/>
              <w:pageBreakBefore w:val="0"/>
              <w:kinsoku/>
              <w:wordWrap/>
              <w:overflowPunct/>
              <w:topLinePunct w:val="0"/>
              <w:autoSpaceDE/>
              <w:autoSpaceDN/>
              <w:bidi w:val="0"/>
              <w:adjustRightInd/>
              <w:snapToGrid/>
              <w:ind w:firstLine="0" w:firstLineChars="0"/>
              <w:textAlignment w:val="auto"/>
              <w:rPr>
                <w:rFonts w:hint="eastAsia"/>
                <w:sz w:val="21"/>
                <w:szCs w:val="21"/>
              </w:rPr>
            </w:pPr>
            <w:r>
              <w:rPr>
                <w:rFonts w:hint="eastAsia"/>
                <w:sz w:val="21"/>
                <w:szCs w:val="21"/>
                <w:lang w:val="en-US" w:eastAsia="zh-CN"/>
              </w:rPr>
              <w:t>暴露倍数</w:t>
            </w:r>
          </w:p>
        </w:tc>
        <w:tc>
          <w:tcPr>
            <w:tcW w:w="1542" w:type="dxa"/>
            <w:shd w:val="clear" w:color="auto" w:fill="FFFFFF"/>
            <w:vAlign w:val="center"/>
          </w:tcPr>
          <w:p w14:paraId="1A203C84">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1.8225</w:t>
            </w:r>
          </w:p>
        </w:tc>
        <w:tc>
          <w:tcPr>
            <w:tcW w:w="1485" w:type="dxa"/>
            <w:shd w:val="clear" w:color="auto" w:fill="FFFFFF"/>
            <w:vAlign w:val="center"/>
          </w:tcPr>
          <w:p w14:paraId="1064E921">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0.7212</w:t>
            </w:r>
          </w:p>
        </w:tc>
        <w:tc>
          <w:tcPr>
            <w:tcW w:w="1524" w:type="dxa"/>
            <w:shd w:val="clear" w:color="auto" w:fill="FFFFFF"/>
            <w:vAlign w:val="center"/>
          </w:tcPr>
          <w:p w14:paraId="799F5CEE">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2.5178</w:t>
            </w:r>
          </w:p>
        </w:tc>
        <w:tc>
          <w:tcPr>
            <w:tcW w:w="1466" w:type="dxa"/>
            <w:shd w:val="clear" w:color="auto" w:fill="FFFFFF"/>
            <w:vAlign w:val="center"/>
          </w:tcPr>
          <w:p w14:paraId="30148DAA">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0.0000</w:t>
            </w:r>
          </w:p>
        </w:tc>
        <w:tc>
          <w:tcPr>
            <w:tcW w:w="1269" w:type="dxa"/>
            <w:shd w:val="clear" w:color="auto" w:fill="FFFFFF"/>
            <w:vAlign w:val="center"/>
          </w:tcPr>
          <w:p w14:paraId="2021886B">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12.2879</w:t>
            </w:r>
          </w:p>
        </w:tc>
      </w:tr>
      <w:tr w14:paraId="72F8B362">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8" w:type="dxa"/>
            <w:shd w:val="clear" w:color="auto" w:fill="FFFFFF"/>
            <w:vAlign w:val="center"/>
          </w:tcPr>
          <w:p w14:paraId="019FF904">
            <w:pPr>
              <w:keepNext w:val="0"/>
              <w:keepLines w:val="0"/>
              <w:pageBreakBefore w:val="0"/>
              <w:kinsoku/>
              <w:wordWrap/>
              <w:overflowPunct/>
              <w:topLinePunct w:val="0"/>
              <w:autoSpaceDE/>
              <w:autoSpaceDN/>
              <w:bidi w:val="0"/>
              <w:adjustRightInd/>
              <w:snapToGrid/>
              <w:ind w:firstLine="0" w:firstLineChars="0"/>
              <w:textAlignment w:val="auto"/>
              <w:rPr>
                <w:rFonts w:hint="eastAsia"/>
                <w:sz w:val="21"/>
                <w:szCs w:val="21"/>
              </w:rPr>
            </w:pPr>
            <w:r>
              <w:rPr>
                <w:rFonts w:hint="eastAsia"/>
                <w:sz w:val="21"/>
                <w:szCs w:val="21"/>
                <w:lang w:val="en-US" w:eastAsia="zh-CN"/>
              </w:rPr>
              <w:t>AI专利ERS</w:t>
            </w:r>
          </w:p>
        </w:tc>
        <w:tc>
          <w:tcPr>
            <w:tcW w:w="1542" w:type="dxa"/>
            <w:shd w:val="clear" w:color="auto" w:fill="FFFFFF"/>
            <w:vAlign w:val="center"/>
          </w:tcPr>
          <w:p w14:paraId="1F1E2F37">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27.0903</w:t>
            </w:r>
          </w:p>
        </w:tc>
        <w:tc>
          <w:tcPr>
            <w:tcW w:w="1485" w:type="dxa"/>
            <w:shd w:val="clear" w:color="auto" w:fill="FFFFFF"/>
            <w:vAlign w:val="center"/>
          </w:tcPr>
          <w:p w14:paraId="0FAD2FEB">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0.0000</w:t>
            </w:r>
          </w:p>
        </w:tc>
        <w:tc>
          <w:tcPr>
            <w:tcW w:w="1524" w:type="dxa"/>
            <w:shd w:val="clear" w:color="auto" w:fill="FFFFFF"/>
            <w:vAlign w:val="center"/>
          </w:tcPr>
          <w:p w14:paraId="65A85096">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33.1054</w:t>
            </w:r>
          </w:p>
        </w:tc>
        <w:tc>
          <w:tcPr>
            <w:tcW w:w="1466" w:type="dxa"/>
            <w:shd w:val="clear" w:color="auto" w:fill="FFFFFF"/>
            <w:vAlign w:val="center"/>
          </w:tcPr>
          <w:p w14:paraId="65A3342D">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0.0000</w:t>
            </w:r>
          </w:p>
        </w:tc>
        <w:tc>
          <w:tcPr>
            <w:tcW w:w="1269" w:type="dxa"/>
            <w:shd w:val="clear" w:color="auto" w:fill="FFFFFF"/>
            <w:vAlign w:val="center"/>
          </w:tcPr>
          <w:p w14:paraId="5F9320ED">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69.8736</w:t>
            </w:r>
          </w:p>
        </w:tc>
      </w:tr>
      <w:tr w14:paraId="6754BB2C">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8" w:type="dxa"/>
            <w:shd w:val="clear" w:color="auto" w:fill="FFFFFF"/>
            <w:vAlign w:val="center"/>
          </w:tcPr>
          <w:p w14:paraId="27E85FB6">
            <w:pPr>
              <w:keepNext w:val="0"/>
              <w:keepLines w:val="0"/>
              <w:pageBreakBefore w:val="0"/>
              <w:kinsoku/>
              <w:wordWrap/>
              <w:overflowPunct/>
              <w:topLinePunct w:val="0"/>
              <w:autoSpaceDE/>
              <w:autoSpaceDN/>
              <w:bidi w:val="0"/>
              <w:adjustRightInd/>
              <w:snapToGrid/>
              <w:ind w:firstLine="0" w:firstLineChars="0"/>
              <w:textAlignment w:val="auto"/>
              <w:rPr>
                <w:rFonts w:hint="eastAsia"/>
                <w:sz w:val="21"/>
                <w:szCs w:val="21"/>
              </w:rPr>
            </w:pPr>
            <w:r>
              <w:rPr>
                <w:rFonts w:hint="eastAsia"/>
                <w:sz w:val="21"/>
                <w:szCs w:val="21"/>
                <w:lang w:val="en-US" w:eastAsia="zh-CN"/>
              </w:rPr>
              <w:t>AI词频ERS</w:t>
            </w:r>
          </w:p>
        </w:tc>
        <w:tc>
          <w:tcPr>
            <w:tcW w:w="1542" w:type="dxa"/>
            <w:shd w:val="clear" w:color="auto" w:fill="FFFFFF"/>
            <w:vAlign w:val="center"/>
          </w:tcPr>
          <w:p w14:paraId="21BCB45B">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19.3214</w:t>
            </w:r>
          </w:p>
        </w:tc>
        <w:tc>
          <w:tcPr>
            <w:tcW w:w="1485" w:type="dxa"/>
            <w:shd w:val="clear" w:color="auto" w:fill="FFFFFF"/>
            <w:vAlign w:val="center"/>
          </w:tcPr>
          <w:p w14:paraId="697E3BF7">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15.4340</w:t>
            </w:r>
          </w:p>
        </w:tc>
        <w:tc>
          <w:tcPr>
            <w:tcW w:w="1524" w:type="dxa"/>
            <w:shd w:val="clear" w:color="auto" w:fill="FFFFFF"/>
            <w:vAlign w:val="center"/>
          </w:tcPr>
          <w:p w14:paraId="74CAC8F8">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17.2099</w:t>
            </w:r>
          </w:p>
        </w:tc>
        <w:tc>
          <w:tcPr>
            <w:tcW w:w="1466" w:type="dxa"/>
            <w:shd w:val="clear" w:color="auto" w:fill="FFFFFF"/>
            <w:vAlign w:val="center"/>
          </w:tcPr>
          <w:p w14:paraId="20080FBB">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0.0000</w:t>
            </w:r>
          </w:p>
        </w:tc>
        <w:tc>
          <w:tcPr>
            <w:tcW w:w="1269" w:type="dxa"/>
            <w:shd w:val="clear" w:color="auto" w:fill="FFFFFF"/>
            <w:vAlign w:val="center"/>
          </w:tcPr>
          <w:p w14:paraId="287CF334">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64.8750</w:t>
            </w:r>
          </w:p>
        </w:tc>
      </w:tr>
      <w:tr w14:paraId="76C25CF0">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8" w:type="dxa"/>
            <w:tcBorders>
              <w:bottom w:val="single" w:color="000000" w:sz="12" w:space="0"/>
            </w:tcBorders>
            <w:shd w:val="clear" w:color="auto" w:fill="FFFFFF"/>
            <w:vAlign w:val="center"/>
          </w:tcPr>
          <w:p w14:paraId="4AAF74EB">
            <w:pPr>
              <w:keepNext w:val="0"/>
              <w:keepLines w:val="0"/>
              <w:pageBreakBefore w:val="0"/>
              <w:kinsoku/>
              <w:wordWrap/>
              <w:overflowPunct/>
              <w:topLinePunct w:val="0"/>
              <w:autoSpaceDE/>
              <w:autoSpaceDN/>
              <w:bidi w:val="0"/>
              <w:adjustRightInd/>
              <w:snapToGrid/>
              <w:ind w:firstLine="0" w:firstLineChars="0"/>
              <w:textAlignment w:val="auto"/>
              <w:rPr>
                <w:rFonts w:hint="eastAsia"/>
                <w:sz w:val="21"/>
                <w:szCs w:val="21"/>
              </w:rPr>
            </w:pPr>
            <w:r>
              <w:rPr>
                <w:rFonts w:hint="eastAsia"/>
                <w:sz w:val="21"/>
                <w:szCs w:val="21"/>
                <w:lang w:val="en-US" w:eastAsia="zh-CN"/>
              </w:rPr>
              <w:t>企业综合ERS</w:t>
            </w:r>
          </w:p>
        </w:tc>
        <w:tc>
          <w:tcPr>
            <w:tcW w:w="1542" w:type="dxa"/>
            <w:tcBorders>
              <w:bottom w:val="single" w:color="000000" w:sz="12" w:space="0"/>
            </w:tcBorders>
            <w:shd w:val="clear" w:color="auto" w:fill="FFFFFF"/>
            <w:vAlign w:val="center"/>
          </w:tcPr>
          <w:p w14:paraId="69DAB3B9">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24.7597</w:t>
            </w:r>
          </w:p>
        </w:tc>
        <w:tc>
          <w:tcPr>
            <w:tcW w:w="1485" w:type="dxa"/>
            <w:tcBorders>
              <w:bottom w:val="single" w:color="000000" w:sz="12" w:space="0"/>
            </w:tcBorders>
            <w:shd w:val="clear" w:color="auto" w:fill="FFFFFF"/>
            <w:vAlign w:val="center"/>
          </w:tcPr>
          <w:p w14:paraId="3A5CC252">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6.3331</w:t>
            </w:r>
          </w:p>
        </w:tc>
        <w:tc>
          <w:tcPr>
            <w:tcW w:w="1524" w:type="dxa"/>
            <w:tcBorders>
              <w:bottom w:val="single" w:color="000000" w:sz="12" w:space="0"/>
            </w:tcBorders>
            <w:shd w:val="clear" w:color="auto" w:fill="FFFFFF"/>
            <w:vAlign w:val="center"/>
          </w:tcPr>
          <w:p w14:paraId="059F7039">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26.2676</w:t>
            </w:r>
          </w:p>
        </w:tc>
        <w:tc>
          <w:tcPr>
            <w:tcW w:w="1466" w:type="dxa"/>
            <w:tcBorders>
              <w:bottom w:val="single" w:color="000000" w:sz="12" w:space="0"/>
            </w:tcBorders>
            <w:shd w:val="clear" w:color="auto" w:fill="FFFFFF"/>
            <w:vAlign w:val="center"/>
          </w:tcPr>
          <w:p w14:paraId="6EFB32AE">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0.0000</w:t>
            </w:r>
          </w:p>
        </w:tc>
        <w:tc>
          <w:tcPr>
            <w:tcW w:w="1269" w:type="dxa"/>
            <w:tcBorders>
              <w:bottom w:val="single" w:color="000000" w:sz="12" w:space="0"/>
            </w:tcBorders>
            <w:shd w:val="clear" w:color="auto" w:fill="FFFFFF"/>
            <w:vAlign w:val="center"/>
          </w:tcPr>
          <w:p w14:paraId="5958AB78">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68.1791</w:t>
            </w:r>
          </w:p>
        </w:tc>
      </w:tr>
    </w:tbl>
    <w:p w14:paraId="66F6A53B">
      <w:pPr>
        <w:bidi w:val="0"/>
      </w:pPr>
      <w:r>
        <w:t>进一步看，暴露倍数领先的企业（</w:t>
      </w:r>
      <w:r>
        <w:rPr>
          <w:rFonts w:hint="eastAsia"/>
        </w:rPr>
        <w:t>宝兰德</w:t>
      </w:r>
      <w:r>
        <w:rPr>
          <w:rFonts w:hint="eastAsia"/>
          <w:lang w:val="en-US" w:eastAsia="zh-CN"/>
        </w:rPr>
        <w:t>8.67</w:t>
      </w:r>
      <w:r>
        <w:t>、</w:t>
      </w:r>
      <w:r>
        <w:rPr>
          <w:rFonts w:hint="eastAsia"/>
        </w:rPr>
        <w:t>威胜信息</w:t>
      </w:r>
      <w:r>
        <w:rPr>
          <w:rFonts w:hint="eastAsia"/>
          <w:lang w:val="en-US" w:eastAsia="zh-CN"/>
        </w:rPr>
        <w:t>8.56</w:t>
      </w:r>
      <w:r>
        <w:t>、</w:t>
      </w:r>
      <w:r>
        <w:rPr>
          <w:rFonts w:hint="eastAsia"/>
        </w:rPr>
        <w:t>虹软科技</w:t>
      </w:r>
      <w:r>
        <w:rPr>
          <w:rFonts w:hint="eastAsia"/>
          <w:lang w:val="en-US" w:eastAsia="zh-CN"/>
        </w:rPr>
        <w:t>8.44</w:t>
      </w:r>
      <w:r>
        <w:t>、</w:t>
      </w:r>
      <w:r>
        <w:rPr>
          <w:rFonts w:hint="eastAsia"/>
        </w:rPr>
        <w:t>安恒信息</w:t>
      </w:r>
      <w:r>
        <w:rPr>
          <w:rFonts w:hint="eastAsia"/>
          <w:lang w:val="en-US" w:eastAsia="zh-CN"/>
        </w:rPr>
        <w:t>7.00</w:t>
      </w:r>
      <w:r>
        <w:t>）多为机器视觉与个性化算法领域的深度布局者，其企业综合ERS同样位居前列，说明两个指标在头部高度一致；而暴露倍数最高可达12.</w:t>
      </w:r>
      <w:r>
        <w:rPr>
          <w:rFonts w:hint="eastAsia"/>
          <w:lang w:val="en-US" w:eastAsia="zh-CN"/>
        </w:rPr>
        <w:t>29</w:t>
      </w:r>
      <w:r>
        <w:t>、词频暴露倍数最高可达</w:t>
      </w:r>
      <w:r>
        <w:rPr>
          <w:rFonts w:hint="eastAsia"/>
          <w:lang w:val="en-US" w:eastAsia="zh-CN"/>
        </w:rPr>
        <w:t>15.83</w:t>
      </w:r>
      <w:r>
        <w:t>，均远高于中位数，印证了右偏分布的特征，也决定了后文四象限划分采用中位数而非均值作分割点。</w:t>
      </w:r>
    </w:p>
    <w:p w14:paraId="77A7AC2E">
      <w:pPr>
        <w:pStyle w:val="4"/>
        <w:numPr>
          <w:ilvl w:val="0"/>
          <w:numId w:val="0"/>
        </w:numPr>
        <w:bidi w:val="0"/>
        <w:ind w:left="0" w:leftChars="0" w:firstLine="562" w:firstLineChars="200"/>
        <w:rPr>
          <w:rFonts w:hint="default"/>
          <w:lang w:val="en-US" w:eastAsia="zh-CN"/>
        </w:rPr>
      </w:pPr>
      <w:bookmarkStart w:id="20" w:name="_Toc15513"/>
      <w:r>
        <w:rPr>
          <w:rFonts w:hint="eastAsia" w:ascii="Times New Roman" w:hAnsi="Times New Roman" w:eastAsia="宋体" w:cstheme="majorBidi"/>
          <w:b/>
          <w:color w:val="000000" w:themeColor="text1"/>
          <w:kern w:val="2"/>
          <w:sz w:val="28"/>
          <w:szCs w:val="40"/>
          <w:lang w:val="en-US" w:eastAsia="zh-CN" w:bidi="ar-SA"/>
          <w14:textFill>
            <w14:solidFill>
              <w14:schemeClr w14:val="tx1"/>
            </w14:solidFill>
          </w14:textFill>
        </w:rPr>
        <w:t>（</w:t>
      </w:r>
      <w:r>
        <w:rPr>
          <w:rFonts w:hint="eastAsia" w:cstheme="majorBidi"/>
          <w:b/>
          <w:color w:val="000000" w:themeColor="text1"/>
          <w:kern w:val="2"/>
          <w:sz w:val="28"/>
          <w:szCs w:val="40"/>
          <w:lang w:val="en-US" w:eastAsia="zh-CN" w:bidi="ar-SA"/>
          <w14:textFill>
            <w14:solidFill>
              <w14:schemeClr w14:val="tx1"/>
            </w14:solidFill>
          </w14:textFill>
        </w:rPr>
        <w:t>四</w:t>
      </w:r>
      <w:r>
        <w:rPr>
          <w:rFonts w:hint="eastAsia" w:ascii="Times New Roman" w:hAnsi="Times New Roman" w:eastAsia="宋体" w:cstheme="majorBidi"/>
          <w:b/>
          <w:color w:val="000000" w:themeColor="text1"/>
          <w:kern w:val="2"/>
          <w:sz w:val="28"/>
          <w:szCs w:val="40"/>
          <w:lang w:val="en-US" w:eastAsia="zh-CN" w:bidi="ar-SA"/>
          <w14:textFill>
            <w14:solidFill>
              <w14:schemeClr w14:val="tx1"/>
            </w14:solidFill>
          </w14:textFill>
        </w:rPr>
        <w:t>）</w:t>
      </w:r>
      <w:r>
        <w:rPr>
          <w:rFonts w:hint="eastAsia"/>
          <w:lang w:val="en-US" w:eastAsia="zh-CN"/>
        </w:rPr>
        <w:t>科创企业风险分布与解读</w:t>
      </w:r>
      <w:bookmarkEnd w:id="20"/>
    </w:p>
    <w:p w14:paraId="0138BD1B">
      <w:pPr>
        <w:rPr>
          <w:rFonts w:hint="default"/>
          <w:lang w:val="en-US" w:eastAsia="zh-CN"/>
        </w:rPr>
      </w:pPr>
      <w:r>
        <w:rPr>
          <w:rFonts w:hint="default"/>
          <w:lang w:val="en-US" w:eastAsia="zh-CN"/>
        </w:rPr>
        <w:t>本研究在四象限划分中，横轴暴露倍数与纵轴</w:t>
      </w:r>
      <w:r>
        <w:rPr>
          <w:rFonts w:hint="eastAsia"/>
          <w:lang w:val="en-US" w:eastAsia="zh-CN"/>
        </w:rPr>
        <w:t>企业</w:t>
      </w:r>
      <w:r>
        <w:rPr>
          <w:rFonts w:hint="default"/>
          <w:lang w:val="en-US" w:eastAsia="zh-CN"/>
        </w:rPr>
        <w:t>综合ERS采用了差异化的阈值设定逻辑。横轴以样本的90%分位数作为高低暴露的分界，仅将暴露倍数处于分布末梢10%的企业界定为高暴露频率企业</w:t>
      </w:r>
      <w:r>
        <w:rPr>
          <w:rFonts w:hint="eastAsia"/>
          <w:lang w:val="en-US" w:eastAsia="zh-CN"/>
        </w:rPr>
        <w:t>，</w:t>
      </w:r>
      <w:r>
        <w:rPr>
          <w:rFonts w:hint="default"/>
          <w:lang w:val="en-US" w:eastAsia="zh-CN"/>
        </w:rPr>
        <w:t>这是因为AI技术应用强度在企业间呈现明显的长尾分布特征，采用90%分位数能够精准识别出尾部极端高暴露群体。纵轴则以样本ERS均值作为高低严重性的分界，高于均值即界定为高严重性风险企业</w:t>
      </w:r>
      <w:r>
        <w:rPr>
          <w:rFonts w:hint="eastAsia"/>
          <w:lang w:val="en-US" w:eastAsia="zh-CN"/>
        </w:rPr>
        <w:t>，</w:t>
      </w:r>
      <w:r>
        <w:rPr>
          <w:rFonts w:hint="default"/>
          <w:lang w:val="en-US" w:eastAsia="zh-CN"/>
        </w:rPr>
        <w:t>ERS本身已是经过标准化处理的可比评分，均值反映了样本企业的平均风险水位，以此作为阈值可使象限划分具有</w:t>
      </w:r>
      <w:r>
        <w:rPr>
          <w:rFonts w:hint="eastAsia"/>
          <w:lang w:val="en-US" w:eastAsia="zh-CN"/>
        </w:rPr>
        <w:t>“</w:t>
      </w:r>
      <w:r>
        <w:rPr>
          <w:rFonts w:hint="default"/>
          <w:lang w:val="en-US" w:eastAsia="zh-CN"/>
        </w:rPr>
        <w:t>高于或低于行业一般水平</w:t>
      </w:r>
      <w:r>
        <w:rPr>
          <w:rFonts w:hint="eastAsia"/>
          <w:lang w:val="en-US" w:eastAsia="zh-CN"/>
        </w:rPr>
        <w:t>”</w:t>
      </w:r>
      <w:r>
        <w:rPr>
          <w:rFonts w:hint="default"/>
          <w:lang w:val="en-US" w:eastAsia="zh-CN"/>
        </w:rPr>
        <w:t>的直观经济含义。两者结合，横轴捕捉极端高频暴露的少数企业，纵轴区分高于平均严重性的较广泛群体，共同完成了对企业AI伦理风险频率与强度两个维度的分类。</w:t>
      </w:r>
    </w:p>
    <w:p w14:paraId="03BAADDA">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5759450" cy="3684270"/>
            <wp:effectExtent l="0" t="0" r="6350" b="11430"/>
            <wp:docPr id="27" name="图片 27" descr="新xin四象限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新xin四象限1"/>
                    <pic:cNvPicPr>
                      <a:picLocks noChangeAspect="1"/>
                    </pic:cNvPicPr>
                  </pic:nvPicPr>
                  <pic:blipFill>
                    <a:blip r:embed="rId14"/>
                    <a:stretch>
                      <a:fillRect/>
                    </a:stretch>
                  </pic:blipFill>
                  <pic:spPr>
                    <a:xfrm>
                      <a:off x="0" y="0"/>
                      <a:ext cx="5759450" cy="3684270"/>
                    </a:xfrm>
                    <a:prstGeom prst="rect">
                      <a:avLst/>
                    </a:prstGeom>
                  </pic:spPr>
                </pic:pic>
              </a:graphicData>
            </a:graphic>
          </wp:inline>
        </w:drawing>
      </w:r>
    </w:p>
    <w:p w14:paraId="64E0F793">
      <w:pPr>
        <w:pageBreakBefore w:val="0"/>
        <w:widowControl/>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color w:val="0D0D0D" w:themeColor="text1" w:themeTint="F2"/>
          <w:sz w:val="21"/>
          <w:szCs w:val="20"/>
          <w:lang w:eastAsia="zh-CN"/>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sz w:val="21"/>
          <w:szCs w:val="18"/>
          <w14:textFill>
            <w14:solidFill>
              <w14:schemeClr w14:val="tx1">
                <w14:lumMod w14:val="95000"/>
                <w14:lumOff w14:val="5000"/>
              </w14:schemeClr>
            </w14:solidFill>
          </w14:textFill>
        </w:rPr>
        <w:t>图4-</w:t>
      </w:r>
      <w:r>
        <w:rPr>
          <w:rFonts w:hint="eastAsia" w:cs="Times New Roman"/>
          <w:color w:val="0D0D0D" w:themeColor="text1" w:themeTint="F2"/>
          <w:sz w:val="21"/>
          <w:szCs w:val="18"/>
          <w:lang w:val="en-US" w:eastAsia="zh-CN"/>
          <w14:textFill>
            <w14:solidFill>
              <w14:schemeClr w14:val="tx1">
                <w14:lumMod w14:val="95000"/>
                <w14:lumOff w14:val="5000"/>
              </w14:schemeClr>
            </w14:solidFill>
          </w14:textFill>
        </w:rPr>
        <w:t>1</w:t>
      </w:r>
      <w:r>
        <w:rPr>
          <w:rFonts w:ascii="Times New Roman" w:hAnsi="Times New Roman" w:eastAsia="宋体" w:cs="Times New Roman"/>
          <w:color w:val="0D0D0D" w:themeColor="text1" w:themeTint="F2"/>
          <w:sz w:val="21"/>
          <w:szCs w:val="18"/>
          <w14:textFill>
            <w14:solidFill>
              <w14:schemeClr w14:val="tx1">
                <w14:lumMod w14:val="95000"/>
                <w14:lumOff w14:val="5000"/>
              </w14:schemeClr>
            </w14:solidFill>
          </w14:textFill>
        </w:rPr>
        <w:t>科创企业</w:t>
      </w:r>
      <w:r>
        <w:rPr>
          <w:rFonts w:hint="eastAsia" w:cs="Times New Roman"/>
          <w:color w:val="0D0D0D" w:themeColor="text1" w:themeTint="F2"/>
          <w:sz w:val="21"/>
          <w:szCs w:val="18"/>
          <w:lang w:val="en-US" w:eastAsia="zh-CN"/>
          <w14:textFill>
            <w14:solidFill>
              <w14:schemeClr w14:val="tx1">
                <w14:lumMod w14:val="95000"/>
                <w14:lumOff w14:val="5000"/>
              </w14:schemeClr>
            </w14:solidFill>
          </w14:textFill>
        </w:rPr>
        <w:t>AI伦理风险</w:t>
      </w:r>
      <w:r>
        <w:rPr>
          <w:rFonts w:ascii="Times New Roman" w:hAnsi="Times New Roman" w:eastAsia="宋体" w:cs="Times New Roman"/>
          <w:color w:val="0D0D0D" w:themeColor="text1" w:themeTint="F2"/>
          <w:sz w:val="21"/>
          <w:szCs w:val="18"/>
          <w14:textFill>
            <w14:solidFill>
              <w14:schemeClr w14:val="tx1">
                <w14:lumMod w14:val="95000"/>
                <w14:lumOff w14:val="5000"/>
              </w14:schemeClr>
            </w14:solidFill>
          </w14:textFill>
        </w:rPr>
        <w:t>分布</w:t>
      </w:r>
    </w:p>
    <w:p w14:paraId="703A29EE">
      <w:pPr>
        <w:bidi w:val="0"/>
      </w:pPr>
      <w:r>
        <w:t>从四象限分布来看，超过半数企业（57.5%）集中在低暴露低ER</w:t>
      </w:r>
      <w:bookmarkStart w:id="73" w:name="_GoBack"/>
      <w:bookmarkEnd w:id="73"/>
      <w:r>
        <w:t>S的Q3象限，说明当前科创板大部分企业的AI技术应用强度有限，伦理风险尚处于可控区间。低暴露高ERS的Q2占比32.2%，是第二大群体</w:t>
      </w:r>
      <w:r>
        <w:rPr>
          <w:rFonts w:hint="eastAsia"/>
          <w:lang w:eastAsia="zh-CN"/>
        </w:rPr>
        <w:t>，</w:t>
      </w:r>
      <w:r>
        <w:t>这部分企业虽然当前AI暴露不高，但其所处的技术领域本身具有较高的伦理风险基准，一旦未来加大AI投入，风险可能快速攀升。高暴露高ERS的Q1仅占8.2%，是真正的极端风险群体。高暴露低ERS的Q4占比仅2.1%，几乎可以忽略不计，说明</w:t>
      </w:r>
      <w:r>
        <w:rPr>
          <w:rFonts w:hint="eastAsia"/>
          <w:lang w:eastAsia="zh-CN"/>
        </w:rPr>
        <w:t>“</w:t>
      </w:r>
      <w:r>
        <w:t>用了大量AI但风险不高</w:t>
      </w:r>
      <w:r>
        <w:rPr>
          <w:rFonts w:hint="eastAsia"/>
          <w:lang w:eastAsia="zh-CN"/>
        </w:rPr>
        <w:t>”</w:t>
      </w:r>
      <w:r>
        <w:t>的情形在现实中确实极为罕见。整体来看，虽然近90%的企业处于低暴露区间，科创板AI伦理风险尚未成为普遍问题，但Q2和Q3合计占比超过80%的事实同样说明，处于中低风险区间的企业才是风险管理覆盖的基本盘。四象限划分的意义在于让每一类企业都能找到与其风险特征相匹配的管理路径，这正是后续</w:t>
      </w:r>
      <w:r>
        <w:rPr>
          <w:rFonts w:hint="eastAsia"/>
          <w:lang w:val="en-US" w:eastAsia="zh-CN"/>
        </w:rPr>
        <w:t>六</w:t>
      </w:r>
      <w:r>
        <w:t>维管理体系的</w:t>
      </w:r>
      <w:r>
        <w:rPr>
          <w:rFonts w:hint="eastAsia"/>
          <w:lang w:val="en-US" w:eastAsia="zh-CN"/>
        </w:rPr>
        <w:t>数据基础</w:t>
      </w:r>
      <w:r>
        <w:t>。</w:t>
      </w:r>
    </w:p>
    <w:p w14:paraId="2895E3D4">
      <w:pPr>
        <w:pageBreakBefore w:val="0"/>
        <w:widowControl/>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color w:val="0D0D0D" w:themeColor="text1" w:themeTint="F2"/>
          <w:sz w:val="22"/>
          <w:szCs w:val="21"/>
          <w:lang w:val="en-US" w:eastAsia="zh-CN"/>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sz w:val="21"/>
          <w:szCs w:val="18"/>
          <w14:textFill>
            <w14:solidFill>
              <w14:schemeClr w14:val="tx1">
                <w14:lumMod w14:val="95000"/>
                <w14:lumOff w14:val="5000"/>
              </w14:schemeClr>
            </w14:solidFill>
          </w14:textFill>
        </w:rPr>
        <w:t>表4-3</w:t>
      </w:r>
      <w:r>
        <w:rPr>
          <w:rFonts w:hint="eastAsia" w:cs="Times New Roman"/>
          <w:color w:val="0D0D0D" w:themeColor="text1" w:themeTint="F2"/>
          <w:sz w:val="21"/>
          <w:szCs w:val="18"/>
          <w:lang w:val="en-US" w:eastAsia="zh-CN"/>
          <w14:textFill>
            <w14:solidFill>
              <w14:schemeClr w14:val="tx1">
                <w14:lumMod w14:val="95000"/>
                <w14:lumOff w14:val="5000"/>
              </w14:schemeClr>
            </w14:solidFill>
          </w14:textFill>
        </w:rPr>
        <w:t>科创企业风险</w:t>
      </w:r>
      <w:r>
        <w:rPr>
          <w:rFonts w:ascii="Times New Roman" w:hAnsi="Times New Roman" w:eastAsia="宋体" w:cs="Times New Roman"/>
          <w:color w:val="0D0D0D" w:themeColor="text1" w:themeTint="F2"/>
          <w:sz w:val="21"/>
          <w:szCs w:val="18"/>
          <w14:textFill>
            <w14:solidFill>
              <w14:schemeClr w14:val="tx1">
                <w14:lumMod w14:val="95000"/>
                <w14:lumOff w14:val="5000"/>
              </w14:schemeClr>
            </w14:solidFill>
          </w14:textFill>
        </w:rPr>
        <w:t>分布与典型</w:t>
      </w:r>
      <w:r>
        <w:rPr>
          <w:rFonts w:hint="eastAsia" w:cs="Times New Roman"/>
          <w:color w:val="0D0D0D" w:themeColor="text1" w:themeTint="F2"/>
          <w:sz w:val="21"/>
          <w:szCs w:val="18"/>
          <w:lang w:val="en-US" w:eastAsia="zh-CN"/>
          <w14:textFill>
            <w14:solidFill>
              <w14:schemeClr w14:val="tx1">
                <w14:lumMod w14:val="95000"/>
                <w14:lumOff w14:val="5000"/>
              </w14:schemeClr>
            </w14:solidFill>
          </w14:textFill>
        </w:rPr>
        <w:t>案例</w:t>
      </w:r>
    </w:p>
    <w:tbl>
      <w:tblPr>
        <w:tblStyle w:val="44"/>
        <w:tblW w:w="0" w:type="auto"/>
        <w:jc w:val="center"/>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4"/>
        <w:gridCol w:w="1560"/>
        <w:gridCol w:w="1417"/>
        <w:gridCol w:w="1559"/>
        <w:gridCol w:w="3402"/>
      </w:tblGrid>
      <w:tr w14:paraId="2D3A7130">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34" w:type="dxa"/>
            <w:tcBorders>
              <w:top w:val="single" w:color="000000" w:sz="12" w:space="0"/>
              <w:bottom w:val="single" w:color="000000" w:sz="4" w:space="0"/>
              <w:tl2br w:val="nil"/>
            </w:tcBorders>
            <w:shd w:val="clear" w:color="auto" w:fill="FFFFFF"/>
            <w:vAlign w:val="center"/>
          </w:tcPr>
          <w:p w14:paraId="3DD7D5A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象限</w:t>
            </w:r>
          </w:p>
        </w:tc>
        <w:tc>
          <w:tcPr>
            <w:tcW w:w="1560" w:type="dxa"/>
            <w:tcBorders>
              <w:top w:val="single" w:color="000000" w:sz="12" w:space="0"/>
              <w:bottom w:val="single" w:color="000000" w:sz="4" w:space="0"/>
            </w:tcBorders>
            <w:shd w:val="clear" w:color="auto" w:fill="FFFFFF"/>
            <w:vAlign w:val="center"/>
          </w:tcPr>
          <w:p w14:paraId="79E9011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特征</w:t>
            </w:r>
          </w:p>
        </w:tc>
        <w:tc>
          <w:tcPr>
            <w:tcW w:w="1417" w:type="dxa"/>
            <w:tcBorders>
              <w:top w:val="single" w:color="000000" w:sz="12" w:space="0"/>
              <w:bottom w:val="single" w:color="000000" w:sz="4" w:space="0"/>
            </w:tcBorders>
            <w:shd w:val="clear" w:color="auto" w:fill="FFFFFF"/>
            <w:vAlign w:val="center"/>
          </w:tcPr>
          <w:p w14:paraId="4B56C65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企业数</w:t>
            </w:r>
          </w:p>
        </w:tc>
        <w:tc>
          <w:tcPr>
            <w:tcW w:w="1559" w:type="dxa"/>
            <w:tcBorders>
              <w:top w:val="single" w:color="000000" w:sz="12" w:space="0"/>
              <w:bottom w:val="single" w:color="000000" w:sz="4" w:space="0"/>
            </w:tcBorders>
            <w:shd w:val="clear" w:color="auto" w:fill="FFFFFF"/>
            <w:vAlign w:val="center"/>
          </w:tcPr>
          <w:p w14:paraId="60DF54B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占比（%）</w:t>
            </w:r>
          </w:p>
        </w:tc>
        <w:tc>
          <w:tcPr>
            <w:tcW w:w="3402" w:type="dxa"/>
            <w:tcBorders>
              <w:top w:val="single" w:color="000000" w:sz="12" w:space="0"/>
              <w:bottom w:val="single" w:color="000000" w:sz="4" w:space="0"/>
            </w:tcBorders>
            <w:shd w:val="clear" w:color="auto" w:fill="FFFFFF"/>
            <w:vAlign w:val="center"/>
          </w:tcPr>
          <w:p w14:paraId="218EF38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典型企业</w:t>
            </w:r>
          </w:p>
        </w:tc>
      </w:tr>
      <w:tr w14:paraId="308131F2">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single" w:color="000000" w:sz="4" w:space="0"/>
            </w:tcBorders>
            <w:shd w:val="clear" w:color="auto" w:fill="FFFFFF"/>
            <w:vAlign w:val="center"/>
          </w:tcPr>
          <w:p w14:paraId="317C808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Q1</w:t>
            </w:r>
          </w:p>
        </w:tc>
        <w:tc>
          <w:tcPr>
            <w:tcW w:w="1560" w:type="dxa"/>
            <w:tcBorders>
              <w:top w:val="single" w:color="000000" w:sz="4" w:space="0"/>
            </w:tcBorders>
            <w:shd w:val="clear" w:color="auto" w:fill="FFFFFF"/>
            <w:vAlign w:val="center"/>
          </w:tcPr>
          <w:p w14:paraId="5C524EC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pPr>
            <w:r>
              <w:rPr>
                <w:rFonts w:hint="eastAsia" w:cs="Times New Roman"/>
                <w:color w:val="0D0D0D" w:themeColor="text1" w:themeTint="F2"/>
                <w:kern w:val="0"/>
                <w:sz w:val="21"/>
                <w:szCs w:val="21"/>
                <w:lang w:val="en-US" w:eastAsia="zh-CN"/>
                <w14:textFill>
                  <w14:solidFill>
                    <w14:schemeClr w14:val="tx1">
                      <w14:lumMod w14:val="95000"/>
                      <w14:lumOff w14:val="5000"/>
                    </w14:schemeClr>
                  </w14:solidFill>
                </w14:textFill>
              </w:rPr>
              <w:t>高</w:t>
            </w:r>
            <w:r>
              <w:rPr>
                <w:rFonts w:hint="eastAsia"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频风险暴露高损失强度</w:t>
            </w:r>
          </w:p>
        </w:tc>
        <w:tc>
          <w:tcPr>
            <w:tcW w:w="1417" w:type="dxa"/>
            <w:tcBorders>
              <w:top w:val="single" w:color="000000" w:sz="4" w:space="0"/>
            </w:tcBorders>
            <w:shd w:val="clear" w:color="auto" w:fill="FFFFFF"/>
            <w:vAlign w:val="center"/>
          </w:tcPr>
          <w:p w14:paraId="6DEA732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0D0D0D" w:themeColor="text1" w:themeTint="F2"/>
                <w:kern w:val="0"/>
                <w:sz w:val="21"/>
                <w:szCs w:val="21"/>
                <w:lang w:val="en-US" w:eastAsia="zh-CN"/>
                <w14:textFill>
                  <w14:solidFill>
                    <w14:schemeClr w14:val="tx1">
                      <w14:lumMod w14:val="95000"/>
                      <w14:lumOff w14:val="5000"/>
                    </w14:schemeClr>
                  </w14:solidFill>
                </w14:textFill>
              </w:rPr>
            </w:pPr>
            <w:r>
              <w:rPr>
                <w:rFonts w:hint="eastAsia" w:cs="Times New Roman"/>
                <w:color w:val="0D0D0D" w:themeColor="text1" w:themeTint="F2"/>
                <w:kern w:val="0"/>
                <w:sz w:val="21"/>
                <w:szCs w:val="21"/>
                <w:lang w:val="en-US" w:eastAsia="zh-CN"/>
                <w14:textFill>
                  <w14:solidFill>
                    <w14:schemeClr w14:val="tx1">
                      <w14:lumMod w14:val="95000"/>
                      <w14:lumOff w14:val="5000"/>
                    </w14:schemeClr>
                  </w14:solidFill>
                </w14:textFill>
              </w:rPr>
              <w:t>12</w:t>
            </w:r>
          </w:p>
        </w:tc>
        <w:tc>
          <w:tcPr>
            <w:tcW w:w="1559" w:type="dxa"/>
            <w:tcBorders>
              <w:top w:val="single" w:color="000000" w:sz="4" w:space="0"/>
            </w:tcBorders>
            <w:shd w:val="clear" w:color="auto" w:fill="FFFFFF"/>
            <w:vAlign w:val="center"/>
          </w:tcPr>
          <w:p w14:paraId="5F24074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0D0D0D" w:themeColor="text1" w:themeTint="F2"/>
                <w:kern w:val="0"/>
                <w:sz w:val="21"/>
                <w:szCs w:val="21"/>
                <w:lang w:val="en-US" w:eastAsia="zh-CN"/>
                <w14:textFill>
                  <w14:solidFill>
                    <w14:schemeClr w14:val="tx1">
                      <w14:lumMod w14:val="95000"/>
                      <w14:lumOff w14:val="5000"/>
                    </w14:schemeClr>
                  </w14:solidFill>
                </w14:textFill>
              </w:rPr>
            </w:pPr>
            <w:r>
              <w:rPr>
                <w:rFonts w:hint="eastAsia" w:cs="Times New Roman"/>
                <w:color w:val="0D0D0D" w:themeColor="text1" w:themeTint="F2"/>
                <w:kern w:val="0"/>
                <w:sz w:val="21"/>
                <w:szCs w:val="21"/>
                <w:lang w:val="en-US" w:eastAsia="zh-CN"/>
                <w14:textFill>
                  <w14:solidFill>
                    <w14:schemeClr w14:val="tx1">
                      <w14:lumMod w14:val="95000"/>
                      <w14:lumOff w14:val="5000"/>
                    </w14:schemeClr>
                  </w14:solidFill>
                </w14:textFill>
              </w:rPr>
              <w:t>8.2</w:t>
            </w:r>
          </w:p>
        </w:tc>
        <w:tc>
          <w:tcPr>
            <w:tcW w:w="3402" w:type="dxa"/>
            <w:tcBorders>
              <w:top w:val="single" w:color="000000" w:sz="4" w:space="0"/>
            </w:tcBorders>
            <w:shd w:val="clear" w:color="auto" w:fill="FFFFFF"/>
            <w:vAlign w:val="center"/>
          </w:tcPr>
          <w:p w14:paraId="0C54353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kern w:val="0"/>
                <w:sz w:val="21"/>
                <w:szCs w:val="21"/>
                <w:lang w:val="en-US" w:eastAsia="zh-CN"/>
                <w14:textFill>
                  <w14:solidFill>
                    <w14:schemeClr w14:val="tx1">
                      <w14:lumMod w14:val="95000"/>
                      <w14:lumOff w14:val="5000"/>
                    </w14:schemeClr>
                  </w14:solidFill>
                </w14:textFill>
              </w:rPr>
              <w:t>海尔生物</w:t>
            </w:r>
            <w:r>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w:t>
            </w:r>
            <w:r>
              <w:rPr>
                <w:rFonts w:ascii="Times New Roman" w:hAnsi="Times New Roman" w:eastAsia="宋体" w:cs="Times New Roman"/>
                <w:color w:val="0D0D0D" w:themeColor="text1" w:themeTint="F2"/>
                <w:kern w:val="0"/>
                <w:sz w:val="21"/>
                <w:szCs w:val="21"/>
                <w:lang w:val="en-US" w:eastAsia="zh-CN"/>
                <w14:textFill>
                  <w14:solidFill>
                    <w14:schemeClr w14:val="tx1">
                      <w14:lumMod w14:val="95000"/>
                      <w14:lumOff w14:val="5000"/>
                    </w14:schemeClr>
                  </w14:solidFill>
                </w14:textFill>
              </w:rPr>
              <w:t>威胜信息</w:t>
            </w:r>
            <w:r>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w:t>
            </w:r>
            <w:r>
              <w:rPr>
                <w:rFonts w:ascii="Times New Roman" w:hAnsi="Times New Roman" w:eastAsia="宋体" w:cs="Times New Roman"/>
                <w:color w:val="0D0D0D" w:themeColor="text1" w:themeTint="F2"/>
                <w:kern w:val="0"/>
                <w:sz w:val="21"/>
                <w:szCs w:val="21"/>
                <w:lang w:val="en-US" w:eastAsia="zh-CN"/>
                <w14:textFill>
                  <w14:solidFill>
                    <w14:schemeClr w14:val="tx1">
                      <w14:lumMod w14:val="95000"/>
                      <w14:lumOff w14:val="5000"/>
                    </w14:schemeClr>
                  </w14:solidFill>
                </w14:textFill>
              </w:rPr>
              <w:t>龙软科技</w:t>
            </w:r>
          </w:p>
        </w:tc>
      </w:tr>
      <w:tr w14:paraId="34C4CBBF">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shd w:val="clear" w:color="auto" w:fill="FFFFFF"/>
            <w:vAlign w:val="center"/>
          </w:tcPr>
          <w:p w14:paraId="10C1268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Q2</w:t>
            </w:r>
          </w:p>
        </w:tc>
        <w:tc>
          <w:tcPr>
            <w:tcW w:w="1560" w:type="dxa"/>
            <w:shd w:val="clear" w:color="auto" w:fill="FFFFFF"/>
            <w:vAlign w:val="center"/>
          </w:tcPr>
          <w:p w14:paraId="53556CF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pPr>
            <w:r>
              <w:rPr>
                <w:rFonts w:hint="eastAsia" w:cs="Times New Roman"/>
                <w:color w:val="0D0D0D" w:themeColor="text1" w:themeTint="F2"/>
                <w:kern w:val="0"/>
                <w:sz w:val="21"/>
                <w:szCs w:val="21"/>
                <w:lang w:val="en-US" w:eastAsia="zh-CN"/>
                <w14:textFill>
                  <w14:solidFill>
                    <w14:schemeClr w14:val="tx1">
                      <w14:lumMod w14:val="95000"/>
                      <w14:lumOff w14:val="5000"/>
                    </w14:schemeClr>
                  </w14:solidFill>
                </w14:textFill>
              </w:rPr>
              <w:t>低</w:t>
            </w:r>
            <w:r>
              <w:rPr>
                <w:rFonts w:hint="eastAsia"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频风险暴露高损失强度</w:t>
            </w:r>
          </w:p>
        </w:tc>
        <w:tc>
          <w:tcPr>
            <w:tcW w:w="1417" w:type="dxa"/>
            <w:shd w:val="clear" w:color="auto" w:fill="FFFFFF"/>
            <w:vAlign w:val="center"/>
          </w:tcPr>
          <w:p w14:paraId="31BEB6B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0D0D0D" w:themeColor="text1" w:themeTint="F2"/>
                <w:kern w:val="0"/>
                <w:sz w:val="21"/>
                <w:szCs w:val="21"/>
                <w:lang w:val="en-US" w:eastAsia="zh-CN"/>
                <w14:textFill>
                  <w14:solidFill>
                    <w14:schemeClr w14:val="tx1">
                      <w14:lumMod w14:val="95000"/>
                      <w14:lumOff w14:val="5000"/>
                    </w14:schemeClr>
                  </w14:solidFill>
                </w14:textFill>
              </w:rPr>
            </w:pPr>
            <w:r>
              <w:rPr>
                <w:rFonts w:hint="eastAsia" w:cs="Times New Roman"/>
                <w:color w:val="0D0D0D" w:themeColor="text1" w:themeTint="F2"/>
                <w:kern w:val="0"/>
                <w:sz w:val="21"/>
                <w:szCs w:val="21"/>
                <w:lang w:val="en-US" w:eastAsia="zh-CN"/>
                <w14:textFill>
                  <w14:solidFill>
                    <w14:schemeClr w14:val="tx1">
                      <w14:lumMod w14:val="95000"/>
                      <w14:lumOff w14:val="5000"/>
                    </w14:schemeClr>
                  </w14:solidFill>
                </w14:textFill>
              </w:rPr>
              <w:t>47</w:t>
            </w:r>
          </w:p>
        </w:tc>
        <w:tc>
          <w:tcPr>
            <w:tcW w:w="1559" w:type="dxa"/>
            <w:shd w:val="clear" w:color="auto" w:fill="FFFFFF"/>
            <w:vAlign w:val="center"/>
          </w:tcPr>
          <w:p w14:paraId="5BE6DFD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0D0D0D" w:themeColor="text1" w:themeTint="F2"/>
                <w:kern w:val="0"/>
                <w:sz w:val="21"/>
                <w:szCs w:val="21"/>
                <w:lang w:val="en-US" w:eastAsia="zh-CN"/>
                <w14:textFill>
                  <w14:solidFill>
                    <w14:schemeClr w14:val="tx1">
                      <w14:lumMod w14:val="95000"/>
                      <w14:lumOff w14:val="5000"/>
                    </w14:schemeClr>
                  </w14:solidFill>
                </w14:textFill>
              </w:rPr>
            </w:pPr>
            <w:r>
              <w:rPr>
                <w:rFonts w:hint="eastAsia" w:cs="Times New Roman"/>
                <w:color w:val="0D0D0D" w:themeColor="text1" w:themeTint="F2"/>
                <w:kern w:val="0"/>
                <w:sz w:val="21"/>
                <w:szCs w:val="21"/>
                <w:lang w:val="en-US" w:eastAsia="zh-CN"/>
                <w14:textFill>
                  <w14:solidFill>
                    <w14:schemeClr w14:val="tx1">
                      <w14:lumMod w14:val="95000"/>
                      <w14:lumOff w14:val="5000"/>
                    </w14:schemeClr>
                  </w14:solidFill>
                </w14:textFill>
              </w:rPr>
              <w:t>32.2</w:t>
            </w:r>
          </w:p>
        </w:tc>
        <w:tc>
          <w:tcPr>
            <w:tcW w:w="3402" w:type="dxa"/>
            <w:shd w:val="clear" w:color="auto" w:fill="FFFFFF"/>
            <w:vAlign w:val="center"/>
          </w:tcPr>
          <w:p w14:paraId="75F3AC2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kern w:val="0"/>
                <w:sz w:val="21"/>
                <w:szCs w:val="21"/>
                <w:lang w:val="en-US" w:eastAsia="zh-CN"/>
                <w14:textFill>
                  <w14:solidFill>
                    <w14:schemeClr w14:val="tx1">
                      <w14:lumMod w14:val="95000"/>
                      <w14:lumOff w14:val="5000"/>
                    </w14:schemeClr>
                  </w14:solidFill>
                </w14:textFill>
              </w:rPr>
              <w:t>金山办公</w:t>
            </w:r>
            <w:r>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w:t>
            </w:r>
            <w:r>
              <w:rPr>
                <w:rFonts w:ascii="Times New Roman" w:hAnsi="Times New Roman" w:eastAsia="宋体" w:cs="Times New Roman"/>
                <w:color w:val="0D0D0D" w:themeColor="text1" w:themeTint="F2"/>
                <w:kern w:val="0"/>
                <w:sz w:val="21"/>
                <w:szCs w:val="21"/>
                <w:lang w:val="en-US" w:eastAsia="zh-CN"/>
                <w14:textFill>
                  <w14:solidFill>
                    <w14:schemeClr w14:val="tx1">
                      <w14:lumMod w14:val="95000"/>
                      <w14:lumOff w14:val="5000"/>
                    </w14:schemeClr>
                  </w14:solidFill>
                </w14:textFill>
              </w:rPr>
              <w:t>天准科技</w:t>
            </w:r>
            <w:r>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w:t>
            </w:r>
            <w:r>
              <w:rPr>
                <w:rFonts w:hint="eastAsia"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晶华微电子</w:t>
            </w:r>
          </w:p>
        </w:tc>
      </w:tr>
      <w:tr w14:paraId="17839CE4">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shd w:val="clear" w:color="auto" w:fill="FFFFFF"/>
            <w:vAlign w:val="center"/>
          </w:tcPr>
          <w:p w14:paraId="007DAFB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Q3</w:t>
            </w:r>
          </w:p>
        </w:tc>
        <w:tc>
          <w:tcPr>
            <w:tcW w:w="1560" w:type="dxa"/>
            <w:shd w:val="clear" w:color="auto" w:fill="FFFFFF"/>
            <w:vAlign w:val="center"/>
          </w:tcPr>
          <w:p w14:paraId="4A20D3F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pPr>
            <w:r>
              <w:rPr>
                <w:rFonts w:hint="eastAsia" w:cs="Times New Roman"/>
                <w:color w:val="0D0D0D" w:themeColor="text1" w:themeTint="F2"/>
                <w:kern w:val="0"/>
                <w:sz w:val="21"/>
                <w:szCs w:val="21"/>
                <w:lang w:val="en-US" w:eastAsia="zh-CN"/>
                <w14:textFill>
                  <w14:solidFill>
                    <w14:schemeClr w14:val="tx1">
                      <w14:lumMod w14:val="95000"/>
                      <w14:lumOff w14:val="5000"/>
                    </w14:schemeClr>
                  </w14:solidFill>
                </w14:textFill>
              </w:rPr>
              <w:t>低</w:t>
            </w:r>
            <w:r>
              <w:rPr>
                <w:rFonts w:hint="eastAsia"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频风险暴露</w:t>
            </w:r>
            <w:r>
              <w:rPr>
                <w:rFonts w:hint="eastAsia" w:cs="Times New Roman"/>
                <w:color w:val="0D0D0D" w:themeColor="text1" w:themeTint="F2"/>
                <w:kern w:val="0"/>
                <w:sz w:val="21"/>
                <w:szCs w:val="21"/>
                <w:lang w:val="en-US" w:eastAsia="zh-CN"/>
                <w14:textFill>
                  <w14:solidFill>
                    <w14:schemeClr w14:val="tx1">
                      <w14:lumMod w14:val="95000"/>
                      <w14:lumOff w14:val="5000"/>
                    </w14:schemeClr>
                  </w14:solidFill>
                </w14:textFill>
              </w:rPr>
              <w:t>低</w:t>
            </w:r>
            <w:r>
              <w:rPr>
                <w:rFonts w:hint="eastAsia"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损失强度</w:t>
            </w:r>
          </w:p>
        </w:tc>
        <w:tc>
          <w:tcPr>
            <w:tcW w:w="1417" w:type="dxa"/>
            <w:shd w:val="clear" w:color="auto" w:fill="FFFFFF"/>
            <w:vAlign w:val="center"/>
          </w:tcPr>
          <w:p w14:paraId="520CAED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0D0D0D" w:themeColor="text1" w:themeTint="F2"/>
                <w:kern w:val="0"/>
                <w:sz w:val="21"/>
                <w:szCs w:val="21"/>
                <w:lang w:val="en-US" w:eastAsia="zh-CN"/>
                <w14:textFill>
                  <w14:solidFill>
                    <w14:schemeClr w14:val="tx1">
                      <w14:lumMod w14:val="95000"/>
                      <w14:lumOff w14:val="5000"/>
                    </w14:schemeClr>
                  </w14:solidFill>
                </w14:textFill>
              </w:rPr>
            </w:pPr>
            <w:r>
              <w:rPr>
                <w:rFonts w:hint="eastAsia" w:cs="Times New Roman"/>
                <w:color w:val="0D0D0D" w:themeColor="text1" w:themeTint="F2"/>
                <w:kern w:val="0"/>
                <w:sz w:val="21"/>
                <w:szCs w:val="21"/>
                <w:lang w:val="en-US" w:eastAsia="zh-CN"/>
                <w14:textFill>
                  <w14:solidFill>
                    <w14:schemeClr w14:val="tx1">
                      <w14:lumMod w14:val="95000"/>
                      <w14:lumOff w14:val="5000"/>
                    </w14:schemeClr>
                  </w14:solidFill>
                </w14:textFill>
              </w:rPr>
              <w:t>84</w:t>
            </w:r>
          </w:p>
        </w:tc>
        <w:tc>
          <w:tcPr>
            <w:tcW w:w="1559" w:type="dxa"/>
            <w:shd w:val="clear" w:color="auto" w:fill="FFFFFF"/>
            <w:vAlign w:val="center"/>
          </w:tcPr>
          <w:p w14:paraId="7102484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0D0D0D" w:themeColor="text1" w:themeTint="F2"/>
                <w:kern w:val="0"/>
                <w:sz w:val="21"/>
                <w:szCs w:val="21"/>
                <w:lang w:val="en-US" w:eastAsia="zh-CN"/>
                <w14:textFill>
                  <w14:solidFill>
                    <w14:schemeClr w14:val="tx1">
                      <w14:lumMod w14:val="95000"/>
                      <w14:lumOff w14:val="5000"/>
                    </w14:schemeClr>
                  </w14:solidFill>
                </w14:textFill>
              </w:rPr>
            </w:pPr>
            <w:r>
              <w:rPr>
                <w:rFonts w:hint="eastAsia" w:cs="Times New Roman"/>
                <w:color w:val="0D0D0D" w:themeColor="text1" w:themeTint="F2"/>
                <w:kern w:val="0"/>
                <w:sz w:val="21"/>
                <w:szCs w:val="21"/>
                <w:lang w:val="en-US" w:eastAsia="zh-CN"/>
                <w14:textFill>
                  <w14:solidFill>
                    <w14:schemeClr w14:val="tx1">
                      <w14:lumMod w14:val="95000"/>
                      <w14:lumOff w14:val="5000"/>
                    </w14:schemeClr>
                  </w14:solidFill>
                </w14:textFill>
              </w:rPr>
              <w:t>57.5</w:t>
            </w:r>
          </w:p>
        </w:tc>
        <w:tc>
          <w:tcPr>
            <w:tcW w:w="3402" w:type="dxa"/>
            <w:shd w:val="clear" w:color="auto" w:fill="FFFFFF"/>
            <w:vAlign w:val="center"/>
          </w:tcPr>
          <w:p w14:paraId="3A78D64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color w:val="0D0D0D" w:themeColor="text1" w:themeTint="F2"/>
                <w:kern w:val="0"/>
                <w:sz w:val="21"/>
                <w:szCs w:val="21"/>
                <w:lang w:eastAsia="zh-CN"/>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kern w:val="0"/>
                <w:sz w:val="21"/>
                <w:szCs w:val="21"/>
                <w:lang w:val="en-US" w:eastAsia="zh-CN"/>
                <w14:textFill>
                  <w14:solidFill>
                    <w14:schemeClr w14:val="tx1">
                      <w14:lumMod w14:val="95000"/>
                      <w14:lumOff w14:val="5000"/>
                    </w14:schemeClr>
                  </w14:solidFill>
                </w14:textFill>
              </w:rPr>
              <w:t>龙腾光电</w:t>
            </w:r>
            <w:r>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、国盾量子</w:t>
            </w:r>
            <w:r>
              <w:rPr>
                <w:rFonts w:hint="eastAsia" w:cs="Times New Roman"/>
                <w:color w:val="0D0D0D" w:themeColor="text1" w:themeTint="F2"/>
                <w:kern w:val="0"/>
                <w:sz w:val="21"/>
                <w:szCs w:val="21"/>
                <w:lang w:eastAsia="zh-CN"/>
                <w14:textFill>
                  <w14:solidFill>
                    <w14:schemeClr w14:val="tx1">
                      <w14:lumMod w14:val="95000"/>
                      <w14:lumOff w14:val="5000"/>
                    </w14:schemeClr>
                  </w14:solidFill>
                </w14:textFill>
              </w:rPr>
              <w:t>、</w:t>
            </w:r>
            <w:r>
              <w:rPr>
                <w:rFonts w:hint="eastAsia" w:cs="Times New Roman"/>
                <w:color w:val="0D0D0D" w:themeColor="text1" w:themeTint="F2"/>
                <w:kern w:val="0"/>
                <w:sz w:val="21"/>
                <w:szCs w:val="21"/>
                <w:lang w:val="en-US" w:eastAsia="zh-CN"/>
                <w14:textFill>
                  <w14:solidFill>
                    <w14:schemeClr w14:val="tx1">
                      <w14:lumMod w14:val="95000"/>
                      <w14:lumOff w14:val="5000"/>
                    </w14:schemeClr>
                  </w14:solidFill>
                </w14:textFill>
              </w:rPr>
              <w:t>杭可科技</w:t>
            </w:r>
          </w:p>
        </w:tc>
      </w:tr>
      <w:tr w14:paraId="5D7930B6">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bottom w:val="single" w:color="000000" w:sz="12" w:space="0"/>
            </w:tcBorders>
            <w:shd w:val="clear" w:color="auto" w:fill="FFFFFF"/>
            <w:vAlign w:val="center"/>
          </w:tcPr>
          <w:p w14:paraId="20E5362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Q4</w:t>
            </w:r>
          </w:p>
        </w:tc>
        <w:tc>
          <w:tcPr>
            <w:tcW w:w="1560" w:type="dxa"/>
            <w:tcBorders>
              <w:bottom w:val="single" w:color="000000" w:sz="12" w:space="0"/>
            </w:tcBorders>
            <w:shd w:val="clear" w:color="auto" w:fill="FFFFFF"/>
            <w:vAlign w:val="center"/>
          </w:tcPr>
          <w:p w14:paraId="2B350A6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pPr>
            <w:r>
              <w:rPr>
                <w:rFonts w:hint="eastAsia" w:cs="Times New Roman"/>
                <w:color w:val="0D0D0D" w:themeColor="text1" w:themeTint="F2"/>
                <w:kern w:val="0"/>
                <w:sz w:val="21"/>
                <w:szCs w:val="21"/>
                <w:lang w:val="en-US" w:eastAsia="zh-CN"/>
                <w14:textFill>
                  <w14:solidFill>
                    <w14:schemeClr w14:val="tx1">
                      <w14:lumMod w14:val="95000"/>
                      <w14:lumOff w14:val="5000"/>
                    </w14:schemeClr>
                  </w14:solidFill>
                </w14:textFill>
              </w:rPr>
              <w:t>高</w:t>
            </w:r>
            <w:r>
              <w:rPr>
                <w:rFonts w:hint="eastAsia"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频风险暴露</w:t>
            </w:r>
            <w:r>
              <w:rPr>
                <w:rFonts w:hint="eastAsia" w:cs="Times New Roman"/>
                <w:color w:val="0D0D0D" w:themeColor="text1" w:themeTint="F2"/>
                <w:kern w:val="0"/>
                <w:sz w:val="21"/>
                <w:szCs w:val="21"/>
                <w:lang w:val="en-US" w:eastAsia="zh-CN"/>
                <w14:textFill>
                  <w14:solidFill>
                    <w14:schemeClr w14:val="tx1">
                      <w14:lumMod w14:val="95000"/>
                      <w14:lumOff w14:val="5000"/>
                    </w14:schemeClr>
                  </w14:solidFill>
                </w14:textFill>
              </w:rPr>
              <w:t>低</w:t>
            </w:r>
            <w:r>
              <w:rPr>
                <w:rFonts w:hint="eastAsia"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损失强度</w:t>
            </w:r>
          </w:p>
        </w:tc>
        <w:tc>
          <w:tcPr>
            <w:tcW w:w="1417" w:type="dxa"/>
            <w:tcBorders>
              <w:bottom w:val="single" w:color="000000" w:sz="12" w:space="0"/>
            </w:tcBorders>
            <w:shd w:val="clear" w:color="auto" w:fill="FFFFFF"/>
            <w:vAlign w:val="center"/>
          </w:tcPr>
          <w:p w14:paraId="2F03FA3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color w:val="0D0D0D" w:themeColor="text1" w:themeTint="F2"/>
                <w:kern w:val="0"/>
                <w:sz w:val="21"/>
                <w:szCs w:val="21"/>
                <w:lang w:val="en-US" w:eastAsia="zh-CN"/>
                <w14:textFill>
                  <w14:solidFill>
                    <w14:schemeClr w14:val="tx1">
                      <w14:lumMod w14:val="95000"/>
                      <w14:lumOff w14:val="5000"/>
                    </w14:schemeClr>
                  </w14:solidFill>
                </w14:textFill>
              </w:rPr>
            </w:pPr>
            <w:r>
              <w:rPr>
                <w:rFonts w:hint="eastAsia" w:cs="Times New Roman"/>
                <w:color w:val="0D0D0D" w:themeColor="text1" w:themeTint="F2"/>
                <w:kern w:val="0"/>
                <w:sz w:val="21"/>
                <w:szCs w:val="21"/>
                <w:lang w:val="en-US" w:eastAsia="zh-CN"/>
                <w14:textFill>
                  <w14:solidFill>
                    <w14:schemeClr w14:val="tx1">
                      <w14:lumMod w14:val="95000"/>
                      <w14:lumOff w14:val="5000"/>
                    </w14:schemeClr>
                  </w14:solidFill>
                </w14:textFill>
              </w:rPr>
              <w:t>3</w:t>
            </w:r>
          </w:p>
        </w:tc>
        <w:tc>
          <w:tcPr>
            <w:tcW w:w="1559" w:type="dxa"/>
            <w:tcBorders>
              <w:bottom w:val="single" w:color="000000" w:sz="12" w:space="0"/>
            </w:tcBorders>
            <w:shd w:val="clear" w:color="auto" w:fill="FFFFFF"/>
            <w:vAlign w:val="center"/>
          </w:tcPr>
          <w:p w14:paraId="0FAD0DB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color w:val="0D0D0D" w:themeColor="text1" w:themeTint="F2"/>
                <w:kern w:val="0"/>
                <w:sz w:val="21"/>
                <w:szCs w:val="21"/>
                <w:lang w:val="en-US" w:eastAsia="zh-CN"/>
                <w14:textFill>
                  <w14:solidFill>
                    <w14:schemeClr w14:val="tx1">
                      <w14:lumMod w14:val="95000"/>
                      <w14:lumOff w14:val="5000"/>
                    </w14:schemeClr>
                  </w14:solidFill>
                </w14:textFill>
              </w:rPr>
            </w:pPr>
            <w:r>
              <w:rPr>
                <w:rFonts w:hint="eastAsia" w:cs="Times New Roman"/>
                <w:color w:val="0D0D0D" w:themeColor="text1" w:themeTint="F2"/>
                <w:kern w:val="0"/>
                <w:sz w:val="21"/>
                <w:szCs w:val="21"/>
                <w:lang w:val="en-US" w:eastAsia="zh-CN"/>
                <w14:textFill>
                  <w14:solidFill>
                    <w14:schemeClr w14:val="tx1">
                      <w14:lumMod w14:val="95000"/>
                      <w14:lumOff w14:val="5000"/>
                    </w14:schemeClr>
                  </w14:solidFill>
                </w14:textFill>
              </w:rPr>
              <w:t>2.1</w:t>
            </w:r>
          </w:p>
        </w:tc>
        <w:tc>
          <w:tcPr>
            <w:tcW w:w="3402" w:type="dxa"/>
            <w:tcBorders>
              <w:bottom w:val="single" w:color="000000" w:sz="12" w:space="0"/>
            </w:tcBorders>
            <w:shd w:val="clear" w:color="auto" w:fill="FFFFFF"/>
            <w:vAlign w:val="center"/>
          </w:tcPr>
          <w:p w14:paraId="080DA86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pPr>
            <w:r>
              <w:rPr>
                <w:rFonts w:ascii="Times New Roman" w:hAnsi="Times New Roman" w:eastAsia="宋体" w:cs="Times New Roman"/>
                <w:color w:val="0D0D0D" w:themeColor="text1" w:themeTint="F2"/>
                <w:kern w:val="0"/>
                <w:sz w:val="21"/>
                <w:szCs w:val="21"/>
                <w:lang w:val="en-US" w:eastAsia="zh-CN"/>
                <w14:textFill>
                  <w14:solidFill>
                    <w14:schemeClr w14:val="tx1">
                      <w14:lumMod w14:val="95000"/>
                      <w14:lumOff w14:val="5000"/>
                    </w14:schemeClr>
                  </w14:solidFill>
                </w14:textFill>
              </w:rPr>
              <w:t>安恒</w:t>
            </w:r>
            <w:r>
              <w:rPr>
                <w:rFonts w:hint="eastAsia" w:cs="Times New Roman"/>
                <w:color w:val="0D0D0D" w:themeColor="text1" w:themeTint="F2"/>
                <w:kern w:val="0"/>
                <w:sz w:val="21"/>
                <w:szCs w:val="21"/>
                <w:lang w:val="en-US" w:eastAsia="zh-CN"/>
                <w14:textFill>
                  <w14:solidFill>
                    <w14:schemeClr w14:val="tx1">
                      <w14:lumMod w14:val="95000"/>
                      <w14:lumOff w14:val="5000"/>
                    </w14:schemeClr>
                  </w14:solidFill>
                </w14:textFill>
              </w:rPr>
              <w:t>信科</w:t>
            </w:r>
            <w:r>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w:t>
            </w:r>
            <w:r>
              <w:rPr>
                <w:rFonts w:ascii="Times New Roman" w:hAnsi="Times New Roman" w:eastAsia="宋体" w:cs="Times New Roman"/>
                <w:color w:val="0D0D0D" w:themeColor="text1" w:themeTint="F2"/>
                <w:kern w:val="0"/>
                <w:sz w:val="21"/>
                <w:szCs w:val="21"/>
                <w:lang w:val="en-US" w:eastAsia="zh-CN"/>
                <w14:textFill>
                  <w14:solidFill>
                    <w14:schemeClr w14:val="tx1">
                      <w14:lumMod w14:val="95000"/>
                      <w14:lumOff w14:val="5000"/>
                    </w14:schemeClr>
                  </w14:solidFill>
                </w14:textFill>
              </w:rPr>
              <w:t>炬芯科技</w:t>
            </w:r>
            <w:r>
              <w:rPr>
                <w:rFonts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w:t>
            </w:r>
            <w:r>
              <w:rPr>
                <w:rFonts w:hint="eastAsia" w:ascii="Times New Roman" w:hAnsi="Times New Roman" w:eastAsia="宋体" w:cs="Times New Roman"/>
                <w:color w:val="0D0D0D" w:themeColor="text1" w:themeTint="F2"/>
                <w:kern w:val="0"/>
                <w:sz w:val="21"/>
                <w:szCs w:val="21"/>
                <w14:textFill>
                  <w14:solidFill>
                    <w14:schemeClr w14:val="tx1">
                      <w14:lumMod w14:val="95000"/>
                      <w14:lumOff w14:val="5000"/>
                    </w14:schemeClr>
                  </w14:solidFill>
                </w14:textFill>
              </w:rPr>
              <w:t>麒麟信安</w:t>
            </w:r>
          </w:p>
        </w:tc>
      </w:tr>
    </w:tbl>
    <w:p w14:paraId="3C9B0D2D">
      <w:pPr>
        <w:pStyle w:val="4"/>
        <w:numPr>
          <w:ilvl w:val="0"/>
          <w:numId w:val="13"/>
        </w:numPr>
        <w:bidi w:val="0"/>
        <w:rPr>
          <w:rFonts w:hint="eastAsia"/>
          <w:lang w:val="en-US" w:eastAsia="zh-CN"/>
        </w:rPr>
      </w:pPr>
      <w:bookmarkStart w:id="21" w:name="_Toc8851"/>
      <w:r>
        <w:rPr>
          <w:rFonts w:hint="eastAsia"/>
          <w:lang w:val="en-US" w:eastAsia="zh-CN"/>
        </w:rPr>
        <w:t>进一步分析</w:t>
      </w:r>
      <w:bookmarkEnd w:id="21"/>
    </w:p>
    <w:p w14:paraId="0C8A110F">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default"/>
          <w:lang w:val="en-US" w:eastAsia="zh-CN"/>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1．</w:t>
      </w:r>
      <w:r>
        <w:rPr>
          <w:rFonts w:hint="eastAsia"/>
          <w:lang w:val="en-US" w:eastAsia="zh-CN"/>
        </w:rPr>
        <w:t>科创企业AI关注度变化趋势</w:t>
      </w:r>
    </w:p>
    <w:p w14:paraId="1B28B008">
      <w:pPr>
        <w:bidi w:val="0"/>
        <w:rPr>
          <w:lang w:val="en-US" w:eastAsia="zh-CN"/>
        </w:rPr>
      </w:pPr>
      <w:bookmarkStart w:id="22" w:name="OLE_LINK5"/>
      <w:r>
        <w:rPr>
          <w:lang w:val="en-US" w:eastAsia="zh-CN"/>
        </w:rPr>
        <w:t>在2019—2025年期间，上市公司年报篇幅（总词数）稳步增长了23.6%，而AI相关词汇的绝对频次增长了64.7%，密度（每万字AI词频）提升了约41.7%。这表明，企业对AI的关注</w:t>
      </w:r>
      <w:r>
        <w:rPr>
          <w:rFonts w:hint="eastAsia"/>
          <w:lang w:val="en-US" w:eastAsia="zh-CN"/>
        </w:rPr>
        <w:t>有显著提升</w:t>
      </w:r>
      <w:r>
        <w:rPr>
          <w:lang w:val="en-US" w:eastAsia="zh-CN"/>
        </w:rPr>
        <w:t>。</w:t>
      </w:r>
      <w:r>
        <w:rPr>
          <w:rFonts w:hint="eastAsia"/>
          <w:lang w:val="en-US" w:eastAsia="zh-CN"/>
        </w:rPr>
        <w:t>2020年是科创板/全市场年报AI关注的“斜率拐点”，AI词频增速首次大幅跑赢总词数增速，标志着AI从边缘话题跃升为核心战略语言。2022年之后，密度（每万字）稳定在1.5以上并持续攀升，说明AI成为类似“数字化转型”的长期基础设施话题，具体如图4-2所示。</w:t>
      </w:r>
    </w:p>
    <w:p w14:paraId="623254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lang w:val="en-US" w:eastAsia="zh-CN"/>
        </w:rPr>
      </w:pPr>
      <w:r>
        <w:rPr>
          <w:lang w:val="en-US" w:eastAsia="zh-CN"/>
        </w:rPr>
        <w:drawing>
          <wp:inline distT="0" distB="0" distL="114300" distR="114300">
            <wp:extent cx="4876800" cy="2302510"/>
            <wp:effectExtent l="0" t="0" r="0" b="0"/>
            <wp:docPr id="14" name="图片 14" descr="fb9eb901a5bb9d13c6fa4c68e85be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b9eb901a5bb9d13c6fa4c68e85bec54"/>
                    <pic:cNvPicPr>
                      <a:picLocks noChangeAspect="1"/>
                    </pic:cNvPicPr>
                  </pic:nvPicPr>
                  <pic:blipFill>
                    <a:blip r:embed="rId15"/>
                    <a:srcRect t="4654"/>
                    <a:stretch>
                      <a:fillRect/>
                    </a:stretch>
                  </pic:blipFill>
                  <pic:spPr>
                    <a:xfrm>
                      <a:off x="0" y="0"/>
                      <a:ext cx="4876800" cy="2302510"/>
                    </a:xfrm>
                    <a:prstGeom prst="rect">
                      <a:avLst/>
                    </a:prstGeom>
                  </pic:spPr>
                </pic:pic>
              </a:graphicData>
            </a:graphic>
          </wp:inline>
        </w:drawing>
      </w:r>
    </w:p>
    <w:p w14:paraId="0AD2FA7B">
      <w:pPr>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eastAsia"/>
          <w:sz w:val="21"/>
          <w:szCs w:val="20"/>
          <w:lang w:val="en-US" w:eastAsia="zh-CN"/>
        </w:rPr>
      </w:pPr>
      <w:r>
        <w:rPr>
          <w:rFonts w:hint="eastAsia"/>
          <w:sz w:val="21"/>
          <w:szCs w:val="20"/>
          <w:lang w:val="en-US" w:eastAsia="zh-CN"/>
        </w:rPr>
        <w:t>图4-2 2019—2025年科创企业AI关注度趋势图</w:t>
      </w:r>
    </w:p>
    <w:p w14:paraId="0BD99A25">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default"/>
          <w:lang w:val="en-US" w:eastAsia="zh-CN"/>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2．</w:t>
      </w:r>
      <w:r>
        <w:rPr>
          <w:rFonts w:hint="eastAsia"/>
          <w:lang w:val="en-US" w:eastAsia="zh-CN"/>
        </w:rPr>
        <w:t>科创企业各行业AI伦理风险情况</w:t>
      </w:r>
    </w:p>
    <w:p w14:paraId="12E0E806">
      <w:pPr>
        <w:rPr>
          <w:rFonts w:hint="default"/>
          <w:lang w:val="en-US" w:eastAsia="zh-CN"/>
        </w:rPr>
      </w:pPr>
      <w:r>
        <w:rPr>
          <w:rFonts w:hint="eastAsia"/>
          <w:lang w:val="en-US" w:eastAsia="zh-CN"/>
        </w:rPr>
        <w:t>如图4-3所示，</w:t>
      </w:r>
      <w:r>
        <w:rPr>
          <w:rFonts w:hint="default"/>
          <w:lang w:val="en-US" w:eastAsia="zh-CN"/>
        </w:rPr>
        <w:t>从行业分布来看，软件和信息技术服务业在暴露倍数（3.57）和综合ERS（42.12）上均遥遥领先于其他行业，是AI伦理风险最集中的</w:t>
      </w:r>
      <w:r>
        <w:rPr>
          <w:rFonts w:hint="eastAsia"/>
          <w:lang w:val="en-US" w:eastAsia="zh-CN"/>
        </w:rPr>
        <w:t>领域，</w:t>
      </w:r>
      <w:r>
        <w:rPr>
          <w:rFonts w:hint="default"/>
          <w:lang w:val="en-US" w:eastAsia="zh-CN"/>
        </w:rPr>
        <w:t>这与该行业天然与AI算法、数据驱动业务紧密相关、高频接触隐私数据与自动化决策的技术属性直接相关。仪器仪表制造业（暴露倍数2.05，ERS 28.18）和计算机、通信和其他电子设备制造业（暴露倍数1.73，ERS 27.48）构成第二梯队，前者反映机器视觉与边缘AI融入智能设备带来的新风险，后者涵盖芯片、终端设备、通信模块等AI集成环节。医药制造业、研究和试验发展等行业暴露倍数接近于零，表明其AI应用尚不深入，但需警惕医疗AI兴起带来的跨界风险。建议将软件和信息技术服务业作为重点监控对象，强化算法透明度与数据公平性审查；对仪器仪表制造和计算机通信电子行业中的高暴露企业（如传音控股、石头科技、天准科技等）进行定向排查。同时，考虑到AI技术持续向各行业渗透，建议定期更新统计以跟踪行业风险排序的动态变化。</w:t>
      </w:r>
    </w:p>
    <w:p w14:paraId="682447B2">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60720" cy="2274570"/>
            <wp:effectExtent l="0" t="0" r="1905" b="1905"/>
            <wp:docPr id="24" name="图片 24" descr="行业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行业统计"/>
                    <pic:cNvPicPr>
                      <a:picLocks noChangeAspect="1"/>
                    </pic:cNvPicPr>
                  </pic:nvPicPr>
                  <pic:blipFill>
                    <a:blip r:embed="rId16"/>
                    <a:stretch>
                      <a:fillRect/>
                    </a:stretch>
                  </pic:blipFill>
                  <pic:spPr>
                    <a:xfrm>
                      <a:off x="0" y="0"/>
                      <a:ext cx="5760720" cy="2274570"/>
                    </a:xfrm>
                    <a:prstGeom prst="rect">
                      <a:avLst/>
                    </a:prstGeom>
                  </pic:spPr>
                </pic:pic>
              </a:graphicData>
            </a:graphic>
          </wp:inline>
        </w:drawing>
      </w:r>
    </w:p>
    <w:p w14:paraId="7EB0EA72">
      <w:pPr>
        <w:ind w:left="0" w:leftChars="0" w:firstLine="0" w:firstLineChars="0"/>
        <w:jc w:val="center"/>
        <w:rPr>
          <w:rFonts w:hint="eastAsia"/>
          <w:sz w:val="21"/>
          <w:szCs w:val="20"/>
          <w:lang w:val="en-US" w:eastAsia="zh-CN"/>
        </w:rPr>
      </w:pPr>
      <w:r>
        <w:rPr>
          <w:rFonts w:hint="eastAsia"/>
          <w:sz w:val="21"/>
          <w:szCs w:val="20"/>
          <w:lang w:val="en-US" w:eastAsia="zh-CN"/>
        </w:rPr>
        <w:t>图4-3 各行业AI伦理风险分布情况</w:t>
      </w:r>
    </w:p>
    <w:p w14:paraId="7BFA57F4">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default"/>
          <w:lang w:val="en-US" w:eastAsia="zh-CN"/>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3．</w:t>
      </w:r>
      <w:r>
        <w:rPr>
          <w:rFonts w:hint="eastAsia"/>
          <w:lang w:val="en-US" w:eastAsia="zh-CN"/>
        </w:rPr>
        <w:t>科创企业研发投入与风险相关性</w:t>
      </w:r>
    </w:p>
    <w:p w14:paraId="59107C28">
      <w:pPr>
        <w:rPr>
          <w:rFonts w:hint="eastAsia"/>
          <w:lang w:val="en-US" w:eastAsia="zh-CN"/>
        </w:rPr>
      </w:pPr>
      <w:r>
        <w:t>本文对科创企业的研发强度与</w:t>
      </w:r>
      <w:r>
        <w:rPr>
          <w:rFonts w:hint="eastAsia"/>
          <w:lang w:val="en-US" w:eastAsia="zh-CN"/>
        </w:rPr>
        <w:t>AI伦理风险</w:t>
      </w:r>
      <w:r>
        <w:t>ERS</w:t>
      </w:r>
      <w:r>
        <w:rPr>
          <w:rFonts w:hint="eastAsia"/>
          <w:lang w:val="en-US" w:eastAsia="zh-CN"/>
        </w:rPr>
        <w:t>进行相关性分析</w:t>
      </w:r>
      <w:r>
        <w:t>。研发强度以各企业202</w:t>
      </w:r>
      <w:r>
        <w:rPr>
          <w:rFonts w:hint="eastAsia"/>
          <w:lang w:val="en-US" w:eastAsia="zh-CN"/>
        </w:rPr>
        <w:t>3</w:t>
      </w:r>
      <w:r>
        <w:t>—2025年</w:t>
      </w:r>
      <w:r>
        <w:rPr>
          <w:rFonts w:hint="eastAsia"/>
          <w:lang w:eastAsia="zh-CN"/>
        </w:rPr>
        <w:t>“</w:t>
      </w:r>
      <w:r>
        <w:t>研发投入占营业收入比例</w:t>
      </w:r>
      <w:r>
        <w:rPr>
          <w:rFonts w:hint="eastAsia"/>
          <w:lang w:eastAsia="zh-CN"/>
        </w:rPr>
        <w:t>”</w:t>
      </w:r>
      <w:r>
        <w:t>的年度均值衡量，ERS为企业综合伦理风险评分。创板企业研发强度均值为</w:t>
      </w:r>
      <w:r>
        <w:rPr>
          <w:rFonts w:hint="eastAsia"/>
          <w:lang w:val="en-US" w:eastAsia="zh-CN"/>
        </w:rPr>
        <w:t>16.68</w:t>
      </w:r>
      <w:r>
        <w:t>%，中位数为</w:t>
      </w:r>
      <w:r>
        <w:rPr>
          <w:rFonts w:hint="eastAsia"/>
          <w:lang w:val="en-US" w:eastAsia="zh-CN"/>
        </w:rPr>
        <w:t>14.17</w:t>
      </w:r>
      <w:r>
        <w:t>%，最小值为2.</w:t>
      </w:r>
      <w:r>
        <w:rPr>
          <w:rFonts w:hint="eastAsia"/>
          <w:lang w:val="en-US" w:eastAsia="zh-CN"/>
        </w:rPr>
        <w:t>60</w:t>
      </w:r>
      <w:r>
        <w:t>%，最大值为36.86%，整体研发投入水平较高，体现了科创板企业“硬科技”的属性特征，但企业间分化明显。</w:t>
      </w:r>
      <w:r>
        <w:rPr>
          <w:rFonts w:hint="eastAsia"/>
          <w:lang w:val="en-US" w:eastAsia="zh-CN"/>
        </w:rPr>
        <w:t>AI伦理风险</w:t>
      </w:r>
      <w:r>
        <w:t>ERS的均值为24.</w:t>
      </w:r>
      <w:r>
        <w:rPr>
          <w:rFonts w:hint="eastAsia"/>
          <w:lang w:val="en-US" w:eastAsia="zh-CN"/>
        </w:rPr>
        <w:t>89</w:t>
      </w:r>
      <w:r>
        <w:t>，中位数仅为6.</w:t>
      </w:r>
      <w:r>
        <w:rPr>
          <w:rFonts w:hint="eastAsia"/>
          <w:lang w:val="en-US" w:eastAsia="zh-CN"/>
        </w:rPr>
        <w:t>37</w:t>
      </w:r>
      <w:r>
        <w:t>，均值远大于中位数，说明ERS分布呈严重右偏形态</w:t>
      </w:r>
      <w:r>
        <w:rPr>
          <w:rFonts w:hint="eastAsia"/>
          <w:lang w:eastAsia="zh-CN"/>
        </w:rPr>
        <w:t>，</w:t>
      </w:r>
      <w:r>
        <w:rPr>
          <w:rFonts w:hint="eastAsia"/>
          <w:lang w:val="en-US" w:eastAsia="zh-CN"/>
        </w:rPr>
        <w:t>大</w:t>
      </w:r>
      <w:r>
        <w:t>部分企业ERS处于较低水平，少数企业获得极高评分，显著拉高了整体均值。</w:t>
      </w:r>
    </w:p>
    <w:p w14:paraId="59E4AE53">
      <w:pPr>
        <w:bidi w:val="0"/>
        <w:rPr>
          <w:rFonts w:hint="eastAsia"/>
          <w:lang w:val="en-US" w:eastAsia="zh-CN"/>
        </w:rPr>
      </w:pPr>
      <w:r>
        <w:rPr>
          <w:rFonts w:hint="eastAsia"/>
          <w:lang w:val="en-US" w:eastAsia="zh-CN"/>
        </w:rPr>
        <w:t>如图4-4，左侧散点图显示，拟合线向右上方倾斜，表明研发强度与ERS之间存在一定的正向关联。但样本点围绕拟合线高度离散，绝大多数集中在左下区域，而ERS超过50的极端值全部来自高研发样本，这是ERS均值远大于中位数的直观原因。右侧箱线图进一步表明，高研发组的ERS水平明显高于低、中两组，但其箱体高度最大、上须延伸至接近70、下须与中低组重叠，说明高研发组内部严重分化——部分企业能将研发投入有效转化为ESG绩效，另一些则未能实现。低、中两组中位数接近，且均存在大量低ERS样本，说明研发投入不足时企业几乎不可能获得高ERS评分。</w:t>
      </w:r>
    </w:p>
    <w:p w14:paraId="3ACCB9D3">
      <w:pPr>
        <w:bidi w:val="0"/>
        <w:rPr>
          <w:rFonts w:hint="eastAsia"/>
          <w:lang w:val="en-US" w:eastAsia="zh-CN"/>
        </w:rPr>
      </w:pPr>
      <w:r>
        <w:rPr>
          <w:rFonts w:hint="eastAsia"/>
          <w:lang w:val="en-US" w:eastAsia="zh-CN"/>
        </w:rPr>
        <w:t>综合两图，研发强度是影响AI伦理风险ERS的重要因素，但其效应呈现“门槛特征”和“异质性”，只有跨越一定研发投入水平后，高AI伦理风险ERS才可能实现，但能否实现还取决于企业的转化效率。</w:t>
      </w:r>
    </w:p>
    <w:p w14:paraId="7122809C">
      <w:pPr>
        <w:ind w:left="0" w:leftChars="0" w:firstLine="0" w:firstLineChars="0"/>
        <w:jc w:val="center"/>
        <w:rPr>
          <w:rFonts w:hint="eastAsia" w:eastAsia="宋体"/>
          <w:lang w:eastAsia="zh-CN"/>
        </w:rPr>
      </w:pPr>
    </w:p>
    <w:p w14:paraId="667A12D5">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60720" cy="1896110"/>
            <wp:effectExtent l="0" t="0" r="0" b="0"/>
            <wp:docPr id="25" name="图片 25" descr="研发投入与支出2023-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研发投入与支出2023-2025"/>
                    <pic:cNvPicPr>
                      <a:picLocks noChangeAspect="1"/>
                    </pic:cNvPicPr>
                  </pic:nvPicPr>
                  <pic:blipFill>
                    <a:blip r:embed="rId17"/>
                    <a:srcRect t="7840"/>
                    <a:stretch>
                      <a:fillRect/>
                    </a:stretch>
                  </pic:blipFill>
                  <pic:spPr>
                    <a:xfrm>
                      <a:off x="0" y="0"/>
                      <a:ext cx="5760720" cy="1896110"/>
                    </a:xfrm>
                    <a:prstGeom prst="rect">
                      <a:avLst/>
                    </a:prstGeom>
                  </pic:spPr>
                </pic:pic>
              </a:graphicData>
            </a:graphic>
          </wp:inline>
        </w:drawing>
      </w:r>
    </w:p>
    <w:p w14:paraId="35EDA57F">
      <w:pPr>
        <w:ind w:left="0" w:leftChars="0" w:firstLine="0" w:firstLineChars="0"/>
        <w:jc w:val="center"/>
        <w:rPr>
          <w:rFonts w:hint="eastAsia"/>
          <w:lang w:val="en-US" w:eastAsia="zh-CN"/>
        </w:rPr>
      </w:pPr>
      <w:r>
        <w:rPr>
          <w:rFonts w:hint="eastAsia"/>
          <w:lang w:val="en-US" w:eastAsia="zh-CN"/>
        </w:rPr>
        <w:t xml:space="preserve">图4-4 （左）研发强度与企业AI伦理风险的关系  </w:t>
      </w:r>
    </w:p>
    <w:p w14:paraId="3CD95B8A">
      <w:pPr>
        <w:ind w:left="0" w:leftChars="0" w:firstLine="0" w:firstLineChars="0"/>
        <w:jc w:val="center"/>
        <w:rPr>
          <w:rFonts w:hint="default" w:eastAsia="宋体"/>
          <w:lang w:val="en-US" w:eastAsia="zh-CN"/>
        </w:rPr>
      </w:pPr>
      <w:r>
        <w:rPr>
          <w:rFonts w:hint="eastAsia"/>
          <w:lang w:val="en-US" w:eastAsia="zh-CN"/>
        </w:rPr>
        <w:t>（右）不同研发强度企业的AI伦理分布图</w:t>
      </w:r>
    </w:p>
    <w:p w14:paraId="412DD9F9">
      <w:pPr>
        <w:pStyle w:val="3"/>
      </w:pPr>
      <w:bookmarkStart w:id="23" w:name="_Toc239454563"/>
      <w:bookmarkStart w:id="24" w:name="_Toc309"/>
      <w:r>
        <w:rPr>
          <w:rFonts w:hint="eastAsia"/>
        </w:rPr>
        <w:t>五、科创企业AI伦理风险的六维管理体系</w:t>
      </w:r>
      <w:bookmarkEnd w:id="23"/>
      <w:bookmarkEnd w:id="24"/>
    </w:p>
    <w:p w14:paraId="093835B4">
      <w:pPr>
        <w:ind w:firstLine="480"/>
        <w:rPr>
          <w:rFonts w:ascii="宋体" w:hAnsi="宋体" w:cs="宋体"/>
          <w:szCs w:val="24"/>
        </w:rPr>
      </w:pPr>
      <w:r>
        <w:rPr>
          <w:rFonts w:hint="eastAsia"/>
        </w:rPr>
        <w:t>基于前文对科创企业</w:t>
      </w:r>
      <w:r>
        <w:rPr>
          <w:rFonts w:hint="eastAsia"/>
          <w:lang w:val="en-US" w:eastAsia="zh-CN"/>
        </w:rPr>
        <w:t>AI伦理</w:t>
      </w:r>
      <w:r>
        <w:rPr>
          <w:rFonts w:hint="eastAsia"/>
        </w:rPr>
        <w:t>风险严重程度和企业AI</w:t>
      </w:r>
      <w:r>
        <w:rPr>
          <w:rFonts w:hint="eastAsia"/>
          <w:lang w:val="en-US" w:eastAsia="zh-CN"/>
        </w:rPr>
        <w:t>伦理</w:t>
      </w:r>
      <w:r>
        <w:rPr>
          <w:rFonts w:hint="eastAsia"/>
        </w:rPr>
        <w:t>风险发生频率的综合评估，可将科创企业的AI伦理风险划分为四个象限。不同象限的风险</w:t>
      </w:r>
      <w:r>
        <w:rPr>
          <w:rFonts w:hint="eastAsia"/>
          <w:lang w:val="en-US" w:eastAsia="zh-CN"/>
        </w:rPr>
        <w:t>有着</w:t>
      </w:r>
      <w:r>
        <w:rPr>
          <w:rFonts w:hint="eastAsia"/>
        </w:rPr>
        <w:t>不同的发生频率与损失强度，</w:t>
      </w:r>
      <w:r>
        <w:rPr>
          <w:rFonts w:ascii="宋体" w:hAnsi="宋体" w:cs="宋体"/>
          <w:szCs w:val="24"/>
        </w:rPr>
        <w:t>也意味着企业在风险管理重点和工具选择上存在差异</w:t>
      </w:r>
      <w:r>
        <w:rPr>
          <w:rFonts w:hint="eastAsia"/>
        </w:rPr>
        <w:t>。</w:t>
      </w:r>
      <w:r>
        <w:rPr>
          <w:rFonts w:ascii="宋体" w:hAnsi="宋体" w:cs="宋体"/>
          <w:szCs w:val="24"/>
        </w:rPr>
        <w:t>这一分析思路与传统风险管理理论相一致。</w:t>
      </w:r>
      <w:r>
        <w:t>B</w:t>
      </w:r>
      <w:r>
        <w:rPr>
          <w:rFonts w:hint="eastAsia"/>
        </w:rPr>
        <w:t>anks（</w:t>
      </w:r>
      <w:r>
        <w:t>2004</w:t>
      </w:r>
      <w:r>
        <w:rPr>
          <w:rFonts w:hint="eastAsia"/>
        </w:rPr>
        <w:t>）</w:t>
      </w:r>
      <w:r>
        <w:rPr>
          <w:rFonts w:ascii="宋体" w:hAnsi="宋体" w:cs="宋体"/>
          <w:szCs w:val="24"/>
        </w:rPr>
        <w:t>在</w:t>
      </w:r>
      <w:r>
        <w:rPr>
          <w:rFonts w:hint="default" w:ascii="Times New Roman" w:hAnsi="Times New Roman" w:cs="Times New Roman"/>
          <w:szCs w:val="24"/>
        </w:rPr>
        <w:t>《Alternative Risk Transfer》</w:t>
      </w:r>
      <w:r>
        <w:rPr>
          <w:rFonts w:ascii="宋体" w:hAnsi="宋体" w:cs="宋体"/>
          <w:szCs w:val="24"/>
        </w:rPr>
        <w:t>中指出，企业风险管理应建立在对风险暴露、预期损失及风险承受能力综合判断的基础上，通过多种</w:t>
      </w:r>
      <w:r>
        <w:rPr>
          <w:rFonts w:hint="eastAsia" w:ascii="宋体" w:hAnsi="宋体" w:cs="宋体"/>
          <w:szCs w:val="24"/>
        </w:rPr>
        <w:t>风险管理</w:t>
      </w:r>
      <w:r>
        <w:rPr>
          <w:rFonts w:ascii="宋体" w:hAnsi="宋体" w:cs="宋体"/>
          <w:szCs w:val="24"/>
        </w:rPr>
        <w:t>工具实现综合管理，而非依赖单一处置方式</w:t>
      </w:r>
      <w:r>
        <w:rPr>
          <w:rFonts w:hint="default" w:ascii="Times New Roman" w:hAnsi="Times New Roman" w:cs="Times New Roman"/>
          <w:szCs w:val="24"/>
        </w:rPr>
        <w:t>（见下图5-1）</w:t>
      </w:r>
      <w:r>
        <w:rPr>
          <w:rStyle w:val="150"/>
          <w:rFonts w:hint="eastAsia" w:ascii="宋体" w:hAnsi="宋体" w:cs="宋体"/>
          <w:szCs w:val="24"/>
        </w:rPr>
        <w:footnoteReference w:id="20"/>
      </w:r>
      <w:r>
        <w:rPr>
          <w:rFonts w:ascii="宋体" w:hAnsi="宋体" w:cs="宋体"/>
          <w:szCs w:val="24"/>
        </w:rPr>
        <w:t>。</w:t>
      </w:r>
    </w:p>
    <w:p w14:paraId="74FB899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4337685" cy="2891155"/>
            <wp:effectExtent l="0" t="0" r="5715" b="4445"/>
            <wp:docPr id="9" name="图片 9" descr="1ec6deb0-de4e-4580-b382-362a660f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ec6deb0-de4e-4580-b382-362a660f1368"/>
                    <pic:cNvPicPr>
                      <a:picLocks noChangeAspect="1"/>
                    </pic:cNvPicPr>
                  </pic:nvPicPr>
                  <pic:blipFill>
                    <a:blip r:embed="rId18"/>
                    <a:stretch>
                      <a:fillRect/>
                    </a:stretch>
                  </pic:blipFill>
                  <pic:spPr>
                    <a:xfrm>
                      <a:off x="0" y="0"/>
                      <a:ext cx="4337685" cy="2891155"/>
                    </a:xfrm>
                    <a:prstGeom prst="rect">
                      <a:avLst/>
                    </a:prstGeom>
                  </pic:spPr>
                </pic:pic>
              </a:graphicData>
            </a:graphic>
          </wp:inline>
        </w:drawing>
      </w:r>
    </w:p>
    <w:p w14:paraId="79311A9B">
      <w:pPr>
        <w:ind w:firstLine="0" w:firstLineChars="0"/>
        <w:jc w:val="center"/>
        <w:rPr>
          <w:sz w:val="21"/>
          <w:szCs w:val="21"/>
        </w:rPr>
      </w:pPr>
      <w:r>
        <w:rPr>
          <w:rFonts w:hint="eastAsia"/>
          <w:sz w:val="21"/>
          <w:szCs w:val="21"/>
        </w:rPr>
        <w:t>图5-1</w:t>
      </w:r>
      <w:r>
        <w:rPr>
          <w:rFonts w:ascii="Times New Roman" w:hAnsi="Times New Roman" w:cstheme="minorBidi"/>
          <w:sz w:val="21"/>
          <w:szCs w:val="21"/>
        </w:rPr>
        <w:t>《Alternative Risk Transfer》</w:t>
      </w:r>
      <w:r>
        <w:rPr>
          <w:rFonts w:hint="eastAsia"/>
          <w:sz w:val="21"/>
          <w:szCs w:val="21"/>
        </w:rPr>
        <w:t>中</w:t>
      </w:r>
      <w:r>
        <w:rPr>
          <w:rFonts w:hint="eastAsia" w:ascii="Times New Roman" w:hAnsi="Times New Roman" w:cstheme="minorBidi"/>
          <w:sz w:val="21"/>
          <w:szCs w:val="21"/>
        </w:rPr>
        <w:t>提出的风险管理体系指引</w:t>
      </w:r>
    </w:p>
    <w:p w14:paraId="02C33511">
      <w:pPr>
        <w:ind w:firstLine="480" w:firstLineChars="200"/>
        <w:jc w:val="left"/>
        <w:rPr>
          <w:sz w:val="21"/>
          <w:szCs w:val="21"/>
        </w:rPr>
      </w:pPr>
      <w:r>
        <w:rPr>
          <w:rFonts w:ascii="宋体" w:hAnsi="宋体" w:cs="宋体"/>
          <w:szCs w:val="24"/>
        </w:rPr>
        <w:t>由此，本文在四象限风险特征划分的基础上，进一步从风险自留、损失控制、风险分散、风险对冲、风险撤出以及保险六个维度构建科创企业AI伦理风险管理体系。</w:t>
      </w:r>
    </w:p>
    <w:p w14:paraId="1D88C1D0">
      <w:pPr>
        <w:ind w:firstLine="0" w:firstLineChars="0"/>
        <w:jc w:val="center"/>
        <w:rPr>
          <w:sz w:val="21"/>
          <w:szCs w:val="21"/>
        </w:rPr>
      </w:pPr>
      <w:bookmarkStart w:id="25" w:name="OLE_LINK9"/>
      <w:r>
        <w:rPr>
          <w:rFonts w:hint="eastAsia"/>
          <w:sz w:val="21"/>
          <w:szCs w:val="21"/>
        </w:rPr>
        <w:t>表5-1四象限风险管理措施</w:t>
      </w:r>
    </w:p>
    <w:tbl>
      <w:tblPr>
        <w:tblStyle w:val="43"/>
        <w:tblW w:w="4996" w:type="pct"/>
        <w:jc w:val="center"/>
        <w:shd w:val="clear" w:color="auto" w:fill="FFFFFF"/>
        <w:tblLayout w:type="autofit"/>
        <w:tblCellMar>
          <w:top w:w="15" w:type="dxa"/>
          <w:left w:w="15" w:type="dxa"/>
          <w:bottom w:w="15" w:type="dxa"/>
          <w:right w:w="15" w:type="dxa"/>
        </w:tblCellMar>
      </w:tblPr>
      <w:tblGrid>
        <w:gridCol w:w="1720"/>
        <w:gridCol w:w="1380"/>
        <w:gridCol w:w="6085"/>
      </w:tblGrid>
      <w:tr w14:paraId="1E0EA426">
        <w:tblPrEx>
          <w:shd w:val="clear" w:color="auto" w:fill="FFFFFF"/>
          <w:tblCellMar>
            <w:top w:w="15" w:type="dxa"/>
            <w:left w:w="15" w:type="dxa"/>
            <w:bottom w:w="15" w:type="dxa"/>
            <w:right w:w="15" w:type="dxa"/>
          </w:tblCellMar>
        </w:tblPrEx>
        <w:trPr>
          <w:tblHeader/>
          <w:jc w:val="center"/>
        </w:trPr>
        <w:tc>
          <w:tcPr>
            <w:tcW w:w="936" w:type="pct"/>
            <w:tcBorders>
              <w:top w:val="single" w:color="000000" w:sz="12" w:space="0"/>
              <w:bottom w:val="single" w:color="000000" w:sz="4" w:space="0"/>
              <w:tl2br w:val="nil"/>
            </w:tcBorders>
            <w:shd w:val="clear" w:color="auto" w:fill="FFFFFF"/>
            <w:tcMar>
              <w:top w:w="75" w:type="dxa"/>
              <w:left w:w="0" w:type="dxa"/>
              <w:bottom w:w="75" w:type="dxa"/>
              <w:right w:w="120" w:type="dxa"/>
            </w:tcMar>
            <w:vAlign w:val="center"/>
          </w:tcPr>
          <w:p w14:paraId="1ACF9FF8">
            <w:pPr>
              <w:spacing w:line="240" w:lineRule="auto"/>
              <w:ind w:firstLine="0" w:firstLineChars="0"/>
              <w:rPr>
                <w:sz w:val="21"/>
                <w:szCs w:val="21"/>
              </w:rPr>
            </w:pPr>
            <w:r>
              <w:rPr>
                <w:sz w:val="21"/>
                <w:szCs w:val="21"/>
              </w:rPr>
              <w:t>四象限位置</w:t>
            </w:r>
          </w:p>
        </w:tc>
        <w:tc>
          <w:tcPr>
            <w:tcW w:w="751" w:type="pct"/>
            <w:tcBorders>
              <w:top w:val="single" w:color="000000" w:sz="12" w:space="0"/>
              <w:bottom w:val="single" w:color="000000" w:sz="4" w:space="0"/>
            </w:tcBorders>
            <w:shd w:val="clear" w:color="auto" w:fill="FFFFFF"/>
            <w:tcMar>
              <w:top w:w="75" w:type="dxa"/>
              <w:left w:w="120" w:type="dxa"/>
              <w:bottom w:w="75" w:type="dxa"/>
              <w:right w:w="120" w:type="dxa"/>
            </w:tcMar>
            <w:vAlign w:val="center"/>
          </w:tcPr>
          <w:p w14:paraId="6D552E67">
            <w:pPr>
              <w:spacing w:line="240" w:lineRule="auto"/>
              <w:ind w:firstLine="0" w:firstLineChars="0"/>
              <w:rPr>
                <w:sz w:val="21"/>
                <w:szCs w:val="21"/>
              </w:rPr>
            </w:pPr>
            <w:r>
              <w:rPr>
                <w:sz w:val="21"/>
                <w:szCs w:val="21"/>
              </w:rPr>
              <w:t>风险特征</w:t>
            </w:r>
          </w:p>
        </w:tc>
        <w:tc>
          <w:tcPr>
            <w:tcW w:w="3312" w:type="pct"/>
            <w:tcBorders>
              <w:top w:val="single" w:color="000000" w:sz="12" w:space="0"/>
              <w:bottom w:val="single" w:color="000000" w:sz="4" w:space="0"/>
            </w:tcBorders>
            <w:shd w:val="clear" w:color="auto" w:fill="FFFFFF"/>
            <w:tcMar>
              <w:top w:w="75" w:type="dxa"/>
              <w:left w:w="120" w:type="dxa"/>
              <w:bottom w:w="75" w:type="dxa"/>
              <w:right w:w="120" w:type="dxa"/>
            </w:tcMar>
            <w:vAlign w:val="center"/>
          </w:tcPr>
          <w:p w14:paraId="4968605F">
            <w:pPr>
              <w:spacing w:line="240" w:lineRule="auto"/>
              <w:ind w:firstLine="0" w:firstLineChars="0"/>
              <w:rPr>
                <w:sz w:val="21"/>
                <w:szCs w:val="21"/>
              </w:rPr>
            </w:pPr>
            <w:r>
              <w:rPr>
                <w:rFonts w:hint="eastAsia"/>
                <w:sz w:val="21"/>
                <w:szCs w:val="21"/>
              </w:rPr>
              <w:t>主要风险管理手段及具体措施</w:t>
            </w:r>
          </w:p>
        </w:tc>
      </w:tr>
      <w:bookmarkEnd w:id="25"/>
      <w:tr w14:paraId="5C802CDB">
        <w:tblPrEx>
          <w:shd w:val="clear" w:color="auto" w:fill="FFFFFF"/>
          <w:tblCellMar>
            <w:top w:w="15" w:type="dxa"/>
            <w:left w:w="15" w:type="dxa"/>
            <w:bottom w:w="15" w:type="dxa"/>
            <w:right w:w="15" w:type="dxa"/>
          </w:tblCellMar>
        </w:tblPrEx>
        <w:trPr>
          <w:jc w:val="center"/>
        </w:trPr>
        <w:tc>
          <w:tcPr>
            <w:tcW w:w="936" w:type="pct"/>
            <w:tcBorders>
              <w:top w:val="single" w:color="000000" w:sz="4" w:space="0"/>
            </w:tcBorders>
            <w:shd w:val="clear" w:color="auto" w:fill="FFFFFF"/>
            <w:tcMar>
              <w:top w:w="75" w:type="dxa"/>
              <w:left w:w="0" w:type="dxa"/>
              <w:bottom w:w="75" w:type="dxa"/>
              <w:right w:w="120" w:type="dxa"/>
            </w:tcMar>
            <w:vAlign w:val="center"/>
          </w:tcPr>
          <w:p w14:paraId="2CB73956">
            <w:pPr>
              <w:spacing w:line="240" w:lineRule="auto"/>
              <w:ind w:firstLine="0" w:firstLineChars="0"/>
              <w:rPr>
                <w:sz w:val="21"/>
                <w:szCs w:val="21"/>
              </w:rPr>
            </w:pPr>
            <w:r>
              <w:rPr>
                <w:sz w:val="21"/>
                <w:szCs w:val="21"/>
              </w:rPr>
              <w:t>低频高损（左上）</w:t>
            </w:r>
          </w:p>
        </w:tc>
        <w:tc>
          <w:tcPr>
            <w:tcW w:w="751" w:type="pct"/>
            <w:tcBorders>
              <w:top w:val="single" w:color="000000" w:sz="4" w:space="0"/>
            </w:tcBorders>
            <w:shd w:val="clear" w:color="auto" w:fill="FFFFFF"/>
            <w:tcMar>
              <w:top w:w="75" w:type="dxa"/>
              <w:left w:w="120" w:type="dxa"/>
              <w:bottom w:w="75" w:type="dxa"/>
              <w:right w:w="120" w:type="dxa"/>
            </w:tcMar>
            <w:vAlign w:val="center"/>
          </w:tcPr>
          <w:p w14:paraId="5B44AB60">
            <w:pPr>
              <w:spacing w:line="240" w:lineRule="auto"/>
              <w:ind w:firstLine="0" w:firstLineChars="0"/>
              <w:rPr>
                <w:sz w:val="21"/>
                <w:szCs w:val="21"/>
              </w:rPr>
            </w:pPr>
            <w:r>
              <w:rPr>
                <w:sz w:val="21"/>
                <w:szCs w:val="21"/>
              </w:rPr>
              <w:t>概率低、</w:t>
            </w:r>
          </w:p>
          <w:p w14:paraId="14419114">
            <w:pPr>
              <w:spacing w:line="240" w:lineRule="auto"/>
              <w:ind w:firstLine="0" w:firstLineChars="0"/>
              <w:rPr>
                <w:sz w:val="21"/>
                <w:szCs w:val="21"/>
              </w:rPr>
            </w:pPr>
            <w:r>
              <w:rPr>
                <w:sz w:val="21"/>
                <w:szCs w:val="21"/>
              </w:rPr>
              <w:t>损失巨大</w:t>
            </w:r>
          </w:p>
        </w:tc>
        <w:tc>
          <w:tcPr>
            <w:tcW w:w="3312" w:type="pct"/>
            <w:tcBorders>
              <w:top w:val="single" w:color="000000" w:sz="4" w:space="0"/>
            </w:tcBorders>
            <w:shd w:val="clear" w:color="auto" w:fill="FFFFFF"/>
            <w:tcMar>
              <w:top w:w="75" w:type="dxa"/>
              <w:left w:w="120" w:type="dxa"/>
              <w:bottom w:w="75" w:type="dxa"/>
              <w:right w:w="120" w:type="dxa"/>
            </w:tcMar>
            <w:vAlign w:val="center"/>
          </w:tcPr>
          <w:p w14:paraId="6CD95EFB">
            <w:pPr>
              <w:numPr>
                <w:ilvl w:val="0"/>
                <w:numId w:val="14"/>
              </w:numPr>
              <w:spacing w:line="240" w:lineRule="auto"/>
              <w:ind w:firstLineChars="0"/>
              <w:rPr>
                <w:sz w:val="21"/>
                <w:szCs w:val="21"/>
              </w:rPr>
            </w:pPr>
            <w:r>
              <w:rPr>
                <w:b/>
                <w:bCs/>
                <w:sz w:val="21"/>
                <w:szCs w:val="21"/>
              </w:rPr>
              <w:t>保险/再保险：</w:t>
            </w:r>
            <w:r>
              <w:rPr>
                <w:sz w:val="21"/>
                <w:szCs w:val="21"/>
              </w:rPr>
              <w:t>通过AI伦理风险保险承接事件处置、第三方责任及业务恢复等损失；</w:t>
            </w:r>
          </w:p>
          <w:p w14:paraId="4BB00EBC">
            <w:pPr>
              <w:numPr>
                <w:ilvl w:val="0"/>
                <w:numId w:val="14"/>
              </w:numPr>
              <w:spacing w:line="240" w:lineRule="auto"/>
              <w:ind w:firstLineChars="0"/>
              <w:rPr>
                <w:sz w:val="21"/>
                <w:szCs w:val="21"/>
              </w:rPr>
            </w:pPr>
            <w:r>
              <w:rPr>
                <w:b/>
                <w:bCs/>
                <w:sz w:val="21"/>
                <w:szCs w:val="21"/>
              </w:rPr>
              <w:t>风险对冲：</w:t>
            </w:r>
            <w:r>
              <w:rPr>
                <w:sz w:val="21"/>
                <w:szCs w:val="21"/>
              </w:rPr>
              <w:t>利用ESG体系形成自然对冲，缓冲声誉、治理及流动性冲击</w:t>
            </w:r>
            <w:r>
              <w:rPr>
                <w:rFonts w:hint="eastAsia"/>
                <w:sz w:val="21"/>
                <w:szCs w:val="21"/>
                <w:lang w:eastAsia="zh-CN"/>
              </w:rPr>
              <w:t>。</w:t>
            </w:r>
          </w:p>
        </w:tc>
      </w:tr>
      <w:tr w14:paraId="2A2628A8">
        <w:tblPrEx>
          <w:shd w:val="clear" w:color="auto" w:fill="FFFFFF"/>
          <w:tblCellMar>
            <w:top w:w="15" w:type="dxa"/>
            <w:left w:w="15" w:type="dxa"/>
            <w:bottom w:w="15" w:type="dxa"/>
            <w:right w:w="15" w:type="dxa"/>
          </w:tblCellMar>
        </w:tblPrEx>
        <w:trPr>
          <w:jc w:val="center"/>
        </w:trPr>
        <w:tc>
          <w:tcPr>
            <w:tcW w:w="936" w:type="pct"/>
            <w:shd w:val="clear" w:color="auto" w:fill="FFFFFF"/>
            <w:tcMar>
              <w:top w:w="75" w:type="dxa"/>
              <w:left w:w="0" w:type="dxa"/>
              <w:bottom w:w="75" w:type="dxa"/>
              <w:right w:w="120" w:type="dxa"/>
            </w:tcMar>
            <w:vAlign w:val="center"/>
          </w:tcPr>
          <w:p w14:paraId="1521EFAD">
            <w:pPr>
              <w:spacing w:line="240" w:lineRule="auto"/>
              <w:ind w:firstLine="0" w:firstLineChars="0"/>
              <w:rPr>
                <w:sz w:val="21"/>
                <w:szCs w:val="21"/>
              </w:rPr>
            </w:pPr>
            <w:r>
              <w:rPr>
                <w:sz w:val="21"/>
                <w:szCs w:val="21"/>
              </w:rPr>
              <w:t>高频低损（右下）</w:t>
            </w:r>
          </w:p>
        </w:tc>
        <w:tc>
          <w:tcPr>
            <w:tcW w:w="751" w:type="pct"/>
            <w:shd w:val="clear" w:color="auto" w:fill="FFFFFF"/>
            <w:tcMar>
              <w:top w:w="75" w:type="dxa"/>
              <w:left w:w="120" w:type="dxa"/>
              <w:bottom w:w="75" w:type="dxa"/>
              <w:right w:w="120" w:type="dxa"/>
            </w:tcMar>
            <w:vAlign w:val="center"/>
          </w:tcPr>
          <w:p w14:paraId="6EBF0262">
            <w:pPr>
              <w:spacing w:line="240" w:lineRule="auto"/>
              <w:ind w:firstLine="0" w:firstLineChars="0"/>
              <w:rPr>
                <w:sz w:val="21"/>
                <w:szCs w:val="21"/>
              </w:rPr>
            </w:pPr>
            <w:r>
              <w:rPr>
                <w:sz w:val="21"/>
                <w:szCs w:val="21"/>
              </w:rPr>
              <w:t>概率高、</w:t>
            </w:r>
          </w:p>
          <w:p w14:paraId="148EBC10">
            <w:pPr>
              <w:spacing w:line="240" w:lineRule="auto"/>
              <w:ind w:firstLine="0" w:firstLineChars="0"/>
              <w:rPr>
                <w:sz w:val="21"/>
                <w:szCs w:val="21"/>
              </w:rPr>
            </w:pPr>
            <w:r>
              <w:rPr>
                <w:sz w:val="21"/>
                <w:szCs w:val="21"/>
              </w:rPr>
              <w:t>单次损失小</w:t>
            </w:r>
          </w:p>
        </w:tc>
        <w:tc>
          <w:tcPr>
            <w:tcW w:w="3312" w:type="pct"/>
            <w:shd w:val="clear" w:color="auto" w:fill="FFFFFF"/>
            <w:tcMar>
              <w:top w:w="75" w:type="dxa"/>
              <w:left w:w="120" w:type="dxa"/>
              <w:bottom w:w="75" w:type="dxa"/>
              <w:right w:w="120" w:type="dxa"/>
            </w:tcMar>
            <w:vAlign w:val="center"/>
          </w:tcPr>
          <w:p w14:paraId="77034F6D">
            <w:pPr>
              <w:numPr>
                <w:ilvl w:val="0"/>
                <w:numId w:val="14"/>
              </w:numPr>
              <w:spacing w:line="240" w:lineRule="auto"/>
              <w:ind w:firstLineChars="0"/>
              <w:rPr>
                <w:sz w:val="21"/>
                <w:szCs w:val="21"/>
              </w:rPr>
            </w:pPr>
            <w:r>
              <w:rPr>
                <w:b/>
                <w:bCs/>
                <w:sz w:val="21"/>
                <w:szCs w:val="21"/>
              </w:rPr>
              <w:t>损失控制：</w:t>
            </w:r>
            <w:r>
              <w:rPr>
                <w:sz w:val="21"/>
                <w:szCs w:val="21"/>
              </w:rPr>
              <w:t>数据最小化、隐私增强技术、公平性检测、可解释性工具、模型测试、持续监测、红队测试及人工复核；</w:t>
            </w:r>
          </w:p>
          <w:p w14:paraId="63EA69E8">
            <w:pPr>
              <w:numPr>
                <w:ilvl w:val="0"/>
                <w:numId w:val="14"/>
              </w:numPr>
              <w:spacing w:line="240" w:lineRule="auto"/>
              <w:ind w:firstLineChars="0"/>
              <w:rPr>
                <w:sz w:val="21"/>
                <w:szCs w:val="21"/>
              </w:rPr>
            </w:pPr>
            <w:r>
              <w:rPr>
                <w:b/>
                <w:bCs/>
                <w:sz w:val="21"/>
                <w:szCs w:val="21"/>
              </w:rPr>
              <w:t>风险分散：</w:t>
            </w:r>
            <w:r>
              <w:rPr>
                <w:sz w:val="21"/>
                <w:szCs w:val="21"/>
              </w:rPr>
              <w:t>实施多数据源、多模型、多技术路线和多供应商配置；</w:t>
            </w:r>
          </w:p>
          <w:p w14:paraId="770E9991">
            <w:pPr>
              <w:numPr>
                <w:ilvl w:val="0"/>
                <w:numId w:val="14"/>
              </w:numPr>
              <w:spacing w:line="240" w:lineRule="auto"/>
              <w:ind w:firstLineChars="0"/>
              <w:rPr>
                <w:sz w:val="21"/>
                <w:szCs w:val="21"/>
              </w:rPr>
            </w:pPr>
            <w:r>
              <w:rPr>
                <w:b/>
                <w:bCs/>
                <w:sz w:val="21"/>
                <w:szCs w:val="21"/>
              </w:rPr>
              <w:t>风险自留：</w:t>
            </w:r>
            <w:r>
              <w:rPr>
                <w:sz w:val="21"/>
                <w:szCs w:val="21"/>
              </w:rPr>
              <w:t>对控制后的剩余低损风险设定风险容忍度、自留限额并计提AI伦理储备金</w:t>
            </w:r>
            <w:r>
              <w:rPr>
                <w:rFonts w:hint="eastAsia"/>
                <w:sz w:val="21"/>
                <w:szCs w:val="21"/>
                <w:lang w:eastAsia="zh-CN"/>
              </w:rPr>
              <w:t>。</w:t>
            </w:r>
          </w:p>
        </w:tc>
      </w:tr>
      <w:tr w14:paraId="19E0491F">
        <w:tblPrEx>
          <w:tblCellMar>
            <w:top w:w="15" w:type="dxa"/>
            <w:left w:w="15" w:type="dxa"/>
            <w:bottom w:w="15" w:type="dxa"/>
            <w:right w:w="15" w:type="dxa"/>
          </w:tblCellMar>
        </w:tblPrEx>
        <w:trPr>
          <w:jc w:val="center"/>
        </w:trPr>
        <w:tc>
          <w:tcPr>
            <w:tcW w:w="936" w:type="pct"/>
            <w:shd w:val="clear" w:color="auto" w:fill="FFFFFF"/>
            <w:tcMar>
              <w:top w:w="75" w:type="dxa"/>
              <w:left w:w="0" w:type="dxa"/>
              <w:bottom w:w="75" w:type="dxa"/>
              <w:right w:w="120" w:type="dxa"/>
            </w:tcMar>
            <w:vAlign w:val="center"/>
          </w:tcPr>
          <w:p w14:paraId="34F6DE99">
            <w:pPr>
              <w:spacing w:line="240" w:lineRule="auto"/>
              <w:ind w:firstLine="0" w:firstLineChars="0"/>
              <w:rPr>
                <w:sz w:val="21"/>
                <w:szCs w:val="21"/>
              </w:rPr>
            </w:pPr>
            <w:r>
              <w:rPr>
                <w:sz w:val="21"/>
                <w:szCs w:val="21"/>
              </w:rPr>
              <w:t>低频低损（左下）</w:t>
            </w:r>
          </w:p>
        </w:tc>
        <w:tc>
          <w:tcPr>
            <w:tcW w:w="751" w:type="pct"/>
            <w:shd w:val="clear" w:color="auto" w:fill="FFFFFF"/>
            <w:tcMar>
              <w:top w:w="75" w:type="dxa"/>
              <w:left w:w="120" w:type="dxa"/>
              <w:bottom w:w="75" w:type="dxa"/>
              <w:right w:w="120" w:type="dxa"/>
            </w:tcMar>
            <w:vAlign w:val="center"/>
          </w:tcPr>
          <w:p w14:paraId="2CAE6E0F">
            <w:pPr>
              <w:spacing w:line="240" w:lineRule="auto"/>
              <w:ind w:firstLine="0" w:firstLineChars="0"/>
              <w:rPr>
                <w:sz w:val="21"/>
                <w:szCs w:val="21"/>
              </w:rPr>
            </w:pPr>
            <w:r>
              <w:rPr>
                <w:sz w:val="21"/>
                <w:szCs w:val="21"/>
              </w:rPr>
              <w:t>概率低、</w:t>
            </w:r>
          </w:p>
          <w:p w14:paraId="5CF5823D">
            <w:pPr>
              <w:spacing w:line="240" w:lineRule="auto"/>
              <w:ind w:firstLine="0" w:firstLineChars="0"/>
              <w:rPr>
                <w:sz w:val="21"/>
                <w:szCs w:val="21"/>
              </w:rPr>
            </w:pPr>
            <w:r>
              <w:rPr>
                <w:sz w:val="21"/>
                <w:szCs w:val="21"/>
              </w:rPr>
              <w:t>损失小</w:t>
            </w:r>
          </w:p>
        </w:tc>
        <w:tc>
          <w:tcPr>
            <w:tcW w:w="3312" w:type="pct"/>
            <w:shd w:val="clear" w:color="auto" w:fill="FFFFFF"/>
            <w:tcMar>
              <w:top w:w="75" w:type="dxa"/>
              <w:left w:w="120" w:type="dxa"/>
              <w:bottom w:w="75" w:type="dxa"/>
              <w:right w:w="120" w:type="dxa"/>
            </w:tcMar>
            <w:vAlign w:val="center"/>
          </w:tcPr>
          <w:p w14:paraId="3F547CFF">
            <w:pPr>
              <w:numPr>
                <w:ilvl w:val="0"/>
                <w:numId w:val="14"/>
              </w:numPr>
              <w:spacing w:line="240" w:lineRule="auto"/>
              <w:ind w:firstLineChars="0"/>
              <w:rPr>
                <w:sz w:val="21"/>
                <w:szCs w:val="21"/>
              </w:rPr>
            </w:pPr>
            <w:r>
              <w:rPr>
                <w:rFonts w:hint="eastAsia"/>
                <w:b/>
                <w:bCs/>
                <w:sz w:val="21"/>
                <w:szCs w:val="21"/>
              </w:rPr>
              <w:t>风险自留：</w:t>
            </w:r>
            <w:r>
              <w:rPr>
                <w:sz w:val="21"/>
                <w:szCs w:val="21"/>
              </w:rPr>
              <w:t>明确风险容忍度和自留阈值；设立AI伦理储备金</w:t>
            </w:r>
            <w:r>
              <w:rPr>
                <w:rFonts w:hint="eastAsia"/>
                <w:sz w:val="21"/>
                <w:szCs w:val="21"/>
              </w:rPr>
              <w:t>；</w:t>
            </w:r>
            <w:r>
              <w:rPr>
                <w:sz w:val="21"/>
                <w:szCs w:val="21"/>
              </w:rPr>
              <w:t>持续监测损失频率和规模，达到阈值后升级管理措施</w:t>
            </w:r>
            <w:r>
              <w:rPr>
                <w:rFonts w:hint="eastAsia"/>
                <w:sz w:val="21"/>
                <w:szCs w:val="21"/>
                <w:lang w:eastAsia="zh-CN"/>
              </w:rPr>
              <w:t>。</w:t>
            </w:r>
          </w:p>
        </w:tc>
      </w:tr>
      <w:tr w14:paraId="2FB01457">
        <w:tblPrEx>
          <w:tblCellMar>
            <w:top w:w="15" w:type="dxa"/>
            <w:left w:w="15" w:type="dxa"/>
            <w:bottom w:w="15" w:type="dxa"/>
            <w:right w:w="15" w:type="dxa"/>
          </w:tblCellMar>
        </w:tblPrEx>
        <w:trPr>
          <w:jc w:val="center"/>
        </w:trPr>
        <w:tc>
          <w:tcPr>
            <w:tcW w:w="936" w:type="pct"/>
            <w:tcBorders>
              <w:bottom w:val="single" w:color="000000" w:sz="12" w:space="0"/>
            </w:tcBorders>
            <w:shd w:val="clear" w:color="auto" w:fill="FFFFFF"/>
            <w:tcMar>
              <w:top w:w="75" w:type="dxa"/>
              <w:left w:w="0" w:type="dxa"/>
              <w:bottom w:w="75" w:type="dxa"/>
              <w:right w:w="120" w:type="dxa"/>
            </w:tcMar>
            <w:vAlign w:val="center"/>
          </w:tcPr>
          <w:p w14:paraId="49C1E209">
            <w:pPr>
              <w:spacing w:line="240" w:lineRule="auto"/>
              <w:ind w:firstLine="0" w:firstLineChars="0"/>
              <w:rPr>
                <w:sz w:val="21"/>
                <w:szCs w:val="21"/>
              </w:rPr>
            </w:pPr>
            <w:r>
              <w:rPr>
                <w:sz w:val="21"/>
                <w:szCs w:val="21"/>
              </w:rPr>
              <w:t>高频高损（右上）</w:t>
            </w:r>
          </w:p>
        </w:tc>
        <w:tc>
          <w:tcPr>
            <w:tcW w:w="751" w:type="pct"/>
            <w:tcBorders>
              <w:bottom w:val="single" w:color="000000" w:sz="12" w:space="0"/>
            </w:tcBorders>
            <w:shd w:val="clear" w:color="auto" w:fill="FFFFFF"/>
            <w:tcMar>
              <w:top w:w="75" w:type="dxa"/>
              <w:left w:w="120" w:type="dxa"/>
              <w:bottom w:w="75" w:type="dxa"/>
              <w:right w:w="120" w:type="dxa"/>
            </w:tcMar>
            <w:vAlign w:val="center"/>
          </w:tcPr>
          <w:p w14:paraId="38AB32CA">
            <w:pPr>
              <w:spacing w:line="240" w:lineRule="auto"/>
              <w:ind w:firstLine="0" w:firstLineChars="0"/>
              <w:rPr>
                <w:sz w:val="21"/>
                <w:szCs w:val="21"/>
              </w:rPr>
            </w:pPr>
            <w:r>
              <w:rPr>
                <w:sz w:val="21"/>
                <w:szCs w:val="21"/>
              </w:rPr>
              <w:t>概率高且损失大/不可逆</w:t>
            </w:r>
          </w:p>
        </w:tc>
        <w:tc>
          <w:tcPr>
            <w:tcW w:w="3312" w:type="pct"/>
            <w:tcBorders>
              <w:bottom w:val="single" w:color="000000" w:sz="12" w:space="0"/>
            </w:tcBorders>
            <w:shd w:val="clear" w:color="auto" w:fill="FFFFFF"/>
            <w:tcMar>
              <w:top w:w="75" w:type="dxa"/>
              <w:left w:w="120" w:type="dxa"/>
              <w:bottom w:w="75" w:type="dxa"/>
              <w:right w:w="120" w:type="dxa"/>
            </w:tcMar>
            <w:vAlign w:val="center"/>
          </w:tcPr>
          <w:p w14:paraId="28061E92">
            <w:pPr>
              <w:numPr>
                <w:ilvl w:val="0"/>
                <w:numId w:val="14"/>
              </w:numPr>
              <w:spacing w:line="240" w:lineRule="auto"/>
              <w:ind w:firstLineChars="0"/>
              <w:rPr>
                <w:sz w:val="21"/>
                <w:szCs w:val="21"/>
              </w:rPr>
            </w:pPr>
            <w:r>
              <w:rPr>
                <w:rFonts w:hint="eastAsia"/>
                <w:b/>
                <w:bCs/>
                <w:sz w:val="21"/>
                <w:szCs w:val="21"/>
              </w:rPr>
              <w:t>风险撤出：</w:t>
            </w:r>
            <w:r>
              <w:rPr>
                <w:sz w:val="21"/>
                <w:szCs w:val="21"/>
              </w:rPr>
              <w:t>停止使用存在严重合法性缺陷或不可修正偏差的数据；缩减高影响场景中的AI应用范围、剥离高风险功能模块；必要时暂停特定场景或业务，并建立完整的系统退役流程</w:t>
            </w:r>
            <w:r>
              <w:rPr>
                <w:rFonts w:hint="eastAsia"/>
                <w:sz w:val="21"/>
                <w:szCs w:val="21"/>
                <w:lang w:eastAsia="zh-CN"/>
              </w:rPr>
              <w:t>。</w:t>
            </w:r>
          </w:p>
        </w:tc>
      </w:tr>
    </w:tbl>
    <w:p w14:paraId="08FDDFD1">
      <w:pPr>
        <w:pStyle w:val="4"/>
        <w:ind w:firstLine="571"/>
      </w:pPr>
      <w:bookmarkStart w:id="26" w:name="_Toc239454564"/>
      <w:bookmarkStart w:id="27" w:name="_Toc20937"/>
      <w:r>
        <w:rPr>
          <w:rFonts w:hint="eastAsia"/>
        </w:rPr>
        <w:t>（一）</w:t>
      </w:r>
      <w:r>
        <w:t>风险自留</w:t>
      </w:r>
      <w:r>
        <w:rPr>
          <w:rFonts w:hint="eastAsia"/>
        </w:rPr>
        <w:t>：可承受风险的内部承接</w:t>
      </w:r>
      <w:bookmarkEnd w:id="26"/>
      <w:bookmarkEnd w:id="27"/>
    </w:p>
    <w:p w14:paraId="75B259AB">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bookmarkStart w:id="28" w:name="_Toc239454565"/>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1．</w:t>
      </w:r>
      <w:r>
        <w:t>风险自留的定位与适用边界</w:t>
      </w:r>
      <w:bookmarkEnd w:id="28"/>
    </w:p>
    <w:p w14:paraId="2940DEF9">
      <w:pPr>
        <w:ind w:firstLine="480"/>
      </w:pPr>
      <w:r>
        <w:rPr>
          <w:rFonts w:hint="eastAsia"/>
        </w:rPr>
        <w:t>风险自留（Risk Retention）是指企业直接将风险损失摊入成本或费用，以内部资源弥补风险损失的管理方式。从四象限风险管理框架来看，风险自留最适用于低频低损的风险类型。对于这类风险，风险事件的发生概率低、单次损失规模小，企业投入大量资源进行主动管理的成本效益比不经济。传统风险管理理论也强调：对于企业的重大风险，一般不应采用风险承担。这意味着风险自留的适用存在明确边界——当风险涉及大规模用户权益、社会公平或重大监管风险时，即使发生概率较低，也不应简单自留。</w:t>
      </w:r>
    </w:p>
    <w:p w14:paraId="5121D9A7">
      <w:pPr>
        <w:ind w:firstLine="480"/>
      </w:pPr>
      <w:r>
        <w:rPr>
          <w:rFonts w:hint="eastAsia"/>
        </w:rPr>
        <w:t>风险自留的适用需满足以下条件：风险事件的期望损失在企业年度可承受范围内；该风险的损失具有可预期性，损失可通过历史数据或行业基准估算；企业已建立相应的财务准备和监测机制；该风险不属于可能引发连锁反应或声誉危机的类型。</w:t>
      </w:r>
    </w:p>
    <w:p w14:paraId="19142A44">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70830" cy="3227705"/>
            <wp:effectExtent l="0" t="0" r="1270" b="10795"/>
            <wp:docPr id="10" name="图片 10" descr="5000f861-ab59-4549-ac0f-4d8fc1c31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000f861-ab59-4549-ac0f-4d8fc1c31d84"/>
                    <pic:cNvPicPr>
                      <a:picLocks noChangeAspect="1"/>
                    </pic:cNvPicPr>
                  </pic:nvPicPr>
                  <pic:blipFill>
                    <a:blip r:embed="rId19"/>
                    <a:srcRect t="19873"/>
                    <a:stretch>
                      <a:fillRect/>
                    </a:stretch>
                  </pic:blipFill>
                  <pic:spPr>
                    <a:xfrm>
                      <a:off x="0" y="0"/>
                      <a:ext cx="5370830" cy="3227705"/>
                    </a:xfrm>
                    <a:prstGeom prst="rect">
                      <a:avLst/>
                    </a:prstGeom>
                  </pic:spPr>
                </pic:pic>
              </a:graphicData>
            </a:graphic>
          </wp:inline>
        </w:drawing>
      </w:r>
    </w:p>
    <w:p w14:paraId="4D20265B">
      <w:pPr>
        <w:ind w:firstLine="0" w:firstLineChars="0"/>
        <w:jc w:val="center"/>
        <w:rPr>
          <w:rFonts w:hint="default" w:eastAsia="宋体"/>
          <w:lang w:val="en-US" w:eastAsia="zh-CN"/>
        </w:rPr>
      </w:pPr>
      <w:r>
        <w:rPr>
          <w:rFonts w:hint="eastAsia"/>
          <w:sz w:val="21"/>
          <w:szCs w:val="21"/>
        </w:rPr>
        <w:t>图5-</w:t>
      </w:r>
      <w:r>
        <w:rPr>
          <w:rFonts w:hint="eastAsia"/>
          <w:sz w:val="21"/>
          <w:szCs w:val="21"/>
          <w:lang w:val="en-US" w:eastAsia="zh-CN"/>
        </w:rPr>
        <w:t>2</w:t>
      </w:r>
      <w:r>
        <w:rPr>
          <w:rFonts w:hint="eastAsia" w:cstheme="minorBidi"/>
          <w:sz w:val="21"/>
          <w:szCs w:val="21"/>
          <w:lang w:val="en-US" w:eastAsia="zh-CN"/>
        </w:rPr>
        <w:t>风险自留的适用条件</w:t>
      </w:r>
    </w:p>
    <w:p w14:paraId="5E0E2E01">
      <w:pPr>
        <w:ind w:firstLine="480"/>
      </w:pPr>
      <w:r>
        <w:rPr>
          <w:rFonts w:hint="eastAsia"/>
        </w:rPr>
        <w:t>对于科创企业而言，典型的可自留AI伦理风险包括：服务机器人在非关键场景下的轻微误判，如清洁机器人误触非目标物品、个性化推荐算法的内容匹配偏差（不涉及歧视或敏感内容）、内部AI辅助工具的输出偏差（不影响外部用户），以及经过控制处理后的剩余低频低损风险。</w:t>
      </w:r>
    </w:p>
    <w:p w14:paraId="6C998CFB">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bookmarkStart w:id="29" w:name="_Toc239454566"/>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2．</w:t>
      </w:r>
      <w:r>
        <w:t>基于AI伦理风险特征的自留机制</w:t>
      </w:r>
      <w:bookmarkEnd w:id="29"/>
    </w:p>
    <w:p w14:paraId="5A7F0252">
      <w:pPr>
        <w:ind w:firstLine="480"/>
      </w:pPr>
      <w:r>
        <w:rPr>
          <w:rFonts w:hint="eastAsia"/>
        </w:rPr>
        <w:t>风险自留在AI伦理风险管理中的具体实施，可从财务安排、组织决策和持续监控三个层面展开。</w:t>
      </w:r>
    </w:p>
    <w:p w14:paraId="39E1CE14">
      <w:pPr>
        <w:ind w:firstLine="480"/>
      </w:pPr>
      <w:r>
        <w:rPr>
          <w:rFonts w:hint="eastAsia"/>
        </w:rPr>
        <w:t>第一，建立AI伦理储备金机制，实现风险损失的财务准备。</w:t>
      </w:r>
    </w:p>
    <w:p w14:paraId="207B48D3">
      <w:pPr>
        <w:ind w:firstLine="480"/>
      </w:pPr>
      <w:r>
        <w:rPr>
          <w:rFonts w:hint="eastAsia"/>
        </w:rPr>
        <w:t>传统风险管理中，有计划的风险自留通常通过计提风险准备金实现。借鉴金融行业计提贷款损失准备的逻辑，企业在确认某类AI伦理风险符合自留条件后，可将其纳入财务规划，设立专项储备金科目。</w:t>
      </w:r>
    </w:p>
    <w:p w14:paraId="27CBCA5B">
      <w:pPr>
        <w:ind w:firstLine="480"/>
      </w:pPr>
      <w:r>
        <w:rPr>
          <w:rFonts w:hint="eastAsia"/>
        </w:rPr>
        <w:t>在这一自留框架内，储备金的计提方式可根据风险事件的发生特征进一步细化：对于发生频率较高、单次损失较小的日常性伦理风险（如算法微调、数据合规审查），可采用年度计提方式，将预期损失按年度以营业费用形式计入基金，发生损失后直接以该基金抵补；对于发生频率较低、单次损失较大的偶发性伦理风险（如因算法偏见引发的诉讼赔偿），则可跨会计年度分摊，在一个以上的会计年度内逐步计提，以平滑其对单一会计期间财务表现的冲击。</w:t>
      </w:r>
    </w:p>
    <w:p w14:paraId="0D42E1B7">
      <w:pPr>
        <w:ind w:firstLine="480"/>
      </w:pPr>
      <w:r>
        <w:rPr>
          <w:rFonts w:hint="eastAsia"/>
        </w:rPr>
        <w:t>例如，OpenAI与Anthropic的风险自留探索具有代表性。由于传统保险市场难以承保AI模型的系统性风险，这两家公司陷入多起天价诉讼后，正在评估自我保险或设立“自保”实体的方案，拟从其投资者资金池中提取资金以覆盖潜在赔偿与诉讼开支。这一趋势表明，风险自留正在从被动接受损失向主动储备资金应对损失转变。</w:t>
      </w:r>
    </w:p>
    <w:p w14:paraId="0094CC74">
      <w:pPr>
        <w:pStyle w:val="39"/>
        <w:shd w:val="clear" w:color="auto" w:fill="FFFFFF"/>
        <w:spacing w:before="0" w:beforeAutospacing="0" w:after="0" w:afterAutospacing="0"/>
        <w:ind w:firstLine="489"/>
        <w:jc w:val="both"/>
        <w:rPr>
          <w:rFonts w:ascii="Times New Roman" w:hAnsi="Times New Roman" w:cs="仿宋"/>
          <w:b w:val="0"/>
          <w:bCs/>
          <w:color w:val="0F1115"/>
        </w:rPr>
      </w:pPr>
      <w:r>
        <w:rPr>
          <w:rFonts w:hint="eastAsia" w:ascii="Times New Roman" w:hAnsi="Times New Roman" w:cs="Times New Roman"/>
          <w:b w:val="0"/>
          <w:bCs/>
          <w:color w:val="0F1115"/>
          <w:shd w:val="clear" w:color="auto" w:fill="FFFFFF"/>
        </w:rPr>
        <w:t>第二，明确风险容忍度，建立自留决策的组织机制。</w:t>
      </w:r>
    </w:p>
    <w:p w14:paraId="623CE2D0">
      <w:pPr>
        <w:ind w:firstLine="480"/>
      </w:pPr>
      <w:r>
        <w:rPr>
          <w:rFonts w:hint="eastAsia"/>
        </w:rPr>
        <w:t>NIST发布的《AI风险管理框架（AIRMF1.0）》明确提出，风险容忍度是指组织为了实现目标而愿意承受风险的程度。在AI伦理风险管理中，企业需要明确设定伦理风险的可接受阈值——低于该阈值的风险可自留，高于该阈值的需升级管理。这一决策不应由单一部门做出，而应由AI伦理委员会联合财务、法务和技术部门共同评估，确保自留决策既反映技术上的风险判断，也体现财务上的承受能力和法律上的合规底线。</w:t>
      </w:r>
    </w:p>
    <w:p w14:paraId="43E5DDD1">
      <w:pPr>
        <w:pStyle w:val="39"/>
        <w:shd w:val="clear" w:color="auto" w:fill="FFFFFF"/>
        <w:spacing w:before="0" w:beforeAutospacing="0" w:after="0" w:afterAutospacing="0"/>
        <w:ind w:firstLine="489"/>
        <w:jc w:val="both"/>
        <w:rPr>
          <w:rFonts w:ascii="Times New Roman" w:hAnsi="Times New Roman" w:cs="仿宋"/>
          <w:b w:val="0"/>
          <w:bCs/>
          <w:color w:val="0F1115"/>
        </w:rPr>
      </w:pPr>
      <w:r>
        <w:rPr>
          <w:rFonts w:hint="eastAsia" w:ascii="Times New Roman" w:hAnsi="Times New Roman" w:cs="Times New Roman"/>
          <w:b w:val="0"/>
          <w:bCs/>
          <w:color w:val="0F1115"/>
          <w:shd w:val="clear" w:color="auto" w:fill="FFFFFF"/>
        </w:rPr>
        <w:t>第三，建立持续监测机制，防止自留风险的被动升级。</w:t>
      </w:r>
    </w:p>
    <w:p w14:paraId="12F0E9AC">
      <w:pPr>
        <w:ind w:firstLine="480"/>
      </w:pPr>
      <w:r>
        <w:rPr>
          <w:rFonts w:hint="eastAsia"/>
        </w:rPr>
        <w:t>有计划的风险自留必须伴随持续的监测。企业应将自留的AI伦理风险纳入常规监测范围，跟踪其发生频率和损失规模的变化。当累积损失超过预设阈值、风险频率呈现上升趋势或外部监管环境趋严时，自留策略应主动升级为损失控制或风险分散等更积极的管理措施。</w:t>
      </w:r>
    </w:p>
    <w:p w14:paraId="130F3FC2">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bookmarkStart w:id="30" w:name="_Toc239454567"/>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3．</w:t>
      </w:r>
      <w:r>
        <w:t>风险自留的量化评估机制</w:t>
      </w:r>
      <w:bookmarkEnd w:id="30"/>
    </w:p>
    <w:p w14:paraId="538D40E3">
      <w:pPr>
        <w:ind w:firstLine="480"/>
      </w:pPr>
      <w:r>
        <w:rPr>
          <w:rFonts w:hint="eastAsia"/>
        </w:rPr>
        <w:t>风险自留的决策需要明确的量化依据，可以从以下三个维度构建量化评估框架。</w:t>
      </w:r>
    </w:p>
    <w:p w14:paraId="4B7B5125">
      <w:pPr>
        <w:ind w:firstLine="480"/>
      </w:pPr>
      <w:r>
        <w:rPr>
          <w:rFonts w:hint="eastAsia"/>
        </w:rPr>
        <w:t>第一，自留决策的成本效益判断。</w:t>
      </w:r>
    </w:p>
    <w:p w14:paraId="45798C00">
      <w:pPr>
        <w:ind w:firstLine="480"/>
      </w:pPr>
      <w:r>
        <w:rPr>
          <w:rFonts w:hint="eastAsia"/>
        </w:rPr>
        <w:t>企业选择风险自留的核心经济逻辑是：自留风险的管理费用小于转移或控制该风险的成本。对于AI伦理风险，可构建如下判断条件：</w:t>
      </w:r>
    </w:p>
    <w:p w14:paraId="7733FFEE">
      <w:pPr>
        <w:ind w:firstLine="480"/>
      </w:pPr>
      <w:r>
        <w:rPr>
          <w:rFonts w:hint="eastAsia"/>
        </w:rPr>
        <w:t>自留决策条件：E(L)+C_retention&lt;C_control</w:t>
      </w:r>
    </w:p>
    <w:p w14:paraId="5356854B">
      <w:pPr>
        <w:ind w:firstLine="480"/>
      </w:pPr>
      <w:r>
        <w:rPr>
          <w:rFonts w:hint="eastAsia"/>
        </w:rPr>
        <w:t>其中E</w:t>
      </w:r>
      <w:r>
        <w:rPr>
          <w:rFonts w:hint="eastAsia"/>
          <w:lang w:eastAsia="zh-CN"/>
        </w:rPr>
        <w:t>（</w:t>
      </w:r>
      <w:r>
        <w:rPr>
          <w:rFonts w:hint="eastAsia"/>
        </w:rPr>
        <w:t>L）为期望伦理损失（发生概率×预期损失金额），C_retention为自留管理成本（包括储备金占用成本、监测成本等），C_control为主动控制的成本（包括技术投入、人员培训、流程改造等）。当自留的总成本低于主动控制的成本时，自留在经济上是合理的。</w:t>
      </w:r>
    </w:p>
    <w:p w14:paraId="56DF2D55">
      <w:pPr>
        <w:ind w:firstLine="480"/>
      </w:pPr>
      <w:r>
        <w:rPr>
          <w:rFonts w:hint="eastAsia"/>
        </w:rPr>
        <w:t>第二，AI伦理储备金的计提模型。</w:t>
      </w:r>
    </w:p>
    <w:p w14:paraId="0D35EC76">
      <w:pPr>
        <w:ind w:firstLine="480"/>
      </w:pPr>
      <w:r>
        <w:rPr>
          <w:rFonts w:hint="eastAsia"/>
        </w:rPr>
        <w:t>借鉴金融行业的风险准备金逻辑，AI伦理储备金的计提可表达为：</w:t>
      </w:r>
    </w:p>
    <w:p w14:paraId="1ED3ED61">
      <w:pPr>
        <w:ind w:firstLine="480"/>
      </w:pPr>
      <w:r>
        <w:rPr>
          <w:rFonts w:hint="eastAsia"/>
        </w:rPr>
        <w:t>AI伦理储备金=Σ（风险事件概率_i×预期损失_i×暴露系数_i</w:t>
      </w:r>
      <w:r>
        <w:rPr>
          <w:rFonts w:hint="eastAsia"/>
          <w:lang w:eastAsia="zh-CN"/>
        </w:rPr>
        <w:t>）</w:t>
      </w:r>
    </w:p>
    <w:p w14:paraId="25260238">
      <w:pPr>
        <w:ind w:firstLine="480"/>
      </w:pPr>
      <w:r>
        <w:rPr>
          <w:rFonts w:hint="eastAsia"/>
        </w:rPr>
        <w:t>其中风险事件概率和预期损失可根据行业基准和企业历史数据估算，暴露系数反映该风险在企业整体业务中的影响范围。例如，用于内部辅助办公的生成式AI与用于面向客户的自动化决策AI，即使风险事件概率相同，后者的暴露系数应显著更高。</w:t>
      </w:r>
    </w:p>
    <w:p w14:paraId="20727935">
      <w:pPr>
        <w:ind w:firstLine="480"/>
      </w:pPr>
      <w:r>
        <w:rPr>
          <w:rFonts w:hint="eastAsia"/>
        </w:rPr>
        <w:t>第三，风险容忍度的阈值设定。</w:t>
      </w:r>
    </w:p>
    <w:p w14:paraId="1E010AB5">
      <w:pPr>
        <w:ind w:firstLine="480"/>
      </w:pPr>
      <w:r>
        <w:rPr>
          <w:rFonts w:hint="eastAsia"/>
        </w:rPr>
        <w:t>企业应根据自身规模、行业属性和风险承受能力，设定差异化的伦理风险容忍度：</w:t>
      </w:r>
    </w:p>
    <w:p w14:paraId="2FCA970F">
      <w:pPr>
        <w:ind w:firstLine="0" w:firstLineChars="0"/>
        <w:jc w:val="center"/>
        <w:rPr>
          <w:sz w:val="21"/>
          <w:szCs w:val="20"/>
        </w:rPr>
      </w:pPr>
      <w:r>
        <w:rPr>
          <w:rFonts w:hint="eastAsia"/>
          <w:sz w:val="21"/>
          <w:szCs w:val="20"/>
        </w:rPr>
        <w:t>表5-2不同水平风险的特征与管理策略</w:t>
      </w:r>
    </w:p>
    <w:tbl>
      <w:tblPr>
        <w:tblStyle w:val="43"/>
        <w:tblW w:w="4999" w:type="pct"/>
        <w:tblInd w:w="0" w:type="dxa"/>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322"/>
        <w:gridCol w:w="3523"/>
        <w:gridCol w:w="4345"/>
      </w:tblGrid>
      <w:tr w14:paraId="37522812">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719" w:type="pct"/>
            <w:tcBorders>
              <w:top w:val="single" w:color="000000" w:sz="12" w:space="0"/>
              <w:bottom w:val="single" w:color="000000" w:sz="4" w:space="0"/>
              <w:tl2br w:val="nil"/>
            </w:tcBorders>
            <w:shd w:val="clear" w:color="auto" w:fill="FFFFFF"/>
            <w:tcMar>
              <w:top w:w="75" w:type="dxa"/>
              <w:left w:w="0" w:type="dxa"/>
              <w:bottom w:w="75" w:type="dxa"/>
              <w:right w:w="120" w:type="dxa"/>
            </w:tcMar>
            <w:vAlign w:val="center"/>
          </w:tcPr>
          <w:p w14:paraId="6C1AB861">
            <w:pPr>
              <w:spacing w:line="240" w:lineRule="auto"/>
              <w:ind w:firstLine="0" w:firstLineChars="0"/>
              <w:rPr>
                <w:sz w:val="21"/>
                <w:szCs w:val="20"/>
              </w:rPr>
            </w:pPr>
            <w:r>
              <w:rPr>
                <w:rFonts w:hint="eastAsia"/>
                <w:sz w:val="21"/>
                <w:szCs w:val="20"/>
              </w:rPr>
              <w:t>风险水平</w:t>
            </w:r>
          </w:p>
        </w:tc>
        <w:tc>
          <w:tcPr>
            <w:tcW w:w="1916" w:type="pct"/>
            <w:tcBorders>
              <w:top w:val="single" w:color="000000" w:sz="12" w:space="0"/>
              <w:bottom w:val="single" w:color="000000" w:sz="4" w:space="0"/>
            </w:tcBorders>
            <w:shd w:val="clear" w:color="auto" w:fill="FFFFFF"/>
            <w:tcMar>
              <w:top w:w="75" w:type="dxa"/>
              <w:left w:w="120" w:type="dxa"/>
              <w:bottom w:w="75" w:type="dxa"/>
              <w:right w:w="120" w:type="dxa"/>
            </w:tcMar>
            <w:vAlign w:val="center"/>
          </w:tcPr>
          <w:p w14:paraId="2A840223">
            <w:pPr>
              <w:spacing w:line="240" w:lineRule="auto"/>
              <w:ind w:firstLine="0" w:firstLineChars="0"/>
              <w:rPr>
                <w:sz w:val="21"/>
                <w:szCs w:val="20"/>
              </w:rPr>
            </w:pPr>
            <w:r>
              <w:rPr>
                <w:rFonts w:hint="eastAsia"/>
                <w:sz w:val="21"/>
                <w:szCs w:val="20"/>
              </w:rPr>
              <w:t>风险特征</w:t>
            </w:r>
          </w:p>
        </w:tc>
        <w:tc>
          <w:tcPr>
            <w:tcW w:w="2363" w:type="pct"/>
            <w:tcBorders>
              <w:top w:val="single" w:color="000000" w:sz="12" w:space="0"/>
              <w:bottom w:val="single" w:color="000000" w:sz="4" w:space="0"/>
            </w:tcBorders>
            <w:shd w:val="clear" w:color="auto" w:fill="FFFFFF"/>
            <w:tcMar>
              <w:top w:w="75" w:type="dxa"/>
              <w:left w:w="120" w:type="dxa"/>
              <w:bottom w:w="75" w:type="dxa"/>
              <w:right w:w="120" w:type="dxa"/>
            </w:tcMar>
            <w:vAlign w:val="center"/>
          </w:tcPr>
          <w:p w14:paraId="476A6C10">
            <w:pPr>
              <w:spacing w:line="240" w:lineRule="auto"/>
              <w:ind w:firstLine="0" w:firstLineChars="0"/>
              <w:rPr>
                <w:sz w:val="21"/>
                <w:szCs w:val="20"/>
              </w:rPr>
            </w:pPr>
            <w:r>
              <w:rPr>
                <w:rFonts w:hint="eastAsia"/>
                <w:sz w:val="21"/>
                <w:szCs w:val="20"/>
              </w:rPr>
              <w:t>管理策略</w:t>
            </w:r>
          </w:p>
        </w:tc>
      </w:tr>
      <w:tr w14:paraId="50EE8842">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15" w:type="dxa"/>
            <w:left w:w="15" w:type="dxa"/>
            <w:bottom w:w="15" w:type="dxa"/>
            <w:right w:w="15" w:type="dxa"/>
          </w:tblCellMar>
        </w:tblPrEx>
        <w:tc>
          <w:tcPr>
            <w:tcW w:w="719" w:type="pct"/>
            <w:tcBorders>
              <w:top w:val="single" w:color="000000" w:sz="4" w:space="0"/>
            </w:tcBorders>
            <w:shd w:val="clear" w:color="auto" w:fill="FFFFFF"/>
            <w:tcMar>
              <w:top w:w="75" w:type="dxa"/>
              <w:left w:w="0" w:type="dxa"/>
              <w:bottom w:w="75" w:type="dxa"/>
              <w:right w:w="120" w:type="dxa"/>
            </w:tcMar>
            <w:vAlign w:val="center"/>
          </w:tcPr>
          <w:p w14:paraId="410CECC4">
            <w:pPr>
              <w:spacing w:line="240" w:lineRule="auto"/>
              <w:ind w:firstLine="0" w:firstLineChars="0"/>
              <w:rPr>
                <w:sz w:val="21"/>
                <w:szCs w:val="20"/>
              </w:rPr>
            </w:pPr>
            <w:r>
              <w:rPr>
                <w:rFonts w:hint="eastAsia"/>
                <w:sz w:val="21"/>
                <w:szCs w:val="20"/>
              </w:rPr>
              <w:t>极低风险</w:t>
            </w:r>
          </w:p>
        </w:tc>
        <w:tc>
          <w:tcPr>
            <w:tcW w:w="1916" w:type="pct"/>
            <w:tcBorders>
              <w:top w:val="single" w:color="000000" w:sz="4" w:space="0"/>
            </w:tcBorders>
            <w:shd w:val="clear" w:color="auto" w:fill="FFFFFF"/>
            <w:tcMar>
              <w:top w:w="75" w:type="dxa"/>
              <w:left w:w="120" w:type="dxa"/>
              <w:bottom w:w="75" w:type="dxa"/>
              <w:right w:w="120" w:type="dxa"/>
            </w:tcMar>
            <w:vAlign w:val="center"/>
          </w:tcPr>
          <w:p w14:paraId="26E51517">
            <w:pPr>
              <w:spacing w:line="240" w:lineRule="auto"/>
              <w:ind w:firstLine="0" w:firstLineChars="0"/>
              <w:rPr>
                <w:sz w:val="21"/>
                <w:szCs w:val="20"/>
              </w:rPr>
            </w:pPr>
            <w:r>
              <w:rPr>
                <w:rFonts w:hint="eastAsia"/>
                <w:sz w:val="21"/>
                <w:szCs w:val="20"/>
              </w:rPr>
              <w:t>概率极低、损失可忽略</w:t>
            </w:r>
          </w:p>
        </w:tc>
        <w:tc>
          <w:tcPr>
            <w:tcW w:w="2363" w:type="pct"/>
            <w:tcBorders>
              <w:top w:val="single" w:color="000000" w:sz="4" w:space="0"/>
            </w:tcBorders>
            <w:shd w:val="clear" w:color="auto" w:fill="FFFFFF"/>
            <w:tcMar>
              <w:top w:w="75" w:type="dxa"/>
              <w:left w:w="120" w:type="dxa"/>
              <w:bottom w:w="75" w:type="dxa"/>
              <w:right w:w="0" w:type="dxa"/>
            </w:tcMar>
            <w:vAlign w:val="center"/>
          </w:tcPr>
          <w:p w14:paraId="5E6A2D76">
            <w:pPr>
              <w:spacing w:line="240" w:lineRule="auto"/>
              <w:ind w:firstLine="0" w:firstLineChars="0"/>
              <w:rPr>
                <w:sz w:val="21"/>
                <w:szCs w:val="20"/>
              </w:rPr>
            </w:pPr>
            <w:r>
              <w:rPr>
                <w:rFonts w:hint="eastAsia"/>
                <w:sz w:val="21"/>
                <w:szCs w:val="20"/>
              </w:rPr>
              <w:t>无计划自留（常规运营）</w:t>
            </w:r>
          </w:p>
        </w:tc>
      </w:tr>
      <w:tr w14:paraId="01F2CB5B">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15" w:type="dxa"/>
            <w:left w:w="15" w:type="dxa"/>
            <w:bottom w:w="15" w:type="dxa"/>
            <w:right w:w="15" w:type="dxa"/>
          </w:tblCellMar>
        </w:tblPrEx>
        <w:tc>
          <w:tcPr>
            <w:tcW w:w="719" w:type="pct"/>
            <w:shd w:val="clear" w:color="auto" w:fill="FFFFFF"/>
            <w:tcMar>
              <w:top w:w="75" w:type="dxa"/>
              <w:left w:w="0" w:type="dxa"/>
              <w:bottom w:w="75" w:type="dxa"/>
              <w:right w:w="120" w:type="dxa"/>
            </w:tcMar>
            <w:vAlign w:val="center"/>
          </w:tcPr>
          <w:p w14:paraId="3F9A8479">
            <w:pPr>
              <w:spacing w:line="240" w:lineRule="auto"/>
              <w:ind w:firstLine="0" w:firstLineChars="0"/>
              <w:rPr>
                <w:sz w:val="21"/>
                <w:szCs w:val="20"/>
              </w:rPr>
            </w:pPr>
            <w:r>
              <w:rPr>
                <w:rFonts w:hint="eastAsia"/>
                <w:sz w:val="21"/>
                <w:szCs w:val="20"/>
              </w:rPr>
              <w:t>低风险</w:t>
            </w:r>
          </w:p>
        </w:tc>
        <w:tc>
          <w:tcPr>
            <w:tcW w:w="1916" w:type="pct"/>
            <w:shd w:val="clear" w:color="auto" w:fill="FFFFFF"/>
            <w:tcMar>
              <w:top w:w="75" w:type="dxa"/>
              <w:left w:w="120" w:type="dxa"/>
              <w:bottom w:w="75" w:type="dxa"/>
              <w:right w:w="120" w:type="dxa"/>
            </w:tcMar>
            <w:vAlign w:val="center"/>
          </w:tcPr>
          <w:p w14:paraId="795734EC">
            <w:pPr>
              <w:spacing w:line="240" w:lineRule="auto"/>
              <w:ind w:firstLine="0" w:firstLineChars="0"/>
              <w:rPr>
                <w:sz w:val="21"/>
                <w:szCs w:val="20"/>
              </w:rPr>
            </w:pPr>
            <w:r>
              <w:rPr>
                <w:rFonts w:hint="eastAsia"/>
                <w:sz w:val="21"/>
                <w:szCs w:val="20"/>
              </w:rPr>
              <w:t>概率低、损失在容忍度内</w:t>
            </w:r>
          </w:p>
        </w:tc>
        <w:tc>
          <w:tcPr>
            <w:tcW w:w="2363" w:type="pct"/>
            <w:shd w:val="clear" w:color="auto" w:fill="FFFFFF"/>
            <w:tcMar>
              <w:top w:w="75" w:type="dxa"/>
              <w:left w:w="120" w:type="dxa"/>
              <w:bottom w:w="75" w:type="dxa"/>
              <w:right w:w="0" w:type="dxa"/>
            </w:tcMar>
            <w:vAlign w:val="center"/>
          </w:tcPr>
          <w:p w14:paraId="017E70C7">
            <w:pPr>
              <w:spacing w:line="240" w:lineRule="auto"/>
              <w:ind w:firstLine="0" w:firstLineChars="0"/>
              <w:rPr>
                <w:sz w:val="21"/>
                <w:szCs w:val="20"/>
              </w:rPr>
            </w:pPr>
            <w:r>
              <w:rPr>
                <w:rFonts w:hint="eastAsia"/>
                <w:sz w:val="21"/>
                <w:szCs w:val="20"/>
              </w:rPr>
              <w:t>有计划自留（计提储备金、持续监测）</w:t>
            </w:r>
          </w:p>
        </w:tc>
      </w:tr>
      <w:tr w14:paraId="501A0561">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15" w:type="dxa"/>
            <w:left w:w="15" w:type="dxa"/>
            <w:bottom w:w="15" w:type="dxa"/>
            <w:right w:w="15" w:type="dxa"/>
          </w:tblCellMar>
        </w:tblPrEx>
        <w:tc>
          <w:tcPr>
            <w:tcW w:w="719" w:type="pct"/>
            <w:shd w:val="clear" w:color="auto" w:fill="FFFFFF"/>
            <w:tcMar>
              <w:top w:w="75" w:type="dxa"/>
              <w:left w:w="0" w:type="dxa"/>
              <w:bottom w:w="75" w:type="dxa"/>
              <w:right w:w="120" w:type="dxa"/>
            </w:tcMar>
            <w:vAlign w:val="center"/>
          </w:tcPr>
          <w:p w14:paraId="69193ED0">
            <w:pPr>
              <w:spacing w:line="240" w:lineRule="auto"/>
              <w:ind w:firstLine="0" w:firstLineChars="0"/>
              <w:rPr>
                <w:sz w:val="21"/>
                <w:szCs w:val="20"/>
              </w:rPr>
            </w:pPr>
            <w:r>
              <w:rPr>
                <w:rFonts w:hint="eastAsia"/>
                <w:sz w:val="21"/>
                <w:szCs w:val="20"/>
              </w:rPr>
              <w:t>中风险</w:t>
            </w:r>
          </w:p>
        </w:tc>
        <w:tc>
          <w:tcPr>
            <w:tcW w:w="1916" w:type="pct"/>
            <w:shd w:val="clear" w:color="auto" w:fill="FFFFFF"/>
            <w:tcMar>
              <w:top w:w="75" w:type="dxa"/>
              <w:left w:w="120" w:type="dxa"/>
              <w:bottom w:w="75" w:type="dxa"/>
              <w:right w:w="120" w:type="dxa"/>
            </w:tcMar>
            <w:vAlign w:val="center"/>
          </w:tcPr>
          <w:p w14:paraId="27EA2FB0">
            <w:pPr>
              <w:spacing w:line="240" w:lineRule="auto"/>
              <w:ind w:firstLine="0" w:firstLineChars="0"/>
              <w:rPr>
                <w:sz w:val="21"/>
                <w:szCs w:val="20"/>
              </w:rPr>
            </w:pPr>
            <w:r>
              <w:rPr>
                <w:rFonts w:hint="eastAsia"/>
                <w:sz w:val="21"/>
                <w:szCs w:val="20"/>
              </w:rPr>
              <w:t>概率或损失接近容忍度上限</w:t>
            </w:r>
          </w:p>
        </w:tc>
        <w:tc>
          <w:tcPr>
            <w:tcW w:w="2363" w:type="pct"/>
            <w:shd w:val="clear" w:color="auto" w:fill="FFFFFF"/>
            <w:tcMar>
              <w:top w:w="75" w:type="dxa"/>
              <w:left w:w="120" w:type="dxa"/>
              <w:bottom w:w="75" w:type="dxa"/>
              <w:right w:w="0" w:type="dxa"/>
            </w:tcMar>
            <w:vAlign w:val="center"/>
          </w:tcPr>
          <w:p w14:paraId="4EC09058">
            <w:pPr>
              <w:spacing w:line="240" w:lineRule="auto"/>
              <w:ind w:firstLine="0" w:firstLineChars="0"/>
              <w:rPr>
                <w:sz w:val="21"/>
                <w:szCs w:val="20"/>
              </w:rPr>
            </w:pPr>
            <w:r>
              <w:rPr>
                <w:rFonts w:hint="eastAsia"/>
                <w:sz w:val="21"/>
                <w:szCs w:val="20"/>
              </w:rPr>
              <w:t>升级为损失控制或风险分散</w:t>
            </w:r>
          </w:p>
        </w:tc>
      </w:tr>
      <w:tr w14:paraId="3021E0C6">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15" w:type="dxa"/>
            <w:left w:w="15" w:type="dxa"/>
            <w:bottom w:w="15" w:type="dxa"/>
            <w:right w:w="15" w:type="dxa"/>
          </w:tblCellMar>
        </w:tblPrEx>
        <w:tc>
          <w:tcPr>
            <w:tcW w:w="719" w:type="pct"/>
            <w:tcBorders>
              <w:bottom w:val="single" w:color="000000" w:sz="12" w:space="0"/>
            </w:tcBorders>
            <w:shd w:val="clear" w:color="auto" w:fill="FFFFFF"/>
            <w:tcMar>
              <w:top w:w="75" w:type="dxa"/>
              <w:left w:w="0" w:type="dxa"/>
              <w:bottom w:w="75" w:type="dxa"/>
              <w:right w:w="120" w:type="dxa"/>
            </w:tcMar>
            <w:vAlign w:val="center"/>
          </w:tcPr>
          <w:p w14:paraId="04E38EE9">
            <w:pPr>
              <w:spacing w:line="240" w:lineRule="auto"/>
              <w:ind w:firstLine="0" w:firstLineChars="0"/>
              <w:rPr>
                <w:sz w:val="21"/>
                <w:szCs w:val="20"/>
              </w:rPr>
            </w:pPr>
            <w:r>
              <w:rPr>
                <w:rFonts w:hint="eastAsia"/>
                <w:sz w:val="21"/>
                <w:szCs w:val="20"/>
              </w:rPr>
              <w:t>高风险</w:t>
            </w:r>
          </w:p>
        </w:tc>
        <w:tc>
          <w:tcPr>
            <w:tcW w:w="1916" w:type="pct"/>
            <w:tcBorders>
              <w:bottom w:val="single" w:color="000000" w:sz="12" w:space="0"/>
            </w:tcBorders>
            <w:shd w:val="clear" w:color="auto" w:fill="FFFFFF"/>
            <w:tcMar>
              <w:top w:w="75" w:type="dxa"/>
              <w:left w:w="120" w:type="dxa"/>
              <w:bottom w:w="75" w:type="dxa"/>
              <w:right w:w="120" w:type="dxa"/>
            </w:tcMar>
            <w:vAlign w:val="center"/>
          </w:tcPr>
          <w:p w14:paraId="6E54076B">
            <w:pPr>
              <w:spacing w:line="240" w:lineRule="auto"/>
              <w:ind w:firstLine="0" w:firstLineChars="0"/>
              <w:rPr>
                <w:sz w:val="21"/>
                <w:szCs w:val="20"/>
              </w:rPr>
            </w:pPr>
            <w:r>
              <w:rPr>
                <w:rFonts w:hint="eastAsia"/>
                <w:sz w:val="21"/>
                <w:szCs w:val="20"/>
              </w:rPr>
              <w:t>超出容忍度</w:t>
            </w:r>
          </w:p>
        </w:tc>
        <w:tc>
          <w:tcPr>
            <w:tcW w:w="2363" w:type="pct"/>
            <w:tcBorders>
              <w:bottom w:val="single" w:color="000000" w:sz="12" w:space="0"/>
            </w:tcBorders>
            <w:shd w:val="clear" w:color="auto" w:fill="FFFFFF"/>
            <w:tcMar>
              <w:top w:w="75" w:type="dxa"/>
              <w:left w:w="120" w:type="dxa"/>
              <w:bottom w:w="75" w:type="dxa"/>
              <w:right w:w="0" w:type="dxa"/>
            </w:tcMar>
            <w:vAlign w:val="center"/>
          </w:tcPr>
          <w:p w14:paraId="3643A766">
            <w:pPr>
              <w:spacing w:line="240" w:lineRule="auto"/>
              <w:ind w:firstLine="0" w:firstLineChars="0"/>
              <w:rPr>
                <w:sz w:val="21"/>
                <w:szCs w:val="20"/>
              </w:rPr>
            </w:pPr>
            <w:r>
              <w:rPr>
                <w:rFonts w:hint="eastAsia"/>
                <w:sz w:val="21"/>
                <w:szCs w:val="20"/>
              </w:rPr>
              <w:t>启动风险撤出</w:t>
            </w:r>
          </w:p>
        </w:tc>
      </w:tr>
    </w:tbl>
    <w:p w14:paraId="0F2256A2">
      <w:pPr>
        <w:pStyle w:val="4"/>
        <w:ind w:firstLine="571"/>
      </w:pPr>
      <w:bookmarkStart w:id="31" w:name="_Toc14"/>
      <w:bookmarkStart w:id="32" w:name="_Toc239454568"/>
      <w:r>
        <w:rPr>
          <w:rFonts w:hint="eastAsia"/>
        </w:rPr>
        <w:t>（二）</w:t>
      </w:r>
      <w:r>
        <w:t>损失控制</w:t>
      </w:r>
      <w:r>
        <w:rPr>
          <w:rFonts w:hint="eastAsia"/>
        </w:rPr>
        <w:t>：风险前置预防与动态治理</w:t>
      </w:r>
      <w:bookmarkEnd w:id="31"/>
      <w:bookmarkEnd w:id="32"/>
    </w:p>
    <w:p w14:paraId="56AE4E0E">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bookmarkStart w:id="33" w:name="_Toc239454569"/>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1．</w:t>
      </w:r>
      <w:r>
        <w:t>损失控制的定位与适用边界</w:t>
      </w:r>
      <w:bookmarkEnd w:id="33"/>
    </w:p>
    <w:p w14:paraId="5417013F">
      <w:pPr>
        <w:ind w:firstLine="480"/>
      </w:pPr>
      <w:r>
        <w:rPr>
          <w:rFonts w:hint="eastAsia"/>
        </w:rPr>
        <w:t>在传统风险管理理论中，损失控制（Loss Control）的核心目标是通过采取预防性和减损性措施，降低风险发生的频率或减少风险造成的损失规模。与风险转移强调外部化不同，损失控制更侧重于企业自身能力的建设。传统风险管理理论</w:t>
      </w:r>
      <w:r>
        <w:rPr>
          <w:rStyle w:val="150"/>
          <w:rFonts w:hint="eastAsia" w:cs="Times New Roman"/>
          <w:color w:val="0F1115"/>
          <w:shd w:val="clear" w:color="auto" w:fill="FFFFFF"/>
        </w:rPr>
        <w:footnoteReference w:id="21"/>
      </w:r>
      <w:r>
        <w:rPr>
          <w:rFonts w:hint="eastAsia"/>
        </w:rPr>
        <w:t>通常将损失控制划分为损失预防（Loss Prevention）和损失降低（Loss Reduction）两个方面：前者旨在降低风险事件发生频率，后者旨在降低风险事件发生后的损失程度。</w:t>
      </w:r>
    </w:p>
    <w:p w14:paraId="4857AA71">
      <w:pPr>
        <w:ind w:firstLine="480"/>
      </w:pPr>
      <w:r>
        <w:rPr>
          <w:rFonts w:hint="eastAsia"/>
        </w:rPr>
        <w:t>对于AI领域而言，损失控制具有突出的适用价值。AI伦理风险具有显著的前置形成特征——许多伦理问题并非在系统运行后突然产生，而是在数据采集、模型训练和算法设计阶段逐步固化。算法歧视往往源于训练数据中的历史偏差，隐私侵犯可能产生于数据采集范围过度扩张，决策失控则可能源于模型不可解释性和监督缺失。因此，AI伦理风险的损失控制必须前移至AI系统生命周期早期阶段。</w:t>
      </w:r>
    </w:p>
    <w:p w14:paraId="51CD273B">
      <w:pPr>
        <w:ind w:firstLine="480"/>
      </w:pPr>
      <w:bookmarkStart w:id="34" w:name="OLE_LINK4"/>
      <w:r>
        <w:rPr>
          <w:rFonts w:hint="eastAsia"/>
        </w:rPr>
        <w:t>从四象限风险管理框架来看，损失控制最适用于高频低损的风险类型。对于这类风险，单次事件的影响有限，但累积效应不可忽视。例如算法在决策中反复出现的轻微偏差、服务机器人在人机交互中的重复性失误等，均需要通过系统性的控制措施降低其发生频率。</w:t>
      </w:r>
      <w:bookmarkEnd w:id="34"/>
    </w:p>
    <w:p w14:paraId="382CE428">
      <w:pPr>
        <w:ind w:firstLine="480"/>
      </w:pPr>
      <w:r>
        <w:rPr>
          <w:rFonts w:hint="eastAsia"/>
        </w:rPr>
        <w:t>近年来，国际社会对AI风险治理的关注逐渐从价值倡导转向管理实践。NIST AI RMF指出，AI风险管理应贯穿设计、开发、部署、使用和评价全过程。这一理念与损失控制的基本逻辑高度一致，通过系统性的预防机制，将伦理风险控制在可接受范围内。</w:t>
      </w:r>
    </w:p>
    <w:p w14:paraId="4AC4B32D">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bookmarkStart w:id="35" w:name="_Toc239454570"/>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2．</w:t>
      </w:r>
      <w:r>
        <w:t>基于AI生命周期的损失控制体系</w:t>
      </w:r>
      <w:bookmarkEnd w:id="35"/>
    </w:p>
    <w:p w14:paraId="6202AB34">
      <w:pPr>
        <w:ind w:firstLine="480"/>
        <w:rPr>
          <w:rFonts w:hint="eastAsia"/>
        </w:rPr>
      </w:pPr>
      <w:r>
        <w:rPr>
          <w:rFonts w:hint="eastAsia"/>
        </w:rPr>
        <w:t>AI伦理风险的损失控制应当贯穿AI系统全生命周期，具体分为三个层面：</w:t>
      </w:r>
    </w:p>
    <w:p w14:paraId="4B4F2D03">
      <w:pPr>
        <w:ind w:left="0" w:leftChars="0" w:firstLine="0" w:firstLineChars="0"/>
        <w:rPr>
          <w:rFonts w:hint="eastAsia" w:eastAsia="宋体"/>
          <w:lang w:eastAsia="zh-CN"/>
        </w:rPr>
      </w:pPr>
      <w:r>
        <w:rPr>
          <w:rFonts w:hint="eastAsia" w:eastAsia="宋体"/>
          <w:lang w:eastAsia="zh-CN"/>
        </w:rPr>
        <w:drawing>
          <wp:inline distT="0" distB="0" distL="114300" distR="114300">
            <wp:extent cx="5751195" cy="3599180"/>
            <wp:effectExtent l="0" t="0" r="1905" b="7620"/>
            <wp:docPr id="11" name="图片 11" descr="2f85d8ab-8600-4322-9259-532684cd2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f85d8ab-8600-4322-9259-532684cd2cce"/>
                    <pic:cNvPicPr>
                      <a:picLocks noChangeAspect="1"/>
                    </pic:cNvPicPr>
                  </pic:nvPicPr>
                  <pic:blipFill>
                    <a:blip r:embed="rId20"/>
                    <a:srcRect t="16561"/>
                    <a:stretch>
                      <a:fillRect/>
                    </a:stretch>
                  </pic:blipFill>
                  <pic:spPr>
                    <a:xfrm>
                      <a:off x="0" y="0"/>
                      <a:ext cx="5751195" cy="3599180"/>
                    </a:xfrm>
                    <a:prstGeom prst="rect">
                      <a:avLst/>
                    </a:prstGeom>
                  </pic:spPr>
                </pic:pic>
              </a:graphicData>
            </a:graphic>
          </wp:inline>
        </w:drawing>
      </w:r>
    </w:p>
    <w:p w14:paraId="5CDFB5C7">
      <w:pPr>
        <w:ind w:firstLine="0" w:firstLineChars="0"/>
        <w:jc w:val="center"/>
        <w:rPr>
          <w:rFonts w:hint="default" w:eastAsia="宋体"/>
          <w:lang w:val="en-US" w:eastAsia="zh-CN"/>
        </w:rPr>
      </w:pPr>
      <w:r>
        <w:rPr>
          <w:rFonts w:hint="eastAsia"/>
          <w:sz w:val="21"/>
          <w:szCs w:val="21"/>
        </w:rPr>
        <w:t>图5-</w:t>
      </w:r>
      <w:r>
        <w:rPr>
          <w:rFonts w:hint="eastAsia"/>
          <w:sz w:val="21"/>
          <w:szCs w:val="21"/>
          <w:lang w:val="en-US" w:eastAsia="zh-CN"/>
        </w:rPr>
        <w:t>3科创企业AI伦理风险的损失控制路径</w:t>
      </w:r>
    </w:p>
    <w:p w14:paraId="79454BB1">
      <w:pPr>
        <w:ind w:firstLine="480"/>
      </w:pPr>
      <w:r>
        <w:rPr>
          <w:rFonts w:hint="eastAsia"/>
        </w:rPr>
        <w:t>第一，数据与模型开发阶段的前置控制——降低风险形成概率。</w:t>
      </w:r>
    </w:p>
    <w:p w14:paraId="6B07B1EB">
      <w:pPr>
        <w:ind w:firstLine="480"/>
      </w:pPr>
      <w:r>
        <w:rPr>
          <w:rFonts w:hint="eastAsia"/>
        </w:rPr>
        <w:t>在数据治理层面，企业应通过数据最小化原则控制采集风险，仅收集实现特定AI应用所必需的数据，并积极应用差分隐私、联邦学习等隐私增强技术（PETs），降低数据利用过程中的隐私风险。联邦学习通过“数据不出域、模型可协同”的方式，使多个机构能够在不直接共享原始数据的情况下共同训练模型，从而降低敏感数据集中存储和传输带来的泄露风险。同时，需要关注训练数据的代表性问题，通过数据质量评估机制识别和修正可能转化为算法歧视的结构性偏差。</w:t>
      </w:r>
    </w:p>
    <w:p w14:paraId="67975AA1">
      <w:pPr>
        <w:ind w:firstLine="480"/>
      </w:pPr>
      <w:r>
        <w:rPr>
          <w:rFonts w:hint="eastAsia"/>
        </w:rPr>
        <w:t>在算法治理层面，企业应建立公平性检测机制</w:t>
      </w:r>
      <w:r>
        <w:rPr>
          <w:rFonts w:hint="eastAsia"/>
          <w:lang w:eastAsia="zh-CN"/>
        </w:rPr>
        <w:t>，</w:t>
      </w:r>
      <w:r>
        <w:rPr>
          <w:rFonts w:hint="eastAsia"/>
          <w:lang w:val="en-US" w:eastAsia="zh-CN"/>
        </w:rPr>
        <w:t>如统计</w:t>
      </w:r>
      <w:r>
        <w:rPr>
          <w:rFonts w:hint="eastAsia"/>
        </w:rPr>
        <w:t>人口统计平等、均等机会等指标，降低模型对特定群体产生歧视性结果的可能性；通过LIME</w:t>
      </w:r>
      <w:r>
        <w:rPr>
          <w:rStyle w:val="150"/>
          <w:rFonts w:hint="eastAsia" w:cs="Times New Roman"/>
          <w:color w:val="0F1115"/>
          <w:shd w:val="clear" w:color="auto" w:fill="FFFFFF"/>
        </w:rPr>
        <w:footnoteReference w:id="22"/>
      </w:r>
      <w:r>
        <w:rPr>
          <w:rFonts w:hint="eastAsia"/>
        </w:rPr>
        <w:t>、SHAP等方法增强模型可解释性，降低自动化决策带来的权责不清风险；建立模型测试和验证机制，在部署前开展压力测试、偏差测试和安全测试。</w:t>
      </w:r>
    </w:p>
    <w:p w14:paraId="7F54EA32">
      <w:pPr>
        <w:ind w:firstLine="480"/>
      </w:pPr>
      <w:r>
        <w:rPr>
          <w:rFonts w:hint="eastAsia"/>
        </w:rPr>
        <w:t>从现有技术实践来看，算法公平治理已经形成了较为成熟的工具化路径。IBM开发的AI Fairness360（AIF360）</w:t>
      </w:r>
      <w:r>
        <w:rPr>
          <w:rStyle w:val="150"/>
          <w:rFonts w:hint="eastAsia" w:cs="Times New Roman"/>
          <w:color w:val="0F1115"/>
          <w:shd w:val="clear" w:color="auto" w:fill="FFFFFF"/>
        </w:rPr>
        <w:footnoteReference w:id="23"/>
      </w:r>
      <w:r>
        <w:rPr>
          <w:rFonts w:hint="eastAsia"/>
        </w:rPr>
        <w:t>提供了用于检测数据集和机器学习模型偏差的指标与算法，并支持对模型偏差进行缓解。将原本较为抽象的“避免歧视”要求转化为模型开发过程中的具体测试和优化任务，使公平性风险控制能够进入数据准备、模型训练和模型验证等既有技术流程。</w:t>
      </w:r>
    </w:p>
    <w:p w14:paraId="27F25243">
      <w:pPr>
        <w:ind w:firstLine="480"/>
      </w:pPr>
      <w:r>
        <w:rPr>
          <w:rFonts w:hint="eastAsia"/>
        </w:rPr>
        <w:t>第二，系统部署与运行阶段的动态控制——降低风险扩散程度。</w:t>
      </w:r>
    </w:p>
    <w:p w14:paraId="0E81B649">
      <w:pPr>
        <w:ind w:firstLine="480"/>
      </w:pPr>
      <w:r>
        <w:rPr>
          <w:rFonts w:hint="eastAsia"/>
        </w:rPr>
        <w:t>一是建立持续性的模型运行监测机制，将公平性、隐私保护等伦理指标纳入评价体系，持续跟踪不同用户群体间的预测结果差异和敏感数据访问行为，实现从事后处置向事前发现的转变。对于生成式AI场景，需要关注模型输出中有害内容、虚假信息和偏见表达的发生频率。</w:t>
      </w:r>
    </w:p>
    <w:p w14:paraId="0BAEFB78">
      <w:pPr>
        <w:ind w:firstLine="480"/>
      </w:pPr>
      <w:r>
        <w:rPr>
          <w:rFonts w:hint="eastAsia"/>
        </w:rPr>
        <w:t>二是开展AI红队测试（Red Teaming），通过模拟攻击者、恶意用户或极端应用场景，主动识别潜在的伦理漏洞。国际实践中，OpenAI</w:t>
      </w:r>
      <w:r>
        <w:rPr>
          <w:rStyle w:val="150"/>
          <w:rFonts w:hint="eastAsia" w:cs="Times New Roman"/>
          <w:color w:val="0F1115"/>
          <w:shd w:val="clear" w:color="auto" w:fill="FFFFFF"/>
        </w:rPr>
        <w:footnoteReference w:id="24"/>
      </w:r>
      <w:r>
        <w:rPr>
          <w:rFonts w:hint="eastAsia"/>
        </w:rPr>
        <w:t>、Google DeepMind</w:t>
      </w:r>
      <w:r>
        <w:rPr>
          <w:rStyle w:val="150"/>
          <w:rFonts w:hint="eastAsia" w:cs="Times New Roman"/>
          <w:color w:val="0F1115"/>
          <w:shd w:val="clear" w:color="auto" w:fill="FFFFFF"/>
        </w:rPr>
        <w:footnoteReference w:id="25"/>
      </w:r>
      <w:r>
        <w:rPr>
          <w:rFonts w:hint="eastAsia"/>
        </w:rPr>
        <w:t>等已将红队测试作为大模型治理的组成部分。NIST在AI RMF相关实践中也强调，应通过测试、验证和持续评估机制识别AI系统可能产生的风险。</w:t>
      </w:r>
    </w:p>
    <w:p w14:paraId="633B6978">
      <w:pPr>
        <w:ind w:firstLine="480"/>
      </w:pPr>
      <w:r>
        <w:rPr>
          <w:rFonts w:hint="eastAsia"/>
        </w:rPr>
        <w:t>三是强化人机协同机制（Human-in-the-loop）。在高影响场景</w:t>
      </w:r>
      <w:r>
        <w:rPr>
          <w:rStyle w:val="150"/>
          <w:rFonts w:hint="eastAsia"/>
        </w:rPr>
        <w:footnoteReference w:id="26"/>
      </w:r>
      <w:r>
        <w:rPr>
          <w:rFonts w:hint="eastAsia"/>
        </w:rPr>
        <w:t>（医疗诊断、金融授信、招聘筛选）中保留必要的人类监督环节，根据模型置信度和风险等级设置人工介入条件，使AI系统发挥辅助作用而非完全替代人的判断。</w:t>
      </w:r>
    </w:p>
    <w:p w14:paraId="07940797">
      <w:pPr>
        <w:ind w:firstLine="480"/>
      </w:pPr>
      <w:r>
        <w:rPr>
          <w:rFonts w:hint="eastAsia"/>
        </w:rPr>
        <w:t>第三，组织层面的持续优化——提升风险响应能力。</w:t>
      </w:r>
    </w:p>
    <w:p w14:paraId="5862157D">
      <w:pPr>
        <w:ind w:firstLine="480"/>
      </w:pPr>
      <w:r>
        <w:rPr>
          <w:rFonts w:hint="eastAsia"/>
        </w:rPr>
        <w:t>企业应建立AI伦理委员会、风险监测机制和责任追踪体系，使伦理风险管理从项目级行为上升为组织级能力。通过制度化的评估、审计和改进流程，实现AI伦理风险的持续治理。2023年，我国发布《生成式AI服务管理暂行办法》</w:t>
      </w:r>
      <w:r>
        <w:rPr>
          <w:rStyle w:val="150"/>
          <w:rFonts w:hint="eastAsia" w:cs="Times New Roman"/>
          <w:color w:val="0F1115"/>
          <w:shd w:val="clear" w:color="auto" w:fill="FFFFFF"/>
        </w:rPr>
        <w:footnoteReference w:id="27"/>
      </w:r>
      <w:r>
        <w:rPr>
          <w:rFonts w:hint="eastAsia"/>
        </w:rPr>
        <w:t>要求服务提供者防止产生歧视性内容、保护用户信息安全。部分企业已开始设立AI伦理委员会、设立算法审查和模型安全评估机制。</w:t>
      </w:r>
    </w:p>
    <w:p w14:paraId="1CA00F50">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bookmarkStart w:id="36" w:name="_Toc239454571"/>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3．</w:t>
      </w:r>
      <w:r>
        <w:t>损失控制的量化评估机制</w:t>
      </w:r>
      <w:bookmarkEnd w:id="36"/>
    </w:p>
    <w:p w14:paraId="509656F6">
      <w:pPr>
        <w:ind w:firstLine="480"/>
      </w:pPr>
      <w:r>
        <w:rPr>
          <w:rFonts w:hint="eastAsia"/>
        </w:rPr>
        <w:t>传统风险管理将风险表示为概率与损失程度的函数。结合AI伦理风险特征，可构建如下综合评估模型：</w:t>
      </w:r>
    </w:p>
    <w:p w14:paraId="72561038">
      <w:pPr>
        <w:ind w:firstLine="480"/>
      </w:pPr>
      <w:r>
        <w:rPr>
          <w:rFonts w:hint="eastAsia"/>
        </w:rPr>
        <w:t>AI伦理风险水平=P×S×E×(1-C)</w:t>
      </w:r>
    </w:p>
    <w:p w14:paraId="1A1FD490">
      <w:pPr>
        <w:ind w:firstLine="480"/>
      </w:pPr>
      <w:r>
        <w:rPr>
          <w:rFonts w:hint="eastAsia"/>
        </w:rPr>
        <w:t>其中P表示风险发生概率，S表示影响程度，E表示暴露规模，C表示控制有效性。</w:t>
      </w:r>
    </w:p>
    <w:p w14:paraId="0978C684">
      <w:pPr>
        <w:ind w:firstLine="480"/>
      </w:pPr>
      <w:r>
        <w:rPr>
          <w:rFonts w:hint="eastAsia"/>
        </w:rPr>
        <w:t>针对不同类型的伦理风险，应建立差异化指标体系：</w:t>
      </w:r>
    </w:p>
    <w:p w14:paraId="402FE845">
      <w:pPr>
        <w:ind w:firstLine="0" w:firstLineChars="0"/>
        <w:jc w:val="center"/>
        <w:rPr>
          <w:sz w:val="21"/>
          <w:szCs w:val="20"/>
        </w:rPr>
      </w:pPr>
      <w:r>
        <w:rPr>
          <w:rFonts w:hint="eastAsia"/>
          <w:sz w:val="21"/>
          <w:szCs w:val="20"/>
        </w:rPr>
        <w:t>表5-4不同类型伦理风险的量化指标</w:t>
      </w:r>
    </w:p>
    <w:tbl>
      <w:tblPr>
        <w:tblStyle w:val="43"/>
        <w:tblW w:w="4999" w:type="pct"/>
        <w:jc w:val="center"/>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136"/>
        <w:gridCol w:w="7054"/>
      </w:tblGrid>
      <w:tr w14:paraId="17D12F77">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1162" w:type="pct"/>
            <w:tcBorders>
              <w:top w:val="single" w:color="000000" w:sz="12" w:space="0"/>
              <w:left w:val="nil"/>
              <w:bottom w:val="single" w:color="000000" w:sz="4" w:space="0"/>
              <w:right w:val="nil"/>
              <w:tl2br w:val="nil"/>
            </w:tcBorders>
            <w:shd w:val="clear" w:color="auto" w:fill="FFFFFF"/>
            <w:tcMar>
              <w:top w:w="75" w:type="dxa"/>
              <w:left w:w="0" w:type="dxa"/>
              <w:bottom w:w="75" w:type="dxa"/>
              <w:right w:w="120" w:type="dxa"/>
            </w:tcMar>
            <w:vAlign w:val="center"/>
          </w:tcPr>
          <w:p w14:paraId="47D4DCD7">
            <w:pPr>
              <w:widowControl/>
              <w:spacing w:line="240" w:lineRule="auto"/>
              <w:ind w:firstLine="0" w:firstLineChars="0"/>
              <w:jc w:val="left"/>
              <w:rPr>
                <w:rFonts w:cs="仿宋"/>
                <w:color w:val="000000"/>
                <w:sz w:val="21"/>
                <w:szCs w:val="21"/>
              </w:rPr>
            </w:pPr>
            <w:r>
              <w:rPr>
                <w:rFonts w:hint="eastAsia" w:cs="Times New Roman"/>
                <w:color w:val="000000"/>
                <w:kern w:val="0"/>
                <w:sz w:val="21"/>
                <w:szCs w:val="18"/>
                <w:lang w:bidi="ar"/>
              </w:rPr>
              <w:t>风险类型</w:t>
            </w:r>
          </w:p>
        </w:tc>
        <w:tc>
          <w:tcPr>
            <w:tcW w:w="3837" w:type="pct"/>
            <w:tcBorders>
              <w:top w:val="single" w:color="000000" w:sz="12" w:space="0"/>
              <w:left w:val="nil"/>
              <w:bottom w:val="single" w:color="000000" w:sz="4" w:space="0"/>
              <w:right w:val="nil"/>
            </w:tcBorders>
            <w:shd w:val="clear" w:color="auto" w:fill="FFFFFF"/>
            <w:tcMar>
              <w:top w:w="75" w:type="dxa"/>
              <w:left w:w="120" w:type="dxa"/>
              <w:bottom w:w="75" w:type="dxa"/>
              <w:right w:w="120" w:type="dxa"/>
            </w:tcMar>
            <w:vAlign w:val="center"/>
          </w:tcPr>
          <w:p w14:paraId="0CAB6ADE">
            <w:pPr>
              <w:widowControl/>
              <w:spacing w:line="240" w:lineRule="auto"/>
              <w:ind w:firstLine="0" w:firstLineChars="0"/>
              <w:jc w:val="left"/>
              <w:rPr>
                <w:rFonts w:cs="仿宋"/>
                <w:color w:val="000000"/>
                <w:sz w:val="21"/>
                <w:szCs w:val="21"/>
              </w:rPr>
            </w:pPr>
            <w:r>
              <w:rPr>
                <w:rFonts w:hint="eastAsia" w:cs="Times New Roman"/>
                <w:color w:val="000000"/>
                <w:kern w:val="0"/>
                <w:sz w:val="21"/>
                <w:szCs w:val="18"/>
                <w:lang w:bidi="ar"/>
              </w:rPr>
              <w:t>量化指标示例</w:t>
            </w:r>
          </w:p>
        </w:tc>
      </w:tr>
      <w:tr w14:paraId="1C6535C1">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162" w:type="pct"/>
            <w:tcBorders>
              <w:top w:val="single" w:color="000000" w:sz="4" w:space="0"/>
              <w:left w:val="nil"/>
              <w:bottom w:val="nil"/>
              <w:right w:val="nil"/>
            </w:tcBorders>
            <w:shd w:val="clear" w:color="auto" w:fill="FFFFFF"/>
            <w:tcMar>
              <w:top w:w="75" w:type="dxa"/>
              <w:left w:w="0" w:type="dxa"/>
              <w:bottom w:w="75" w:type="dxa"/>
              <w:right w:w="120" w:type="dxa"/>
            </w:tcMar>
            <w:vAlign w:val="center"/>
          </w:tcPr>
          <w:p w14:paraId="67C8DB25">
            <w:pPr>
              <w:widowControl/>
              <w:spacing w:line="240" w:lineRule="auto"/>
              <w:ind w:firstLine="0" w:firstLineChars="0"/>
              <w:jc w:val="left"/>
              <w:rPr>
                <w:rFonts w:cs="仿宋"/>
                <w:color w:val="000000"/>
                <w:sz w:val="21"/>
                <w:szCs w:val="21"/>
              </w:rPr>
            </w:pPr>
            <w:r>
              <w:rPr>
                <w:rFonts w:hint="eastAsia" w:cs="Times New Roman"/>
                <w:color w:val="000000"/>
                <w:kern w:val="0"/>
                <w:sz w:val="21"/>
                <w:szCs w:val="18"/>
                <w:lang w:bidi="ar"/>
              </w:rPr>
              <w:t>侵犯隐私</w:t>
            </w:r>
          </w:p>
        </w:tc>
        <w:tc>
          <w:tcPr>
            <w:tcW w:w="3837" w:type="pct"/>
            <w:tcBorders>
              <w:top w:val="single" w:color="000000" w:sz="4" w:space="0"/>
              <w:left w:val="nil"/>
              <w:bottom w:val="nil"/>
              <w:right w:val="nil"/>
            </w:tcBorders>
            <w:shd w:val="clear" w:color="auto" w:fill="FFFFFF"/>
            <w:tcMar>
              <w:top w:w="75" w:type="dxa"/>
              <w:left w:w="120" w:type="dxa"/>
              <w:bottom w:w="75" w:type="dxa"/>
              <w:right w:w="0" w:type="dxa"/>
            </w:tcMar>
            <w:vAlign w:val="center"/>
          </w:tcPr>
          <w:p w14:paraId="0217AA32">
            <w:pPr>
              <w:widowControl/>
              <w:spacing w:line="240" w:lineRule="auto"/>
              <w:ind w:firstLine="0" w:firstLineChars="0"/>
              <w:jc w:val="left"/>
              <w:rPr>
                <w:rFonts w:cs="仿宋"/>
                <w:color w:val="000000"/>
                <w:sz w:val="21"/>
                <w:szCs w:val="21"/>
              </w:rPr>
            </w:pPr>
            <w:r>
              <w:rPr>
                <w:rFonts w:hint="eastAsia" w:cs="Times New Roman"/>
                <w:color w:val="000000"/>
                <w:kern w:val="0"/>
                <w:sz w:val="21"/>
                <w:szCs w:val="18"/>
                <w:lang w:bidi="ar"/>
              </w:rPr>
              <w:t>敏感数据访问合规率=合规访问次数/全部访问次数</w:t>
            </w:r>
          </w:p>
        </w:tc>
      </w:tr>
      <w:tr w14:paraId="45F12866">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162" w:type="pct"/>
            <w:tcBorders>
              <w:top w:val="nil"/>
              <w:left w:val="nil"/>
              <w:bottom w:val="nil"/>
              <w:right w:val="nil"/>
            </w:tcBorders>
            <w:shd w:val="clear" w:color="auto" w:fill="FFFFFF"/>
            <w:tcMar>
              <w:top w:w="75" w:type="dxa"/>
              <w:left w:w="0" w:type="dxa"/>
              <w:bottom w:w="75" w:type="dxa"/>
              <w:right w:w="120" w:type="dxa"/>
            </w:tcMar>
            <w:vAlign w:val="center"/>
          </w:tcPr>
          <w:p w14:paraId="5CFEFE50">
            <w:pPr>
              <w:widowControl/>
              <w:spacing w:line="240" w:lineRule="auto"/>
              <w:ind w:firstLine="0" w:firstLineChars="0"/>
              <w:jc w:val="left"/>
              <w:rPr>
                <w:rFonts w:cs="仿宋"/>
                <w:color w:val="000000"/>
                <w:sz w:val="21"/>
                <w:szCs w:val="21"/>
              </w:rPr>
            </w:pPr>
            <w:r>
              <w:rPr>
                <w:rFonts w:hint="eastAsia" w:cs="Times New Roman"/>
                <w:color w:val="000000"/>
                <w:kern w:val="0"/>
                <w:sz w:val="21"/>
                <w:szCs w:val="18"/>
                <w:lang w:bidi="ar"/>
              </w:rPr>
              <w:t>社会偏见/歧视</w:t>
            </w:r>
          </w:p>
        </w:tc>
        <w:tc>
          <w:tcPr>
            <w:tcW w:w="3837" w:type="pct"/>
            <w:tcBorders>
              <w:top w:val="nil"/>
              <w:left w:val="nil"/>
              <w:bottom w:val="nil"/>
              <w:right w:val="nil"/>
            </w:tcBorders>
            <w:shd w:val="clear" w:color="auto" w:fill="FFFFFF"/>
            <w:tcMar>
              <w:top w:w="75" w:type="dxa"/>
              <w:left w:w="120" w:type="dxa"/>
              <w:bottom w:w="75" w:type="dxa"/>
              <w:right w:w="0" w:type="dxa"/>
            </w:tcMar>
            <w:vAlign w:val="center"/>
          </w:tcPr>
          <w:p w14:paraId="5160367E">
            <w:pPr>
              <w:widowControl/>
              <w:spacing w:line="240" w:lineRule="auto"/>
              <w:ind w:firstLine="0" w:firstLineChars="0"/>
              <w:jc w:val="left"/>
              <w:rPr>
                <w:rFonts w:cs="仿宋"/>
                <w:color w:val="000000"/>
                <w:sz w:val="21"/>
                <w:szCs w:val="21"/>
              </w:rPr>
            </w:pPr>
            <w:r>
              <w:rPr>
                <w:rFonts w:hint="eastAsia" w:cs="Times New Roman"/>
                <w:color w:val="000000"/>
                <w:kern w:val="0"/>
                <w:sz w:val="21"/>
                <w:szCs w:val="18"/>
                <w:lang w:bidi="ar"/>
              </w:rPr>
              <w:t>差异影响比=P(Y=1|GroupA)/P</w:t>
            </w:r>
            <w:r>
              <w:rPr>
                <w:rFonts w:hint="eastAsia" w:cs="Times New Roman"/>
                <w:color w:val="000000"/>
                <w:kern w:val="0"/>
                <w:sz w:val="21"/>
                <w:szCs w:val="18"/>
                <w:lang w:eastAsia="zh-CN" w:bidi="ar"/>
              </w:rPr>
              <w:t>（</w:t>
            </w:r>
            <w:r>
              <w:rPr>
                <w:rFonts w:hint="eastAsia" w:cs="Times New Roman"/>
                <w:color w:val="000000"/>
                <w:kern w:val="0"/>
                <w:sz w:val="21"/>
                <w:szCs w:val="18"/>
                <w:lang w:bidi="ar"/>
              </w:rPr>
              <w:t>Y=1|GroupB），低于80%经验标准则需介入</w:t>
            </w:r>
          </w:p>
        </w:tc>
      </w:tr>
      <w:tr w14:paraId="63E740B6">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162" w:type="pct"/>
            <w:tcBorders>
              <w:top w:val="nil"/>
              <w:left w:val="nil"/>
              <w:bottom w:val="nil"/>
              <w:right w:val="nil"/>
            </w:tcBorders>
            <w:shd w:val="clear" w:color="auto" w:fill="FFFFFF"/>
            <w:tcMar>
              <w:top w:w="75" w:type="dxa"/>
              <w:left w:w="0" w:type="dxa"/>
              <w:bottom w:w="75" w:type="dxa"/>
              <w:right w:w="120" w:type="dxa"/>
            </w:tcMar>
            <w:vAlign w:val="center"/>
          </w:tcPr>
          <w:p w14:paraId="3122A5EC">
            <w:pPr>
              <w:widowControl/>
              <w:spacing w:line="240" w:lineRule="auto"/>
              <w:ind w:firstLine="0" w:firstLineChars="0"/>
              <w:jc w:val="left"/>
              <w:rPr>
                <w:rFonts w:cs="仿宋"/>
                <w:color w:val="000000"/>
                <w:sz w:val="21"/>
                <w:szCs w:val="21"/>
              </w:rPr>
            </w:pPr>
            <w:r>
              <w:rPr>
                <w:rFonts w:hint="eastAsia" w:cs="Times New Roman"/>
                <w:color w:val="000000"/>
                <w:kern w:val="0"/>
                <w:sz w:val="21"/>
                <w:szCs w:val="18"/>
                <w:lang w:bidi="ar"/>
              </w:rPr>
              <w:t>决策失控/权责不清</w:t>
            </w:r>
          </w:p>
        </w:tc>
        <w:tc>
          <w:tcPr>
            <w:tcW w:w="3837" w:type="pct"/>
            <w:tcBorders>
              <w:top w:val="nil"/>
              <w:left w:val="nil"/>
              <w:bottom w:val="nil"/>
              <w:right w:val="nil"/>
            </w:tcBorders>
            <w:shd w:val="clear" w:color="auto" w:fill="FFFFFF"/>
            <w:tcMar>
              <w:top w:w="75" w:type="dxa"/>
              <w:left w:w="120" w:type="dxa"/>
              <w:bottom w:w="75" w:type="dxa"/>
              <w:right w:w="0" w:type="dxa"/>
            </w:tcMar>
            <w:vAlign w:val="center"/>
          </w:tcPr>
          <w:p w14:paraId="44D8A8B7">
            <w:pPr>
              <w:widowControl/>
              <w:spacing w:line="240" w:lineRule="auto"/>
              <w:ind w:firstLine="0" w:firstLineChars="0"/>
              <w:jc w:val="left"/>
              <w:rPr>
                <w:rFonts w:cs="仿宋"/>
                <w:color w:val="000000"/>
                <w:sz w:val="21"/>
                <w:szCs w:val="21"/>
              </w:rPr>
            </w:pPr>
            <w:r>
              <w:rPr>
                <w:rFonts w:hint="eastAsia" w:cs="Times New Roman"/>
                <w:color w:val="000000"/>
                <w:kern w:val="0"/>
                <w:sz w:val="21"/>
                <w:szCs w:val="18"/>
                <w:lang w:bidi="ar"/>
              </w:rPr>
              <w:t>模型错误输出率、高风险决策人工复核比例、模型解释覆盖率</w:t>
            </w:r>
          </w:p>
        </w:tc>
      </w:tr>
      <w:tr w14:paraId="29E00448">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162" w:type="pct"/>
            <w:tcBorders>
              <w:top w:val="nil"/>
              <w:left w:val="nil"/>
              <w:bottom w:val="single" w:color="000000" w:sz="12" w:space="0"/>
              <w:right w:val="nil"/>
            </w:tcBorders>
            <w:shd w:val="clear" w:color="auto" w:fill="FFFFFF"/>
            <w:tcMar>
              <w:top w:w="75" w:type="dxa"/>
              <w:left w:w="0" w:type="dxa"/>
              <w:bottom w:w="75" w:type="dxa"/>
              <w:right w:w="120" w:type="dxa"/>
            </w:tcMar>
            <w:vAlign w:val="center"/>
          </w:tcPr>
          <w:p w14:paraId="6BFEA52B">
            <w:pPr>
              <w:widowControl/>
              <w:spacing w:line="240" w:lineRule="auto"/>
              <w:ind w:firstLine="0" w:firstLineChars="0"/>
              <w:jc w:val="left"/>
              <w:rPr>
                <w:rFonts w:cs="仿宋"/>
                <w:color w:val="000000"/>
                <w:sz w:val="21"/>
                <w:szCs w:val="21"/>
              </w:rPr>
            </w:pPr>
            <w:r>
              <w:rPr>
                <w:rFonts w:hint="eastAsia" w:cs="Times New Roman"/>
                <w:color w:val="000000"/>
                <w:kern w:val="0"/>
                <w:sz w:val="21"/>
                <w:szCs w:val="18"/>
                <w:lang w:bidi="ar"/>
              </w:rPr>
              <w:t>生成式AI内容安全</w:t>
            </w:r>
          </w:p>
        </w:tc>
        <w:tc>
          <w:tcPr>
            <w:tcW w:w="3837" w:type="pct"/>
            <w:tcBorders>
              <w:top w:val="nil"/>
              <w:left w:val="nil"/>
              <w:bottom w:val="single" w:color="000000" w:sz="12" w:space="0"/>
              <w:right w:val="nil"/>
            </w:tcBorders>
            <w:shd w:val="clear" w:color="auto" w:fill="FFFFFF"/>
            <w:tcMar>
              <w:top w:w="75" w:type="dxa"/>
              <w:left w:w="120" w:type="dxa"/>
              <w:bottom w:w="75" w:type="dxa"/>
              <w:right w:w="0" w:type="dxa"/>
            </w:tcMar>
            <w:vAlign w:val="center"/>
          </w:tcPr>
          <w:p w14:paraId="31E1EA65">
            <w:pPr>
              <w:widowControl/>
              <w:spacing w:line="240" w:lineRule="auto"/>
              <w:ind w:firstLine="0" w:firstLineChars="0"/>
              <w:jc w:val="left"/>
              <w:rPr>
                <w:rFonts w:cs="仿宋"/>
                <w:color w:val="000000"/>
                <w:sz w:val="21"/>
                <w:szCs w:val="21"/>
              </w:rPr>
            </w:pPr>
            <w:r>
              <w:rPr>
                <w:rFonts w:hint="eastAsia" w:cs="Times New Roman"/>
                <w:color w:val="000000"/>
                <w:kern w:val="0"/>
                <w:sz w:val="21"/>
                <w:szCs w:val="18"/>
                <w:lang w:bidi="ar"/>
              </w:rPr>
              <w:t>模型幻觉率=错误生成次数/模型总生成次数</w:t>
            </w:r>
          </w:p>
        </w:tc>
      </w:tr>
    </w:tbl>
    <w:p w14:paraId="48737D20">
      <w:pPr>
        <w:ind w:firstLine="480"/>
      </w:pPr>
      <w:r>
        <w:rPr>
          <w:rFonts w:hint="eastAsia"/>
        </w:rPr>
        <w:t>量化评估的价值在于将抽象的伦理原则转化为可执行的管理指标，使企业能够识别重点风险领域，将有限资源优先投入到高风险环节。</w:t>
      </w:r>
    </w:p>
    <w:p w14:paraId="2FD7FB79">
      <w:pPr>
        <w:pStyle w:val="4"/>
        <w:ind w:firstLine="571"/>
      </w:pPr>
      <w:bookmarkStart w:id="37" w:name="_Toc239454572"/>
      <w:bookmarkStart w:id="38" w:name="_Toc9455"/>
      <w:r>
        <w:rPr>
          <w:rFonts w:hint="eastAsia"/>
        </w:rPr>
        <w:t>（三）</w:t>
      </w:r>
      <w:r>
        <w:t>风险分散</w:t>
      </w:r>
      <w:r>
        <w:rPr>
          <w:rFonts w:hint="eastAsia"/>
        </w:rPr>
        <w:t>：降低AI风险暴露集中度</w:t>
      </w:r>
      <w:bookmarkEnd w:id="37"/>
      <w:bookmarkEnd w:id="38"/>
    </w:p>
    <w:p w14:paraId="52FFF788">
      <w:pPr>
        <w:pStyle w:val="5"/>
        <w:keepNext/>
        <w:keepLines/>
        <w:pageBreakBefore w:val="0"/>
        <w:widowControl w:val="0"/>
        <w:numPr>
          <w:ilvl w:val="0"/>
          <w:numId w:val="15"/>
        </w:numPr>
        <w:kinsoku/>
        <w:wordWrap/>
        <w:overflowPunct/>
        <w:topLinePunct w:val="0"/>
        <w:autoSpaceDE/>
        <w:autoSpaceDN/>
        <w:bidi w:val="0"/>
        <w:adjustRightInd/>
        <w:snapToGrid/>
        <w:ind w:left="0" w:firstLine="482" w:firstLineChars="200"/>
        <w:textAlignment w:val="auto"/>
      </w:pPr>
      <w:bookmarkStart w:id="39" w:name="_Toc239454573"/>
      <w:r>
        <w:t>风险分散的定位与适用边界</w:t>
      </w:r>
      <w:bookmarkEnd w:id="39"/>
    </w:p>
    <w:p w14:paraId="31A47496">
      <w:pPr>
        <w:ind w:firstLine="480"/>
      </w:pPr>
      <w:r>
        <w:rPr>
          <w:rFonts w:hint="eastAsia"/>
        </w:rPr>
        <w:t>风险分散（Risk Diversification）指通过将风险</w:t>
      </w:r>
      <w:r>
        <w:rPr>
          <w:rFonts w:hint="eastAsia"/>
          <w:lang w:val="en-US" w:eastAsia="zh-CN"/>
        </w:rPr>
        <w:t>敞口</w:t>
      </w:r>
      <w:r>
        <w:rPr>
          <w:rFonts w:hint="eastAsia"/>
        </w:rPr>
        <w:t>配置于不同的对象、技术路径或风险来源，降低风险在单一环节上的集中程度，避免某一风险因素</w:t>
      </w:r>
      <w:r>
        <w:rPr>
          <w:rFonts w:hint="eastAsia"/>
          <w:lang w:val="en-US" w:eastAsia="zh-CN"/>
        </w:rPr>
        <w:t>的</w:t>
      </w:r>
      <w:r>
        <w:rPr>
          <w:rFonts w:hint="eastAsia"/>
        </w:rPr>
        <w:t>发生对整体系统造成过大影响。与撤出不同，风险分散不要求放弃高风险业务，而是在继续开展业务的同时，降低不同风险暴露之间的相关性，使风险事件不会通过共同因素在企业内部大范围传导。</w:t>
      </w:r>
    </w:p>
    <w:p w14:paraId="18FE4A03">
      <w:pPr>
        <w:ind w:firstLine="480"/>
      </w:pPr>
      <w:r>
        <w:rPr>
          <w:rFonts w:hint="eastAsia"/>
        </w:rPr>
        <w:t>对于AI伦理风险，风险分散的适用条件为：一是企业仍需继续使用AI技术；撤出成本过高或收益不可替代；二是存在风险集中点；多个AI应用共享同一数据源、同一基础模型或同一供应商；三是风险具有传导性；单一风险源的问题可能通过技术依赖关系扩散至多个业务。</w:t>
      </w:r>
    </w:p>
    <w:p w14:paraId="60D88FC9">
      <w:pPr>
        <w:ind w:firstLine="480"/>
      </w:pPr>
      <w:bookmarkStart w:id="40" w:name="OLE_LINK6"/>
      <w:r>
        <w:rPr>
          <w:rFonts w:hint="eastAsia"/>
        </w:rPr>
        <w:t>与损失控制侧重于降低事件发生频率不同，风险分散侧重于降低风险暴露的集中程度。从四象限框架来看，两者共同应对高频低损类型，但作用路径存在本质差异：损失控制试图将高频</w:t>
      </w:r>
      <w:r>
        <w:rPr>
          <w:rFonts w:hint="eastAsia"/>
          <w:lang w:val="en-US" w:eastAsia="zh-CN"/>
        </w:rPr>
        <w:t>风险</w:t>
      </w:r>
      <w:r>
        <w:rPr>
          <w:rFonts w:hint="eastAsia"/>
        </w:rPr>
        <w:t>变为低频</w:t>
      </w:r>
      <w:r>
        <w:rPr>
          <w:rFonts w:hint="eastAsia"/>
          <w:lang w:val="en-US" w:eastAsia="zh-CN"/>
        </w:rPr>
        <w:t>风险</w:t>
      </w:r>
      <w:r>
        <w:rPr>
          <w:rFonts w:hint="eastAsia"/>
        </w:rPr>
        <w:t>；风险分散则承认高频事件难以完全消除，转而通过多元配置避免单一风险源出事时引发系统性连锁反应。例如，多家企业共同依赖同一基础模型时，该模型的偏见或漏洞可能同时传导至所有下游应用，形成“共同失效”。</w:t>
      </w:r>
    </w:p>
    <w:bookmarkEnd w:id="40"/>
    <w:p w14:paraId="5D621A78">
      <w:pPr>
        <w:pStyle w:val="5"/>
        <w:keepNext/>
        <w:keepLines/>
        <w:pageBreakBefore w:val="0"/>
        <w:widowControl w:val="0"/>
        <w:numPr>
          <w:ilvl w:val="0"/>
          <w:numId w:val="15"/>
        </w:numPr>
        <w:kinsoku/>
        <w:wordWrap/>
        <w:overflowPunct/>
        <w:topLinePunct w:val="0"/>
        <w:autoSpaceDE/>
        <w:autoSpaceDN/>
        <w:bidi w:val="0"/>
        <w:adjustRightInd/>
        <w:snapToGrid/>
        <w:ind w:left="0" w:firstLine="482" w:firstLineChars="200"/>
        <w:textAlignment w:val="auto"/>
      </w:pPr>
      <w:bookmarkStart w:id="41" w:name="_Toc239454574"/>
      <w:r>
        <w:t>基于AI系统关键要素的分散机制</w:t>
      </w:r>
      <w:bookmarkEnd w:id="41"/>
    </w:p>
    <w:p w14:paraId="3B5F848D">
      <w:pPr>
        <w:ind w:firstLine="480"/>
        <w:rPr>
          <w:rFonts w:hint="eastAsia"/>
        </w:rPr>
      </w:pPr>
      <w:r>
        <w:rPr>
          <w:rFonts w:hint="eastAsia"/>
        </w:rPr>
        <w:t>AI伦理风险分散应当围绕AI系统的四个核心要素展开：</w:t>
      </w:r>
    </w:p>
    <w:p w14:paraId="463C9D82">
      <w:pPr>
        <w:ind w:left="0" w:leftChars="0" w:firstLine="0" w:firstLineChars="0"/>
        <w:rPr>
          <w:rFonts w:hint="eastAsia" w:eastAsia="宋体"/>
          <w:lang w:eastAsia="zh-CN"/>
        </w:rPr>
      </w:pPr>
      <w:r>
        <w:rPr>
          <w:rFonts w:hint="eastAsia" w:eastAsia="宋体"/>
          <w:lang w:eastAsia="zh-CN"/>
        </w:rPr>
        <w:drawing>
          <wp:inline distT="0" distB="0" distL="114300" distR="114300">
            <wp:extent cx="5751195" cy="3479800"/>
            <wp:effectExtent l="0" t="0" r="1905" b="0"/>
            <wp:docPr id="15" name="图片 15" descr="3456148f-be20-4ce6-bd71-1c5436d41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456148f-be20-4ce6-bd71-1c5436d4140d"/>
                    <pic:cNvPicPr>
                      <a:picLocks noChangeAspect="1"/>
                    </pic:cNvPicPr>
                  </pic:nvPicPr>
                  <pic:blipFill>
                    <a:blip r:embed="rId21"/>
                    <a:srcRect t="7552" b="11777"/>
                    <a:stretch>
                      <a:fillRect/>
                    </a:stretch>
                  </pic:blipFill>
                  <pic:spPr>
                    <a:xfrm>
                      <a:off x="0" y="0"/>
                      <a:ext cx="5751195" cy="3479800"/>
                    </a:xfrm>
                    <a:prstGeom prst="rect">
                      <a:avLst/>
                    </a:prstGeom>
                  </pic:spPr>
                </pic:pic>
              </a:graphicData>
            </a:graphic>
          </wp:inline>
        </w:drawing>
      </w:r>
    </w:p>
    <w:p w14:paraId="4997A773">
      <w:pPr>
        <w:ind w:firstLine="0" w:firstLineChars="0"/>
        <w:jc w:val="center"/>
        <w:rPr>
          <w:rFonts w:hint="default" w:eastAsia="宋体"/>
          <w:lang w:val="en-US" w:eastAsia="zh-CN"/>
        </w:rPr>
      </w:pPr>
      <w:r>
        <w:rPr>
          <w:rFonts w:hint="eastAsia"/>
          <w:sz w:val="21"/>
          <w:szCs w:val="21"/>
        </w:rPr>
        <w:t>图5</w:t>
      </w:r>
      <w:r>
        <w:rPr>
          <w:rFonts w:hint="eastAsia"/>
          <w:sz w:val="21"/>
          <w:szCs w:val="21"/>
          <w:lang w:val="en-US" w:eastAsia="zh-CN"/>
        </w:rPr>
        <w:t>-4科创企业AI伦理风险的分散机制</w:t>
      </w:r>
    </w:p>
    <w:p w14:paraId="3DC9694F">
      <w:pPr>
        <w:ind w:firstLine="480"/>
      </w:pPr>
      <w:r>
        <w:rPr>
          <w:rFonts w:hint="eastAsia"/>
        </w:rPr>
        <w:t>第一，数据来源分散。</w:t>
      </w:r>
    </w:p>
    <w:p w14:paraId="71344021">
      <w:pPr>
        <w:ind w:firstLine="480"/>
      </w:pPr>
      <w:r>
        <w:rPr>
          <w:rFonts w:hint="eastAsia"/>
        </w:rPr>
        <w:t>训练数据的单一来源是偏差风险的集中来源。若企业长期依赖单一数据供应商、单一平台或单一用户群体，数据中的潜在偏差可能被模型持续学习并放大。例如，招聘AI长期使用来自某一行业或某一历史时期的招聘数据，可能将历史上的性别、年龄或职业偏见固化到模型中。企业应建立多来源数据结构，即综合使用自有数据、公开数据、授权第三方数据及人工标注数据，通过不同来源间的相互校验降低单一数据源对模型结果的支配程度。</w:t>
      </w:r>
    </w:p>
    <w:p w14:paraId="14C8EABD">
      <w:pPr>
        <w:ind w:firstLine="480"/>
      </w:pPr>
      <w:r>
        <w:rPr>
          <w:rFonts w:hint="eastAsia"/>
        </w:rPr>
        <w:t>对于隐私风险，数据分散还应与数据隔离相结合。根据数据敏感程度和业务用途实施分级管理，在不同业务之间建立必要的数据隔离机制，确保局部泄露不会演变为大规模事件。</w:t>
      </w:r>
    </w:p>
    <w:p w14:paraId="26CCE7AA">
      <w:pPr>
        <w:ind w:firstLine="480"/>
      </w:pPr>
      <w:r>
        <w:rPr>
          <w:rFonts w:hint="eastAsia"/>
        </w:rPr>
        <w:t>第二，模型与技术路线分散。</w:t>
      </w:r>
    </w:p>
    <w:p w14:paraId="79F9B6E6">
      <w:pPr>
        <w:ind w:firstLine="480"/>
      </w:pPr>
      <w:r>
        <w:rPr>
          <w:rFonts w:hint="eastAsia"/>
        </w:rPr>
        <w:t>随着基础模型成为AI应用的重要基础设施，企业对单一模型的依赖形成新的集中风险。英国央行、欧洲央行以及国际金融监管机构近年来均关注金融机构对少数AI模型、云计算和技术供应商形成的集中依赖</w:t>
      </w:r>
      <w:r>
        <w:rPr>
          <w:rStyle w:val="150"/>
          <w:rFonts w:hint="eastAsia" w:cs="Times New Roman"/>
          <w:color w:val="0F1115"/>
          <w:shd w:val="clear" w:color="auto" w:fill="FFFFFF"/>
        </w:rPr>
        <w:footnoteReference w:id="28"/>
      </w:r>
      <w:r>
        <w:rPr>
          <w:rFonts w:hint="eastAsia"/>
        </w:rPr>
        <w:t>。企业可根据业务重要程度建立多模型架构：低风险任务可采用多个模型动态选择；高影响任务（医疗、金融、招聘）采用“主模型+备份模型”或不同技术路线交叉验证的方式。</w:t>
      </w:r>
    </w:p>
    <w:p w14:paraId="472E8D7A">
      <w:pPr>
        <w:ind w:firstLine="480"/>
      </w:pPr>
      <w:r>
        <w:rPr>
          <w:rFonts w:hint="eastAsia"/>
        </w:rPr>
        <w:t>模型分散还强调技术路线的异质性。若所有模型均基于相同基础模型、相同训练数据和相同算法框架，则多个模型之间高度相关，难以形成真正的风险分散。关键业务中应保留自研模型、第三方模型和传统规则模型等不同技术路径。</w:t>
      </w:r>
    </w:p>
    <w:p w14:paraId="69F151BB">
      <w:pPr>
        <w:ind w:firstLine="480"/>
      </w:pPr>
      <w:r>
        <w:rPr>
          <w:rFonts w:hint="eastAsia"/>
        </w:rPr>
        <w:t>第三，供应商与基础设施分散。</w:t>
      </w:r>
    </w:p>
    <w:p w14:paraId="5E597592">
      <w:pPr>
        <w:ind w:firstLine="480"/>
      </w:pPr>
      <w:r>
        <w:rPr>
          <w:rFonts w:hint="eastAsia"/>
        </w:rPr>
        <w:t>NIST AI RMF明确要求企业关注第三方实体、软件、数据及供应链风险。科创企业应建立AI供应商风险台账，对基础模型提供商、云服务商、数据供应商进行分类管理。关键业务避免形成不可替代的单一依赖，建立备用供应商、跨云部署或本地部署能力。</w:t>
      </w:r>
    </w:p>
    <w:p w14:paraId="2F31A38D">
      <w:pPr>
        <w:ind w:firstLine="480"/>
      </w:pPr>
      <w:r>
        <w:rPr>
          <w:rFonts w:hint="eastAsia"/>
        </w:rPr>
        <w:t>更重要的是识别“上游依赖”——不能仅统计直接供应商数量，还需判断多个供应商是否共同依赖同一基础模型、云平台或关键软件组件。如果企业虽然同时采购了三家AI服务商，但三家最终均调用同一个基础模型，则企业实际上仍暴露于同一基础模型风险之下，这是典型的表面分散、实际集中的情况。</w:t>
      </w:r>
    </w:p>
    <w:p w14:paraId="10CE3CB6">
      <w:pPr>
        <w:ind w:firstLine="480"/>
      </w:pPr>
      <w:r>
        <w:rPr>
          <w:rFonts w:hint="eastAsia"/>
        </w:rPr>
        <w:t>金融行业在第三方风险管理中的实践可以为此提供较为成熟的参考。金融监管近年来逐步要求金融机构关注外包服务商、云服务商及其上游供应链形成的集中风险，并强调关键服务的可替代性和业务连续性管理。巴塞尔委员会关于第三方风险管理的原则</w:t>
      </w:r>
      <w:r>
        <w:rPr>
          <w:rStyle w:val="150"/>
          <w:rFonts w:hint="eastAsia" w:cs="Times New Roman"/>
          <w:color w:val="0F1115"/>
          <w:shd w:val="clear" w:color="auto" w:fill="FFFFFF"/>
        </w:rPr>
        <w:footnoteReference w:id="29"/>
      </w:r>
      <w:r>
        <w:rPr>
          <w:rFonts w:hint="eastAsia"/>
        </w:rPr>
        <w:t>也强调，机构需要识别第三方及其供应链中可能形成的集中风险，并根据关键业务的重要程度采取相应的风险缓释措施。对于科创企业而言，金融行业“供应商集中度—关键业务依赖度—可替代性”的管理思路可直接转化为AI供应链风险分散机制，其核心是在关键伦理风险和核心业务环节保留必要的替代路径。</w:t>
      </w:r>
    </w:p>
    <w:p w14:paraId="64764396">
      <w:pPr>
        <w:ind w:firstLine="480"/>
      </w:pPr>
      <w:r>
        <w:rPr>
          <w:rFonts w:hint="eastAsia"/>
        </w:rPr>
        <w:t>第四，业务场景分散。</w:t>
      </w:r>
    </w:p>
    <w:p w14:paraId="0F4817A8">
      <w:pPr>
        <w:ind w:firstLine="480"/>
      </w:pPr>
      <w:r>
        <w:rPr>
          <w:rFonts w:hint="eastAsia"/>
        </w:rPr>
        <w:t>AI伦理风险可能因业务过度集中于某一高风险应用场景而形成集中暴露。例如，企业如果将主要业务集中于自动化招聘、信用评价或医疗决策，其伦理风险将高度集中于公平性、隐私和决策责任等领域。企业可根据不同AI应用的风险属性合理配置业务组合：在保持核心业务的同时，适当发展风险相对较低的知识管理、辅助分析、智能客服等应用，降低整体风险对单一高影响业务的依赖。</w:t>
      </w:r>
    </w:p>
    <w:p w14:paraId="6AE73851">
      <w:pPr>
        <w:pStyle w:val="5"/>
        <w:keepNext/>
        <w:keepLines/>
        <w:pageBreakBefore w:val="0"/>
        <w:widowControl w:val="0"/>
        <w:numPr>
          <w:ilvl w:val="0"/>
          <w:numId w:val="15"/>
        </w:numPr>
        <w:kinsoku/>
        <w:wordWrap/>
        <w:overflowPunct/>
        <w:topLinePunct w:val="0"/>
        <w:autoSpaceDE/>
        <w:autoSpaceDN/>
        <w:bidi w:val="0"/>
        <w:adjustRightInd/>
        <w:snapToGrid/>
        <w:ind w:left="0" w:firstLine="482" w:firstLineChars="200"/>
        <w:textAlignment w:val="auto"/>
      </w:pPr>
      <w:bookmarkStart w:id="42" w:name="_Toc239454575"/>
      <w:r>
        <w:t>风险分散的量化评估</w:t>
      </w:r>
      <w:bookmarkEnd w:id="42"/>
    </w:p>
    <w:p w14:paraId="5739A954">
      <w:pPr>
        <w:ind w:firstLine="480"/>
      </w:pPr>
      <w:r>
        <w:rPr>
          <w:rFonts w:hint="eastAsia"/>
        </w:rPr>
        <w:t>风险分散需要可量化的集中度指标，将抽象的风险分散程度转化为可持续监测的管理指标：</w:t>
      </w:r>
    </w:p>
    <w:p w14:paraId="003E4F44">
      <w:pPr>
        <w:ind w:firstLine="480"/>
      </w:pPr>
      <w:r>
        <w:rPr>
          <w:rFonts w:hint="eastAsia"/>
        </w:rPr>
        <w:t>第一是集中度指标（HHI）。</w:t>
      </w:r>
    </w:p>
    <w:p w14:paraId="74242B08">
      <w:pPr>
        <w:ind w:firstLine="480"/>
      </w:pPr>
      <w:r>
        <w:rPr>
          <w:rFonts w:hint="eastAsia"/>
        </w:rPr>
        <w:t>借鉴金融风险管理中的赫芬达尔—赫希曼指数（HHI）：</w:t>
      </w:r>
    </w:p>
    <w:p w14:paraId="14A399FB">
      <w:pPr>
        <w:ind w:firstLine="480"/>
      </w:pPr>
      <w:r>
        <w:rPr>
          <w:rFonts w:hint="eastAsia"/>
        </w:rPr>
        <w:t>HHI=Σs</w:t>
      </w:r>
      <w:r>
        <w:t>ᵢ²</w:t>
      </w:r>
    </w:p>
    <w:p w14:paraId="13B1F0D5">
      <w:pPr>
        <w:ind w:firstLine="480"/>
      </w:pPr>
      <w:r>
        <w:rPr>
          <w:rFonts w:hint="eastAsia"/>
        </w:rPr>
        <w:t>其中s</w:t>
      </w:r>
      <w:r>
        <w:t>ᵢ</w:t>
      </w:r>
      <w:r>
        <w:rPr>
          <w:rFonts w:hint="eastAsia"/>
        </w:rPr>
        <w:t>表示第i个风险来源所占比例，可分别定义为某一供应商承担的AI调用量、某一模型承担的业务量、某一数据源占训练数据的比例或某一技术路线承担的关键业务比例。</w:t>
      </w:r>
    </w:p>
    <w:p w14:paraId="0433B558">
      <w:pPr>
        <w:ind w:firstLine="480"/>
      </w:pPr>
      <w:r>
        <w:rPr>
          <w:rFonts w:hint="eastAsia"/>
        </w:rPr>
        <w:t>企业应重点关注“关键业务集中度”</w:t>
      </w:r>
      <w:r>
        <w:rPr>
          <w:rFonts w:hint="eastAsia"/>
          <w:lang w:eastAsia="zh-CN"/>
        </w:rPr>
        <w:t>，</w:t>
      </w:r>
      <w:r>
        <w:rPr>
          <w:rFonts w:hint="eastAsia"/>
        </w:rPr>
        <w:t>不是统计全部AI调用比例，而是计算高风险业务对单一模型、供应商或数据源的依赖程度。一个供应商虽只占整体AI业务的30%，但若承担了企业80%的高影响决策业务，其实际集中风险仍然很高。</w:t>
      </w:r>
    </w:p>
    <w:p w14:paraId="268EBF55">
      <w:pPr>
        <w:ind w:firstLine="480"/>
      </w:pPr>
      <w:r>
        <w:rPr>
          <w:rFonts w:hint="eastAsia"/>
        </w:rPr>
        <w:t>第二是替代性指标。</w:t>
      </w:r>
    </w:p>
    <w:p w14:paraId="27D0B8B5">
      <w:pPr>
        <w:ind w:firstLine="480"/>
      </w:pPr>
      <w:r>
        <w:rPr>
          <w:rFonts w:hint="eastAsia"/>
        </w:rPr>
        <w:t>设置“关键AI能力替代率”</w:t>
      </w:r>
      <w:r>
        <w:rPr>
          <w:rFonts w:hint="eastAsia"/>
          <w:lang w:eastAsia="zh-CN"/>
        </w:rPr>
        <w:t>，</w:t>
      </w:r>
      <w:r>
        <w:rPr>
          <w:rFonts w:hint="eastAsia"/>
        </w:rPr>
        <w:t>在主要供应商或模型无法使用时，企业能够在规定时间内通过替代方案维持的关键业务比例。进一步设置恢复时间目标（RTO）和恢复点目标（RPO），将风险分散与业务连续性管理相结合，检验多元化措施是否真正具备实际价值。</w:t>
      </w:r>
    </w:p>
    <w:p w14:paraId="05E054BE">
      <w:pPr>
        <w:ind w:firstLine="480"/>
      </w:pPr>
      <w:r>
        <w:rPr>
          <w:rFonts w:hint="eastAsia"/>
        </w:rPr>
        <w:t>第三是相关性指标。</w:t>
      </w:r>
    </w:p>
    <w:p w14:paraId="67166E08">
      <w:pPr>
        <w:ind w:firstLine="480"/>
      </w:pPr>
      <w:r>
        <w:rPr>
          <w:rFonts w:hint="eastAsia"/>
        </w:rPr>
        <w:t>建立AI风险依赖关系图谱，映射模型、数据、供应商、云平台之间的依赖关系，识别共同风险节点。计算“共同依赖业务占比”</w:t>
      </w:r>
      <w:r>
        <w:rPr>
          <w:rFonts w:hint="eastAsia"/>
          <w:lang w:eastAsia="zh-CN"/>
        </w:rPr>
        <w:t>，</w:t>
      </w:r>
      <w:r>
        <w:rPr>
          <w:rFonts w:hint="eastAsia"/>
        </w:rPr>
        <w:t>若企业90%的AI应用最终依赖同一基础模型，即使存在多个产品和多个API服务商，其整体风险仍高度集中。</w:t>
      </w:r>
    </w:p>
    <w:p w14:paraId="1790F7FE">
      <w:pPr>
        <w:pStyle w:val="4"/>
        <w:ind w:firstLine="571"/>
      </w:pPr>
      <w:bookmarkStart w:id="43" w:name="_Toc239454576"/>
      <w:bookmarkStart w:id="44" w:name="_Toc14381"/>
      <w:r>
        <w:rPr>
          <w:rFonts w:hint="eastAsia"/>
        </w:rPr>
        <w:t>（四）</w:t>
      </w:r>
      <w:r>
        <w:t>风险对冲</w:t>
      </w:r>
      <w:r>
        <w:rPr>
          <w:rFonts w:hint="eastAsia"/>
        </w:rPr>
        <w:t>：基于ESG体系</w:t>
      </w:r>
      <w:r>
        <w:rPr>
          <w:rFonts w:hint="eastAsia"/>
          <w:lang w:val="en-US" w:eastAsia="zh-CN"/>
        </w:rPr>
        <w:t>的</w:t>
      </w:r>
      <w:r>
        <w:rPr>
          <w:rFonts w:hint="eastAsia"/>
        </w:rPr>
        <w:t>自然对冲</w:t>
      </w:r>
      <w:bookmarkEnd w:id="43"/>
      <w:bookmarkEnd w:id="44"/>
    </w:p>
    <w:p w14:paraId="076B0910">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bookmarkStart w:id="45" w:name="_Toc239454577"/>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1．</w:t>
      </w:r>
      <w:r>
        <w:t>风险对冲的定位与适用边界</w:t>
      </w:r>
      <w:bookmarkEnd w:id="45"/>
    </w:p>
    <w:p w14:paraId="2207C651">
      <w:pPr>
        <w:ind w:firstLine="480"/>
      </w:pPr>
      <w:r>
        <w:rPr>
          <w:rFonts w:hint="eastAsia"/>
        </w:rPr>
        <w:t>在传统风险管理理论中，风险对冲（Risk Hedging）是指通过引入多个风险因素或承担多个风险，使相关风险能够互相抵消的方法。其核心逻辑是利用风险之间的负相关性</w:t>
      </w:r>
      <w:r>
        <w:rPr>
          <w:rFonts w:hint="eastAsia"/>
          <w:lang w:eastAsia="zh-CN"/>
        </w:rPr>
        <w:t>，</w:t>
      </w:r>
      <w:r>
        <w:rPr>
          <w:rFonts w:hint="eastAsia"/>
        </w:rPr>
        <w:t>当一个风险因素产生损失时，另一个风险因素产生收益，从而降低整体风险暴露的波动性。</w:t>
      </w:r>
    </w:p>
    <w:p w14:paraId="0A36F5C8">
      <w:pPr>
        <w:ind w:firstLine="480"/>
      </w:pPr>
      <w:r>
        <w:rPr>
          <w:rFonts w:hint="eastAsia"/>
        </w:rPr>
        <w:t>当前AI伦理风险尚缺乏成熟、标准化的金融对冲工具，隐私侵犯、算法歧视、决策失控和权责归属不清等风险，也难以像汇率、利率风险一样直接通过期货、期权或掉期构造严格的反向头寸。因此，本文从企业整体风险管理视角出发，识别能够在AI伦理风险发生后对企业损失形成反向缓冲的内部资源和治理能力，构建AI伦理风险的自然对冲机制。</w:t>
      </w:r>
    </w:p>
    <w:p w14:paraId="08DFB934">
      <w:pPr>
        <w:ind w:firstLine="480"/>
      </w:pPr>
      <w:r>
        <w:rPr>
          <w:rFonts w:hint="eastAsia"/>
        </w:rPr>
        <w:t>从风险传导来看，AI伦理风险造成的企业损失通常并不限于风险事件本身。隐私侵犯可能进一步引发监管调查、用户投诉和客户流失；算法偏见可能由公平性问题演化为社会舆情和声誉损失；责任不清和决策失控则可能进一步放大企业的治理风险和融资压力。因此，AI伦理风险往往沿着“伦理风险事件—利益相关者反应—声誉与经营受损—融资约束与企业价值下降”的路径向企业整体经营传导。风险对冲的重点，正是在这一传导过程中寻找能够形成反向缓冲的因素。</w:t>
      </w:r>
    </w:p>
    <w:p w14:paraId="65F25CF8">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bookmarkStart w:id="46" w:name="_Toc239454578"/>
      <w:bookmarkStart w:id="47" w:name="OLE_LINK7"/>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2．</w:t>
      </w:r>
      <w:r>
        <w:rPr>
          <w:rFonts w:hint="eastAsia"/>
        </w:rPr>
        <w:t>AI伦理风险与ESG自然对冲机制</w:t>
      </w:r>
      <w:bookmarkEnd w:id="46"/>
    </w:p>
    <w:p w14:paraId="6CC1969A">
      <w:pPr>
        <w:ind w:firstLine="480"/>
        <w:rPr>
          <w:rFonts w:ascii="Times New Roman" w:hAnsi="Times New Roman" w:cstheme="minorBidi"/>
          <w:szCs w:val="22"/>
        </w:rPr>
      </w:pPr>
      <w:r>
        <w:rPr>
          <w:rFonts w:ascii="Times New Roman" w:hAnsi="Times New Roman" w:cstheme="minorBidi"/>
          <w:szCs w:val="22"/>
        </w:rPr>
        <w:t>AI伦理风险与企业ESG体系具有较强的内在联系。OECD人工智能原则将公平、隐私、人类自主、透明、问责和可持续发展等纳入可信AI的核心要求，并要求AI主体在整个生命周期持续开展风险管理。</w:t>
      </w:r>
      <w:r>
        <w:rPr>
          <w:rStyle w:val="143"/>
          <w:rFonts w:ascii="宋体" w:hAnsi="宋体" w:cs="宋体"/>
          <w:szCs w:val="24"/>
          <w:vertAlign w:val="superscript"/>
        </w:rPr>
        <w:footnoteReference w:id="30"/>
      </w:r>
      <w:r>
        <w:rPr>
          <w:rFonts w:ascii="Times New Roman" w:hAnsi="Times New Roman" w:cstheme="minorBidi"/>
          <w:szCs w:val="22"/>
        </w:rPr>
        <w:t>从这一角度看，AI伦理问题并非独立于企业ESG体系之外，而是与社会责任、利益相关者保护、公司治理和可持续经营高度交叉。因此，企业既有的ESG治理能力可以成为AI伦理风险发生后的重要缓冲资源。</w:t>
      </w:r>
    </w:p>
    <w:p w14:paraId="2A7CEC41">
      <w:pPr>
        <w:ind w:left="0" w:leftChars="0" w:firstLine="0" w:firstLineChars="0"/>
        <w:rPr>
          <w:rFonts w:hint="eastAsia" w:ascii="Times New Roman" w:hAnsi="Times New Roman" w:eastAsia="宋体" w:cstheme="minorBidi"/>
          <w:szCs w:val="22"/>
          <w:lang w:eastAsia="zh-CN"/>
        </w:rPr>
      </w:pPr>
      <w:r>
        <w:rPr>
          <w:rFonts w:hint="eastAsia" w:ascii="Times New Roman" w:hAnsi="Times New Roman" w:eastAsia="宋体" w:cstheme="minorBidi"/>
          <w:szCs w:val="22"/>
          <w:lang w:eastAsia="zh-CN"/>
        </w:rPr>
        <w:drawing>
          <wp:inline distT="0" distB="0" distL="114300" distR="114300">
            <wp:extent cx="5751195" cy="2186305"/>
            <wp:effectExtent l="0" t="0" r="1905" b="10795"/>
            <wp:docPr id="19" name="图片 19" descr="2792f0b6-5e04-457b-9492-b5d67285b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792f0b6-5e04-457b-9492-b5d67285b129"/>
                    <pic:cNvPicPr>
                      <a:picLocks noChangeAspect="1"/>
                    </pic:cNvPicPr>
                  </pic:nvPicPr>
                  <pic:blipFill>
                    <a:blip r:embed="rId22"/>
                    <a:srcRect t="23554" b="25762"/>
                    <a:stretch>
                      <a:fillRect/>
                    </a:stretch>
                  </pic:blipFill>
                  <pic:spPr>
                    <a:xfrm>
                      <a:off x="0" y="0"/>
                      <a:ext cx="5751195" cy="2186305"/>
                    </a:xfrm>
                    <a:prstGeom prst="rect">
                      <a:avLst/>
                    </a:prstGeom>
                  </pic:spPr>
                </pic:pic>
              </a:graphicData>
            </a:graphic>
          </wp:inline>
        </w:drawing>
      </w:r>
    </w:p>
    <w:p w14:paraId="7F7954C2">
      <w:pPr>
        <w:ind w:firstLine="0" w:firstLineChars="0"/>
        <w:jc w:val="center"/>
        <w:rPr>
          <w:rFonts w:hint="default"/>
          <w:lang w:val="en-US"/>
        </w:rPr>
      </w:pPr>
      <w:r>
        <w:rPr>
          <w:rFonts w:hint="eastAsia"/>
          <w:sz w:val="21"/>
          <w:szCs w:val="21"/>
        </w:rPr>
        <w:t>图5</w:t>
      </w:r>
      <w:r>
        <w:rPr>
          <w:rFonts w:hint="eastAsia"/>
          <w:sz w:val="21"/>
          <w:szCs w:val="21"/>
          <w:lang w:val="en-US" w:eastAsia="zh-CN"/>
        </w:rPr>
        <w:t>-5 ESG缓冲AI伦理风险机制</w:t>
      </w:r>
    </w:p>
    <w:p w14:paraId="56E7DAF6">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80"/>
        <w:textAlignment w:val="auto"/>
      </w:pPr>
      <w:r>
        <w:t>具体而言，可以从以下三个方面形成自然对冲。</w:t>
      </w:r>
    </w:p>
    <w:p w14:paraId="2410F4B9">
      <w:pPr>
        <w:widowControl/>
        <w:ind w:firstLine="480"/>
      </w:pPr>
      <w:r>
        <w:t>第一，</w:t>
      </w:r>
      <w:r>
        <w:rPr>
          <w:rStyle w:val="143"/>
        </w:rPr>
        <w:t>以社会责任和利益相关者信任缓冲声誉与经营损失。</w:t>
      </w:r>
    </w:p>
    <w:p w14:paraId="35EDDDFD">
      <w:pPr>
        <w:widowControl/>
        <w:ind w:firstLine="480"/>
      </w:pPr>
      <w:r>
        <w:t>AI伦理风险具有较强的社会外部性，其损失往往通过消费者、员工、合作伙伴和公众反应进一步扩大。当企业发生隐私泄露、算法歧视或不公平自动化决策时，真正影响企业经营的往往不仅是事件本身，还包括用户信任下降、客户流失、合作关系受损和舆情压力。</w:t>
      </w:r>
    </w:p>
    <w:p w14:paraId="5E2F76E5">
      <w:pPr>
        <w:widowControl/>
        <w:ind w:firstLine="480"/>
      </w:pPr>
      <w:r>
        <w:t>如果企业在日常经营中已经形成较完善的用户权益保护、申诉补救、员工责任和利益相关者沟通机制，并持续积累较好的社会责任记录，这种长期形成的“信任资本”能够在偶发AI伦理事件发生后降低利益相关者的负面反应强度。相关研究表明，良好的ESG表现能够通过改善企业声誉、缓解融资约束等途径提升企业竞争力。</w:t>
      </w:r>
      <w:r>
        <w:rPr>
          <w:rStyle w:val="150"/>
          <w:rFonts w:hint="eastAsia"/>
        </w:rPr>
        <w:footnoteReference w:id="31"/>
      </w:r>
      <w:r>
        <w:t>因此，企业既有的社会责任基础并不能</w:t>
      </w:r>
      <w:r>
        <w:rPr>
          <w:rFonts w:hint="eastAsia"/>
          <w:lang w:val="en-US" w:eastAsia="zh-CN"/>
        </w:rPr>
        <w:t>阻止</w:t>
      </w:r>
      <w:r>
        <w:t>AI伦理事件</w:t>
      </w:r>
      <w:r>
        <w:rPr>
          <w:rFonts w:hint="eastAsia"/>
          <w:lang w:val="en-US" w:eastAsia="zh-CN"/>
        </w:rPr>
        <w:t>的发生</w:t>
      </w:r>
      <w:r>
        <w:t>，但可以降低其向客户流失、声誉下降和经营损失进一步传导的幅度。</w:t>
      </w:r>
    </w:p>
    <w:p w14:paraId="05ADC8C5">
      <w:pPr>
        <w:widowControl/>
        <w:ind w:firstLine="480"/>
      </w:pPr>
      <w:r>
        <w:t>第二，</w:t>
      </w:r>
      <w:r>
        <w:rPr>
          <w:rStyle w:val="143"/>
        </w:rPr>
        <w:t>以公司治理能力缓冲责任失灵与风险扩散。</w:t>
      </w:r>
    </w:p>
    <w:p w14:paraId="5EA813D9">
      <w:pPr>
        <w:widowControl/>
        <w:ind w:firstLine="480"/>
      </w:pPr>
      <w:r>
        <w:t>AI伦理风险中的权责归属不清、决策不自主受控等问题，本质上与企业治理能力密切相关。当AI系统发生异常时，如果企业缺乏明确的责任主体、内部报告机制和决策追踪机制，原本局部的技术或伦理事件可能进一步演变为治理失灵，并引发更严重的监管和声誉风险。</w:t>
      </w:r>
    </w:p>
    <w:p w14:paraId="6EA941BE">
      <w:pPr>
        <w:widowControl/>
        <w:ind w:firstLine="480"/>
      </w:pPr>
      <w:r>
        <w:t>较完善的ESG治理体系通常包含董事会监督、内部控制、责任问责、重大事项披露和风险管理机制。这些治理能力虽然不能阻止AI伦理事件发生，却能够在事件发生后迅速确定责任主体、开展调查、披露信息并完成整改，从而限制风险进一步扩散。因此，公司治理所形成的对冲作用，主要体现为阻断</w:t>
      </w:r>
      <w:r>
        <w:rPr>
          <w:rStyle w:val="143"/>
        </w:rPr>
        <w:t>AI伦理事件</w:t>
      </w:r>
      <w:r>
        <w:rPr>
          <w:rStyle w:val="143"/>
          <w:rFonts w:hint="eastAsia"/>
          <w:lang w:val="en-US" w:eastAsia="zh-CN"/>
        </w:rPr>
        <w:t>影响公司</w:t>
      </w:r>
      <w:r>
        <w:rPr>
          <w:rStyle w:val="143"/>
        </w:rPr>
        <w:t>治理</w:t>
      </w:r>
      <w:r>
        <w:rPr>
          <w:rStyle w:val="143"/>
          <w:rFonts w:hint="eastAsia"/>
          <w:lang w:eastAsia="zh-CN"/>
        </w:rPr>
        <w:t>，</w:t>
      </w:r>
      <w:r>
        <w:rPr>
          <w:rStyle w:val="143"/>
          <w:rFonts w:hint="eastAsia"/>
          <w:lang w:val="en-US" w:eastAsia="zh-CN"/>
        </w:rPr>
        <w:t>造成</w:t>
      </w:r>
      <w:r>
        <w:rPr>
          <w:rStyle w:val="143"/>
        </w:rPr>
        <w:t>监管与声誉危机扩大</w:t>
      </w:r>
      <w:r>
        <w:t>。治理能力越强，企业越有可能把风险控制在局部事件层面</w:t>
      </w:r>
      <w:r>
        <w:rPr>
          <w:rFonts w:hint="eastAsia"/>
          <w:lang w:eastAsia="zh-CN"/>
        </w:rPr>
        <w:t>，从</w:t>
      </w:r>
      <w:r>
        <w:t>而避免其演变为系统性经营危机。</w:t>
      </w:r>
    </w:p>
    <w:p w14:paraId="7A3581A5">
      <w:pPr>
        <w:widowControl/>
        <w:ind w:firstLine="480"/>
      </w:pPr>
      <w:r>
        <w:t>第三，</w:t>
      </w:r>
      <w:r>
        <w:rPr>
          <w:rStyle w:val="143"/>
        </w:rPr>
        <w:t>以ESG融资能力缓冲资本与流动性冲击。</w:t>
      </w:r>
    </w:p>
    <w:p w14:paraId="10B2BEB3">
      <w:pPr>
        <w:widowControl/>
        <w:ind w:firstLine="480"/>
      </w:pPr>
      <w:r>
        <w:t>严重AI伦理事件还可能影响投资者和金融机构对企业风险水平的判断，进而造成融资成本上升、融资渠道收缩甚至估值下降。对于研发投入高、现金流相对脆弱的科创企业而言，融资条件恶化可能进一步放大伦理事件的经营后果。</w:t>
      </w:r>
    </w:p>
    <w:p w14:paraId="386750E7">
      <w:pPr>
        <w:widowControl/>
        <w:ind w:firstLine="480"/>
      </w:pPr>
      <w:r>
        <w:t>企业长期形成的ESG治理和信息披露能力，有助于降低企业与资本提供者之间的信息不对称，并可能通过较稳定的机构投资者关系、绿色融资或可持续融资渠道提高企业融资韧性。</w:t>
      </w:r>
      <w:r>
        <w:rPr>
          <w:rFonts w:hint="eastAsia"/>
        </w:rPr>
        <w:t>《国际财务报告可持续披露准则第1号</w:t>
      </w:r>
      <w:r>
        <w:rPr>
          <w:rFonts w:hint="eastAsia"/>
          <w:lang w:eastAsia="zh-CN"/>
        </w:rPr>
        <w:t>——</w:t>
      </w:r>
      <w:r>
        <w:rPr>
          <w:rFonts w:hint="eastAsia"/>
        </w:rPr>
        <w:t>可持续相关财务信息披露一般要求》</w:t>
      </w:r>
      <w:r>
        <w:rPr>
          <w:rFonts w:hint="eastAsia"/>
          <w:lang w:eastAsia="zh-CN"/>
        </w:rPr>
        <w:t>（</w:t>
      </w:r>
      <w:r>
        <w:t>IFRS S1</w:t>
      </w:r>
      <w:r>
        <w:rPr>
          <w:rFonts w:hint="eastAsia"/>
          <w:lang w:eastAsia="zh-CN"/>
        </w:rPr>
        <w:t>）</w:t>
      </w:r>
      <w:r>
        <w:t>已将可持续发展相关风险与企业现金流、融资可获得性和资本成本直接联系起来，并要求企业从治理、战略、风险管理等方面识别和管理相关风险。</w:t>
      </w:r>
      <w:r>
        <w:rPr>
          <w:rStyle w:val="150"/>
          <w:rFonts w:hint="eastAsia"/>
        </w:rPr>
        <w:footnoteReference w:id="32"/>
      </w:r>
    </w:p>
    <w:p w14:paraId="07B87B6E">
      <w:pPr>
        <w:widowControl/>
        <w:ind w:firstLine="480"/>
      </w:pPr>
      <w:r>
        <w:t>因此，当AI伦理风险导致资本市场信心下降时，企业原有的ESG融资基础能够为其提供一定的资金缓冲，使企业更有能力承担整改成本、客户补偿和业务恢复支出，降低伦理事件向流动性危机进一步传导的可能性。</w:t>
      </w:r>
    </w:p>
    <w:p w14:paraId="6188C0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Cs w:val="24"/>
          <w:lang w:eastAsia="zh-CN"/>
        </w:rPr>
      </w:pPr>
      <w:r>
        <w:rPr>
          <w:rFonts w:hint="eastAsia"/>
        </w:rPr>
        <w:t>综合来看，AI伦理风险与ESG体系之间形成的并不是简单的“风险抵消”，而是一种企业整体风险管理意义上的自然对冲</w:t>
      </w:r>
      <w:r>
        <w:rPr>
          <w:rFonts w:hint="eastAsia"/>
          <w:lang w:eastAsia="zh-CN"/>
        </w:rPr>
        <w:t>。</w:t>
      </w:r>
    </w:p>
    <w:bookmarkEnd w:id="47"/>
    <w:p w14:paraId="077DB60E">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bookmarkStart w:id="48" w:name="_Toc239454588"/>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3．</w:t>
      </w:r>
      <w:r>
        <w:rPr>
          <w:rFonts w:hint="eastAsia"/>
        </w:rPr>
        <w:t>风险对冲的量化评估机制</w:t>
      </w:r>
      <w:bookmarkEnd w:id="48"/>
      <w:bookmarkStart w:id="49" w:name="_Toc239454597"/>
      <w:bookmarkEnd w:id="49"/>
    </w:p>
    <w:p w14:paraId="1BBE3715">
      <w:pPr>
        <w:ind w:firstLine="480"/>
      </w:pPr>
      <w:r>
        <w:rPr>
          <w:rFonts w:hint="eastAsia"/>
        </w:rPr>
        <w:t>风险对冲是否有效，最终应体现在企业净损失是否下降。因此，本文通过情景分析评价ESG自然对冲能力。设某一AI伦理风险事件在缺乏ESG缓冲机制时造成的企业总损失为</w:t>
      </w:r>
      <m:oMath>
        <m:sSub>
          <m:sSubPr>
            <m:ctrlPr>
              <w:rPr>
                <w:rFonts w:hint="eastAsia" w:ascii="Cambria Math" w:hAnsi="Cambria Math"/>
              </w:rPr>
            </m:ctrlPr>
          </m:sSubPr>
          <m:e>
            <m:r>
              <m:rPr>
                <m:sty m:val="p"/>
              </m:rPr>
              <w:rPr>
                <w:rFonts w:ascii="Cambria Math" w:hAnsi="Cambria Math"/>
              </w:rPr>
              <m:t>L</m:t>
            </m:r>
            <m:ctrlPr>
              <w:rPr>
                <w:rFonts w:hint="eastAsia" w:ascii="Cambria Math" w:hAnsi="Cambria Math"/>
              </w:rPr>
            </m:ctrlPr>
          </m:e>
          <m:sub>
            <m:r>
              <m:rPr>
                <m:sty m:val="p"/>
              </m:rPr>
              <w:rPr>
                <w:rFonts w:ascii="Cambria Math" w:hAnsi="Cambria Math"/>
              </w:rPr>
              <m:t>0</m:t>
            </m:r>
            <m:ctrlPr>
              <w:rPr>
                <w:rFonts w:hint="eastAsia" w:ascii="Cambria Math" w:hAnsi="Cambria Math"/>
              </w:rPr>
            </m:ctrlPr>
          </m:sub>
        </m:sSub>
      </m:oMath>
      <w:r>
        <w:rPr>
          <w:rFonts w:hint="eastAsia"/>
        </w:rPr>
        <w:t>，在现有ESG治理体系下的实际损失为</w:t>
      </w:r>
      <m:oMath>
        <m:sSub>
          <m:sSubPr>
            <m:ctrlPr>
              <w:rPr>
                <w:rFonts w:hint="eastAsia" w:ascii="Cambria Math" w:hAnsi="Cambria Math"/>
              </w:rPr>
            </m:ctrlPr>
          </m:sSubPr>
          <m:e>
            <m:r>
              <m:rPr>
                <m:sty m:val="p"/>
              </m:rPr>
              <w:rPr>
                <w:rFonts w:ascii="Cambria Math" w:hAnsi="Cambria Math"/>
              </w:rPr>
              <m:t>L</m:t>
            </m:r>
            <m:ctrlPr>
              <w:rPr>
                <w:rFonts w:hint="eastAsia" w:ascii="Cambria Math" w:hAnsi="Cambria Math"/>
              </w:rPr>
            </m:ctrlPr>
          </m:e>
          <m:sub>
            <m:r>
              <m:rPr>
                <m:sty m:val="p"/>
              </m:rPr>
              <w:rPr>
                <w:rFonts w:ascii="Cambria Math" w:hAnsi="Cambria Math"/>
              </w:rPr>
              <m:t>1</m:t>
            </m:r>
            <m:ctrlPr>
              <w:rPr>
                <w:rFonts w:hint="eastAsia" w:ascii="Cambria Math" w:hAnsi="Cambria Math"/>
              </w:rPr>
            </m:ctrlPr>
          </m:sub>
        </m:sSub>
      </m:oMath>
      <w:r>
        <w:rPr>
          <w:rFonts w:hint="eastAsia"/>
        </w:rPr>
        <w:t>，则对冲有效率可表示为：</w:t>
      </w:r>
    </w:p>
    <w:p w14:paraId="37B027BD">
      <w:pPr>
        <w:ind w:firstLine="0" w:firstLineChars="0"/>
      </w:pPr>
      <m:oMathPara>
        <m:oMath>
          <m:r>
            <m:rPr>
              <m:sty m:val="p"/>
            </m:rPr>
            <w:rPr>
              <w:rFonts w:ascii="Cambria Math" w:hAnsi="Cambria Math"/>
            </w:rPr>
            <m:t>HE=1−</m:t>
          </m:r>
          <m:f>
            <m:fPr>
              <m:ctrlPr>
                <w:rPr>
                  <w:rFonts w:ascii="Cambria Math" w:hAnsi="Cambria Math"/>
                </w:rPr>
              </m:ctrlPr>
            </m:fPr>
            <m:num>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den>
          </m:f>
        </m:oMath>
      </m:oMathPara>
    </w:p>
    <w:p w14:paraId="77A4221E">
      <w:pPr>
        <w:ind w:firstLine="480"/>
      </w:pPr>
      <w:r>
        <w:rPr>
          <w:rFonts w:hint="eastAsia"/>
        </w:rPr>
        <w:t>其中，HE越高，说明企业ESG体系对AI伦理风险衍生损失的缓冲能力越强。</w:t>
      </w:r>
    </w:p>
    <w:p w14:paraId="4B5CE5F1">
      <w:pPr>
        <w:ind w:firstLine="480"/>
      </w:pPr>
      <w:r>
        <w:rPr>
          <w:rFonts w:hint="eastAsia"/>
        </w:rPr>
        <w:t>在实际评价中，可进一步设置指标：一是社会信任缓冲能力，包括用户投诉处理时效、补救覆盖率和重大舆情恢复时间等；二是治理缓冲能力，包括AI责任主体是否明确、事件报告与追踪机制是否健全、整改响应时间等；三是融资缓冲能力，包括风险事件后的融资渠道稳定性、流动性储备以及融资成本变化等。</w:t>
      </w:r>
    </w:p>
    <w:p w14:paraId="3139A9E2">
      <w:pPr>
        <w:pStyle w:val="4"/>
        <w:ind w:firstLine="571"/>
      </w:pPr>
      <w:bookmarkStart w:id="50" w:name="_Toc1534"/>
      <w:bookmarkStart w:id="51" w:name="_Toc239454598"/>
      <w:r>
        <w:rPr>
          <w:rFonts w:hint="eastAsia"/>
        </w:rPr>
        <w:t>（五）</w:t>
      </w:r>
      <w:r>
        <w:t>风险撤出</w:t>
      </w:r>
      <w:r>
        <w:rPr>
          <w:rFonts w:hint="eastAsia"/>
        </w:rPr>
        <w:t>：不可接受风险的退出机制</w:t>
      </w:r>
      <w:bookmarkEnd w:id="50"/>
      <w:bookmarkEnd w:id="51"/>
    </w:p>
    <w:p w14:paraId="1C63FBF9">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bookmarkStart w:id="52" w:name="_Toc239454599"/>
      <w:bookmarkStart w:id="53" w:name="OLE_LINK1"/>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1．</w:t>
      </w:r>
      <w:r>
        <w:t>风险撤出的定位与适用边界</w:t>
      </w:r>
      <w:bookmarkEnd w:id="52"/>
    </w:p>
    <w:p w14:paraId="3E8B8AB1">
      <w:pPr>
        <w:ind w:firstLine="480"/>
      </w:pPr>
      <w:r>
        <w:rPr>
          <w:rFonts w:hint="eastAsia"/>
        </w:rPr>
        <w:t>风险撤出（Risk Avoidance）是指当某类风险无法通过控制、转移或承担等方式降低至可接受水平时，企业通过调整业务模式、改变技术路线或停止相关活动，从根源上避免风险发生。与损失控制不同，风险撤出的核心在于减少企业与风险源之间的暴露关系，而非降低风险本身的概率或程度。其基本逻辑是：当风险发生概率、影响程度或不确定性达到一定水平，而组织无法通过其他风险管理工具有效降低时，继续承担该风险可能造成超过组织承受能力的损失，因此需要主动减少风险暴露。</w:t>
      </w:r>
    </w:p>
    <w:p w14:paraId="0884B250">
      <w:pPr>
        <w:ind w:firstLine="480"/>
      </w:pPr>
      <w:r>
        <w:rPr>
          <w:rFonts w:hint="eastAsia"/>
        </w:rPr>
        <w:t>对于AI伦理风险而言，风险撤出的必要性源于AI风险的不可逆性和外部性。大规模隐私泄露可能导致用户长期权益受损，算法歧视可能强化社会不公平，错误的自动化决策可能直接影响个人就业、医疗和金融权益。这类风险一旦发生，其影响往往超出企业的承受范围。因此，风险撤出的目标不是限制创新，而是在创新过程中建立合理边界，使企业主动退出不可控风险暴露，实现技术价值创造与伦理风险管理之间的平衡。</w:t>
      </w:r>
    </w:p>
    <w:p w14:paraId="16CEB679">
      <w:pPr>
        <w:ind w:firstLine="480"/>
        <w:rPr>
          <w:rFonts w:hint="eastAsia"/>
        </w:rPr>
      </w:pPr>
      <w:r>
        <w:rPr>
          <w:rFonts w:hint="eastAsia"/>
        </w:rPr>
        <w:t>从四象限框架来看，风险撤出主要针对高频高损或虽低频但损害不可逆的风险类型。具体适用条件包括：一是高影响场景</w:t>
      </w:r>
      <w:r>
        <w:rPr>
          <w:rFonts w:hint="eastAsia"/>
          <w:lang w:eastAsia="zh-CN"/>
        </w:rPr>
        <w:t>，</w:t>
      </w:r>
      <w:r>
        <w:rPr>
          <w:rFonts w:hint="eastAsia"/>
          <w:lang w:val="en-US" w:eastAsia="zh-CN"/>
        </w:rPr>
        <w:t>如</w:t>
      </w:r>
      <w:r>
        <w:rPr>
          <w:rFonts w:hint="eastAsia"/>
        </w:rPr>
        <w:t>AI系统直接参与医疗诊断、金融授信、司法判断等涉及个人重大权益的决策。若企业无法确保模型的公平性、准确性与责任可追溯性，应考虑撤出。尤其当现有治理措施难以穿透深度学习模型的不透明性，致使企业无法充分阐明决策逻辑并承担相应责任时，更需主动降低AI的自主决策范围。二是不可控风险</w:t>
      </w:r>
      <w:r>
        <w:rPr>
          <w:rFonts w:hint="eastAsia"/>
          <w:lang w:eastAsia="zh-CN"/>
        </w:rPr>
        <w:t>，</w:t>
      </w:r>
      <w:r>
        <w:rPr>
          <w:rFonts w:hint="eastAsia"/>
          <w:lang w:val="en-US" w:eastAsia="zh-CN"/>
        </w:rPr>
        <w:t>即</w:t>
      </w:r>
      <w:r>
        <w:rPr>
          <w:rFonts w:hint="eastAsia"/>
        </w:rPr>
        <w:t>现有技术和治理措施无法将风险降低至可接受水平。对于数据泄露、算法歧视等具有较强不可逆性和长期社会影响的风险，不应仅以发生概率作为判断依据，而应审慎权衡后果的严重性。三是不可逆损害——风险事件一旦发生，损害难以修复或修复成本极高。在风险无法有效降低的情况下，应及时撤出或限制应用。</w:t>
      </w:r>
    </w:p>
    <w:p w14:paraId="3569B7B9">
      <w:pPr>
        <w:ind w:left="0" w:leftChars="0" w:firstLine="0" w:firstLineChars="0"/>
        <w:rPr>
          <w:rFonts w:hint="eastAsia" w:eastAsia="宋体"/>
          <w:lang w:eastAsia="zh-CN"/>
        </w:rPr>
      </w:pPr>
      <w:r>
        <w:rPr>
          <w:rFonts w:hint="eastAsia" w:eastAsia="宋体"/>
          <w:lang w:eastAsia="zh-CN"/>
        </w:rPr>
        <w:drawing>
          <wp:inline distT="0" distB="0" distL="114300" distR="114300">
            <wp:extent cx="5751195" cy="3321050"/>
            <wp:effectExtent l="0" t="0" r="1905" b="6350"/>
            <wp:docPr id="20" name="图片 20" descr="f83b9cc5-f090-48cd-ad26-6fc3b3511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83b9cc5-f090-48cd-ad26-6fc3b3511ffb"/>
                    <pic:cNvPicPr>
                      <a:picLocks noChangeAspect="1"/>
                    </pic:cNvPicPr>
                  </pic:nvPicPr>
                  <pic:blipFill>
                    <a:blip r:embed="rId23"/>
                    <a:srcRect t="9201" b="13808"/>
                    <a:stretch>
                      <a:fillRect/>
                    </a:stretch>
                  </pic:blipFill>
                  <pic:spPr>
                    <a:xfrm>
                      <a:off x="0" y="0"/>
                      <a:ext cx="5751195" cy="3321050"/>
                    </a:xfrm>
                    <a:prstGeom prst="rect">
                      <a:avLst/>
                    </a:prstGeom>
                  </pic:spPr>
                </pic:pic>
              </a:graphicData>
            </a:graphic>
          </wp:inline>
        </w:drawing>
      </w:r>
    </w:p>
    <w:p w14:paraId="21B1BAB9">
      <w:pPr>
        <w:ind w:firstLine="0" w:firstLineChars="0"/>
        <w:jc w:val="center"/>
        <w:rPr>
          <w:rFonts w:hint="default"/>
          <w:lang w:val="en-US"/>
        </w:rPr>
      </w:pPr>
      <w:r>
        <w:rPr>
          <w:rFonts w:hint="eastAsia"/>
          <w:sz w:val="21"/>
          <w:szCs w:val="21"/>
        </w:rPr>
        <w:t>图5</w:t>
      </w:r>
      <w:r>
        <w:rPr>
          <w:rFonts w:hint="eastAsia"/>
          <w:sz w:val="21"/>
          <w:szCs w:val="21"/>
          <w:lang w:val="en-US" w:eastAsia="zh-CN"/>
        </w:rPr>
        <w:t>-6 风险撤出的适用条件</w:t>
      </w:r>
    </w:p>
    <w:bookmarkEnd w:id="53"/>
    <w:p w14:paraId="716AA4D3">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bookmarkStart w:id="54" w:name="_Toc239454600"/>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2．</w:t>
      </w:r>
      <w:r>
        <w:t>基于AI生命周期的风险撤出机制</w:t>
      </w:r>
      <w:bookmarkEnd w:id="54"/>
    </w:p>
    <w:p w14:paraId="57748D56">
      <w:pPr>
        <w:ind w:firstLine="480"/>
      </w:pPr>
      <w:r>
        <w:rPr>
          <w:rFonts w:hint="eastAsia"/>
        </w:rPr>
        <w:t>与损失控制需要贯穿全生命周期类似，风险撤出同样应在不同阶段体现为不同形式：</w:t>
      </w:r>
    </w:p>
    <w:p w14:paraId="3F0EC4BB">
      <w:pPr>
        <w:ind w:firstLine="480"/>
      </w:pPr>
      <w:r>
        <w:rPr>
          <w:rFonts w:hint="eastAsia"/>
        </w:rPr>
        <w:t>第一，数据与模型开发阶段的风险源退出。</w:t>
      </w:r>
    </w:p>
    <w:p w14:paraId="4C0E4D5D">
      <w:pPr>
        <w:ind w:firstLine="480"/>
      </w:pPr>
      <w:r>
        <w:rPr>
          <w:rFonts w:hint="eastAsia"/>
        </w:rPr>
        <w:t>对于存在严重合法性缺陷的数据来源（未经授权采集、无法满足隐私保护要求），应停止使用而非依赖后续技术补救。对于存在严重代表性偏差且无法通过补充样本有效修正的数据集，也应考虑退出使用，避免偏见被模型固化。</w:t>
      </w:r>
    </w:p>
    <w:p w14:paraId="50B59EAE">
      <w:pPr>
        <w:ind w:firstLine="480"/>
      </w:pPr>
      <w:r>
        <w:rPr>
          <w:rFonts w:hint="eastAsia"/>
        </w:rPr>
        <w:t>在模型层面，当模型经过测试发现严重公平性问题且多次优化仍无法改善时，可采取能力限制策略</w:t>
      </w:r>
      <w:r>
        <w:rPr>
          <w:rFonts w:hint="eastAsia"/>
          <w:lang w:eastAsia="zh-CN"/>
        </w:rPr>
        <w:t>，</w:t>
      </w:r>
      <w:r>
        <w:rPr>
          <w:rFonts w:hint="eastAsia"/>
          <w:lang w:val="en-US" w:eastAsia="zh-CN"/>
        </w:rPr>
        <w:t>即</w:t>
      </w:r>
      <w:r>
        <w:rPr>
          <w:rFonts w:hint="eastAsia"/>
        </w:rPr>
        <w:t>将AI自主决策调整为AI辅助决策，将自动执行调整为人工确认，通过降低AI自主程度减少伦理风险暴露。这种方式实际上是一种“能力撤出”，即企业并非完全放弃AI技术，而是退出其中风险最高的功能模块。欧盟《AI法案》</w:t>
      </w:r>
      <w:r>
        <w:rPr>
          <w:rStyle w:val="150"/>
          <w:rFonts w:hint="eastAsia" w:cs="Times New Roman"/>
          <w:color w:val="0F1115"/>
          <w:shd w:val="clear" w:color="auto" w:fill="FFFFFF"/>
        </w:rPr>
        <w:footnoteReference w:id="33"/>
      </w:r>
      <w:r>
        <w:rPr>
          <w:rFonts w:hint="eastAsia"/>
        </w:rPr>
        <w:t>是全球最具代表性的风险分级治理框架。该法案将AI系统划分为四个风险等级，对不可接受风险的应用采取直接禁止措施，包括操纵性技术影响个人行为、社会评分等。这体现了风险撤出的核心思想</w:t>
      </w:r>
      <w:r>
        <w:rPr>
          <w:rFonts w:hint="eastAsia"/>
          <w:lang w:eastAsia="zh-CN"/>
        </w:rPr>
        <w:t>，</w:t>
      </w:r>
      <w:r>
        <w:rPr>
          <w:rFonts w:hint="eastAsia"/>
          <w:lang w:val="en-US" w:eastAsia="zh-CN"/>
        </w:rPr>
        <w:t>即</w:t>
      </w:r>
      <w:r>
        <w:rPr>
          <w:rFonts w:hint="eastAsia"/>
        </w:rPr>
        <w:t>当某类AI应用可能造成严重社会影响且风险无法通过技术措施有效降低时，应通过制度方式消除风险暴露。</w:t>
      </w:r>
    </w:p>
    <w:p w14:paraId="07B7429C">
      <w:pPr>
        <w:ind w:firstLine="480"/>
      </w:pPr>
      <w:r>
        <w:rPr>
          <w:rFonts w:hint="eastAsia"/>
        </w:rPr>
        <w:t>第二，系统部署阶段的应用场景退出。</w:t>
      </w:r>
    </w:p>
    <w:p w14:paraId="55855F3B">
      <w:pPr>
        <w:ind w:firstLine="480"/>
      </w:pPr>
      <w:r>
        <w:rPr>
          <w:rFonts w:hint="eastAsia"/>
        </w:rPr>
        <w:t>同一AI系统在不同场景中的风险水平差异显著。生成式AI用于文本整理风险较低，但用于自动生成医疗诊断或金融建议则风险极高。企业应建立基于场景的风险评估机制，对AI应用环境进行分类管理。对于低风险场景，可以通过常规治理措施保障安全运行；对于高影响、高敏感场景，则需要更加严格的风险控制。当企业无法确保AI系统满足公平、安全和责任要求时，应考虑退出相关业务场景。具体措施包括缩减AI在高影响业务中的应用范围、将高风险功能模块从自动化流程中剥离、对特定用户群体或地区暂停服务等。</w:t>
      </w:r>
    </w:p>
    <w:p w14:paraId="39C1323C">
      <w:pPr>
        <w:ind w:firstLine="480"/>
      </w:pPr>
      <w:r>
        <w:rPr>
          <w:rFonts w:hint="eastAsia"/>
        </w:rPr>
        <w:t>第三，系统退役阶段的完整退出机制。</w:t>
      </w:r>
    </w:p>
    <w:p w14:paraId="25E1B3EE">
      <w:pPr>
        <w:ind w:firstLine="480"/>
      </w:pPr>
      <w:r>
        <w:rPr>
          <w:rFonts w:hint="eastAsia"/>
        </w:rPr>
        <w:t>在风险撤出不是简单的关闭。NIST AI RMF特别强调，企业应建立AI系统退役流程，系统退出过程中考虑数据保留要求、安全管理、上下游依赖关系以及用户影响等因素。具体包括模型停止运行、相关数据处理终止、用户影响评估、历史决策记录保存及责任追踪。对于曾参与金融授信、招聘筛选等决策的AI系统，即使停止使用，也需保留必要的审计记录，以便后续责任分析和争议处理。</w:t>
      </w:r>
    </w:p>
    <w:p w14:paraId="3E1297E6">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bookmarkStart w:id="55" w:name="_Toc239454601"/>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3．</w:t>
      </w:r>
      <w:r>
        <w:t>风险撤出的量化评估与决策机制</w:t>
      </w:r>
      <w:bookmarkEnd w:id="55"/>
    </w:p>
    <w:p w14:paraId="44727141">
      <w:pPr>
        <w:ind w:firstLine="480"/>
      </w:pPr>
      <w:r>
        <w:rPr>
          <w:rFonts w:hint="eastAsia"/>
        </w:rPr>
        <w:t>撤出决策需要明确的量化依据，避免因商业利益驱动而持续承担不可接受风险，也避免因过度谨慎而放弃有价值的技术。</w:t>
      </w:r>
    </w:p>
    <w:p w14:paraId="573354C4">
      <w:pPr>
        <w:ind w:firstLine="480"/>
      </w:pPr>
      <w:r>
        <w:rPr>
          <w:rFonts w:hint="eastAsia"/>
        </w:rPr>
        <w:t>可构建风险退出指数（REI）：</w:t>
      </w:r>
    </w:p>
    <w:p w14:paraId="2739AEED">
      <w:pPr>
        <w:ind w:firstLine="480"/>
      </w:pPr>
      <w:r>
        <w:rPr>
          <w:rFonts w:hint="eastAsia"/>
        </w:rPr>
        <w:t>REI=P×S×U</w:t>
      </w:r>
    </w:p>
    <w:p w14:paraId="0A416941">
      <w:pPr>
        <w:ind w:firstLine="480"/>
      </w:pPr>
      <w:r>
        <w:rPr>
          <w:rFonts w:hint="eastAsia"/>
        </w:rPr>
        <w:t>其中P为发生概率，S为影响程度，U为不可控制程度（即企业通过现有技术和管理措施降低风险的能力）。AI伦理风险的特殊性在于：部分风险虽发生概率低，但由于后果严重且难以修复，仍应达到退出标准。</w:t>
      </w:r>
    </w:p>
    <w:p w14:paraId="5967685E">
      <w:pPr>
        <w:ind w:firstLine="480"/>
      </w:pPr>
      <w:r>
        <w:rPr>
          <w:rFonts w:hint="eastAsia"/>
        </w:rPr>
        <w:t>在实际应用中，企业可以分别从三个维度建立指标体系。风险发生概率方面，可以关注模型错误率、异常输出频率、用户投诉数量、伦理测试失败次数等指标；风险影响程度方面，可以关注受影响用户规模、涉及权益类型、监管处罚可能性以及社会影响范围；风险不可控制程度方面，则可以关注模型解释能力、人工干预有效性、技术修复成本以及治理资源投入水平。</w:t>
      </w:r>
    </w:p>
    <w:p w14:paraId="7A3B5A3F">
      <w:pPr>
        <w:ind w:firstLine="480"/>
      </w:pPr>
      <w:r>
        <w:rPr>
          <w:rFonts w:hint="eastAsia"/>
        </w:rPr>
        <w:t>在此基础上建立分级退出机制：</w:t>
      </w:r>
    </w:p>
    <w:p w14:paraId="0905A579">
      <w:pPr>
        <w:ind w:firstLine="0" w:firstLineChars="0"/>
        <w:jc w:val="center"/>
        <w:rPr>
          <w:sz w:val="21"/>
          <w:szCs w:val="21"/>
        </w:rPr>
      </w:pPr>
      <w:r>
        <w:rPr>
          <w:rFonts w:hint="eastAsia"/>
          <w:sz w:val="21"/>
          <w:szCs w:val="21"/>
        </w:rPr>
        <w:t>表5-5风险分级退出机制</w:t>
      </w:r>
    </w:p>
    <w:tbl>
      <w:tblPr>
        <w:tblStyle w:val="190"/>
        <w:tblW w:w="4999"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4249"/>
        <w:gridCol w:w="3309"/>
      </w:tblGrid>
      <w:tr w14:paraId="2D7B5C5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0" w:type="pct"/>
            <w:tcBorders>
              <w:top w:val="single" w:color="000000" w:sz="8" w:space="0"/>
              <w:left w:val="nil"/>
              <w:bottom w:val="single" w:color="000000" w:sz="8" w:space="0"/>
              <w:right w:val="nil"/>
              <w:insideH w:val="single" w:sz="8" w:space="0"/>
              <w:insideV w:val="nil"/>
            </w:tcBorders>
          </w:tcPr>
          <w:p w14:paraId="2BB0A8A0">
            <w:pPr>
              <w:widowControl/>
              <w:spacing w:before="0" w:after="0" w:line="240" w:lineRule="auto"/>
              <w:ind w:firstLine="0" w:firstLineChars="0"/>
              <w:jc w:val="left"/>
              <w:rPr>
                <w:rFonts w:ascii="Cambria" w:hAnsi="Cambria" w:cs="仿宋"/>
                <w:b w:val="0"/>
                <w:bCs w:val="0"/>
                <w:color w:val="000000"/>
                <w:sz w:val="21"/>
                <w:szCs w:val="21"/>
              </w:rPr>
            </w:pPr>
            <w:r>
              <w:rPr>
                <w:rFonts w:hint="eastAsia" w:ascii="Cambria" w:hAnsi="Cambria" w:cs="Times New Roman"/>
                <w:b/>
                <w:bCs/>
                <w:color w:val="000000"/>
                <w:kern w:val="0"/>
                <w:sz w:val="21"/>
                <w:szCs w:val="21"/>
                <w:lang w:bidi="ar"/>
              </w:rPr>
              <w:t>风险等级</w:t>
            </w:r>
          </w:p>
        </w:tc>
        <w:tc>
          <w:tcPr>
            <w:tcW w:w="2287" w:type="pct"/>
            <w:tcBorders>
              <w:top w:val="single" w:color="000000" w:sz="8" w:space="0"/>
              <w:bottom w:val="single" w:color="000000" w:sz="8" w:space="0"/>
              <w:right w:val="nil"/>
              <w:insideH w:val="single" w:sz="8" w:space="0"/>
              <w:insideV w:val="nil"/>
            </w:tcBorders>
          </w:tcPr>
          <w:p w14:paraId="2A2E06BE">
            <w:pPr>
              <w:widowControl/>
              <w:spacing w:before="0" w:after="0" w:line="240" w:lineRule="auto"/>
              <w:ind w:firstLine="0" w:firstLineChars="0"/>
              <w:jc w:val="left"/>
              <w:rPr>
                <w:rFonts w:ascii="Cambria" w:hAnsi="Cambria" w:cs="仿宋"/>
                <w:b w:val="0"/>
                <w:bCs w:val="0"/>
                <w:color w:val="000000"/>
                <w:sz w:val="21"/>
                <w:szCs w:val="21"/>
              </w:rPr>
            </w:pPr>
            <w:r>
              <w:rPr>
                <w:rFonts w:hint="eastAsia" w:ascii="Cambria" w:hAnsi="Cambria" w:cs="Times New Roman"/>
                <w:b/>
                <w:bCs/>
                <w:color w:val="000000"/>
                <w:kern w:val="0"/>
                <w:sz w:val="21"/>
                <w:szCs w:val="21"/>
                <w:lang w:bidi="ar"/>
              </w:rPr>
              <w:t>特征</w:t>
            </w:r>
          </w:p>
        </w:tc>
        <w:tc>
          <w:tcPr>
            <w:tcW w:w="1781" w:type="pct"/>
            <w:tcBorders>
              <w:top w:val="single" w:color="000000" w:sz="8" w:space="0"/>
              <w:bottom w:val="single" w:color="000000" w:sz="8" w:space="0"/>
              <w:right w:val="nil"/>
              <w:insideH w:val="single" w:sz="8" w:space="0"/>
              <w:insideV w:val="nil"/>
            </w:tcBorders>
          </w:tcPr>
          <w:p w14:paraId="3EE67BD2">
            <w:pPr>
              <w:widowControl/>
              <w:spacing w:before="0" w:after="0" w:line="240" w:lineRule="auto"/>
              <w:ind w:firstLine="0" w:firstLineChars="0"/>
              <w:jc w:val="left"/>
              <w:rPr>
                <w:rFonts w:ascii="Cambria" w:hAnsi="Cambria" w:cs="仿宋"/>
                <w:b w:val="0"/>
                <w:bCs w:val="0"/>
                <w:color w:val="000000"/>
                <w:sz w:val="21"/>
                <w:szCs w:val="21"/>
              </w:rPr>
            </w:pPr>
            <w:r>
              <w:rPr>
                <w:rFonts w:hint="eastAsia" w:ascii="Cambria" w:hAnsi="Cambria" w:cs="Times New Roman"/>
                <w:b/>
                <w:bCs/>
                <w:color w:val="000000"/>
                <w:kern w:val="0"/>
                <w:sz w:val="21"/>
                <w:szCs w:val="21"/>
                <w:lang w:bidi="ar"/>
              </w:rPr>
              <w:t>管理要求</w:t>
            </w:r>
          </w:p>
        </w:tc>
      </w:tr>
      <w:tr w14:paraId="1AFB939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0" w:type="pct"/>
          </w:tcPr>
          <w:p w14:paraId="453CD744">
            <w:pPr>
              <w:widowControl/>
              <w:spacing w:line="240" w:lineRule="auto"/>
              <w:ind w:firstLine="0" w:firstLineChars="0"/>
              <w:jc w:val="left"/>
              <w:rPr>
                <w:rFonts w:ascii="Cambria" w:hAnsi="Cambria" w:cs="仿宋"/>
                <w:b w:val="0"/>
                <w:bCs w:val="0"/>
                <w:color w:val="000000"/>
                <w:sz w:val="21"/>
                <w:szCs w:val="21"/>
              </w:rPr>
            </w:pPr>
            <w:r>
              <w:rPr>
                <w:rFonts w:hint="eastAsia" w:ascii="Cambria" w:hAnsi="Cambria" w:cs="Times New Roman"/>
                <w:b/>
                <w:bCs/>
                <w:color w:val="000000"/>
                <w:kern w:val="0"/>
                <w:sz w:val="21"/>
                <w:szCs w:val="21"/>
                <w:lang w:bidi="ar"/>
              </w:rPr>
              <w:t>低风险</w:t>
            </w:r>
          </w:p>
        </w:tc>
        <w:tc>
          <w:tcPr>
            <w:tcW w:w="2287" w:type="pct"/>
          </w:tcPr>
          <w:p w14:paraId="63D06DF6">
            <w:pPr>
              <w:widowControl/>
              <w:spacing w:line="240" w:lineRule="auto"/>
              <w:ind w:firstLine="0" w:firstLineChars="0"/>
              <w:jc w:val="left"/>
              <w:rPr>
                <w:rFonts w:ascii="Cambria" w:hAnsi="Cambria" w:cs="仿宋"/>
                <w:color w:val="000000"/>
                <w:sz w:val="21"/>
                <w:szCs w:val="21"/>
              </w:rPr>
            </w:pPr>
            <w:r>
              <w:rPr>
                <w:rFonts w:hint="eastAsia" w:ascii="Cambria" w:hAnsi="Cambria" w:cs="Times New Roman"/>
                <w:color w:val="000000"/>
                <w:kern w:val="0"/>
                <w:sz w:val="21"/>
                <w:szCs w:val="21"/>
                <w:lang w:bidi="ar"/>
              </w:rPr>
              <w:t>概率低、影响有限</w:t>
            </w:r>
          </w:p>
        </w:tc>
        <w:tc>
          <w:tcPr>
            <w:tcW w:w="1781" w:type="pct"/>
          </w:tcPr>
          <w:p w14:paraId="5E6AA6E8">
            <w:pPr>
              <w:widowControl/>
              <w:spacing w:line="240" w:lineRule="auto"/>
              <w:ind w:firstLine="0" w:firstLineChars="0"/>
              <w:jc w:val="left"/>
              <w:rPr>
                <w:rFonts w:ascii="Cambria" w:hAnsi="Cambria" w:cs="仿宋"/>
                <w:color w:val="000000"/>
                <w:sz w:val="21"/>
                <w:szCs w:val="21"/>
              </w:rPr>
            </w:pPr>
            <w:r>
              <w:rPr>
                <w:rFonts w:hint="eastAsia" w:ascii="Cambria" w:hAnsi="Cambria" w:cs="Times New Roman"/>
                <w:color w:val="000000"/>
                <w:kern w:val="0"/>
                <w:sz w:val="21"/>
                <w:szCs w:val="21"/>
                <w:lang w:bidi="ar"/>
              </w:rPr>
              <w:t>常规监测</w:t>
            </w:r>
          </w:p>
        </w:tc>
      </w:tr>
      <w:tr w14:paraId="1AD4054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0" w:type="pct"/>
          </w:tcPr>
          <w:p w14:paraId="76C8AC5A">
            <w:pPr>
              <w:widowControl/>
              <w:spacing w:line="240" w:lineRule="auto"/>
              <w:ind w:firstLine="0" w:firstLineChars="0"/>
              <w:jc w:val="left"/>
              <w:rPr>
                <w:rFonts w:ascii="Cambria" w:hAnsi="Cambria" w:cs="仿宋"/>
                <w:b w:val="0"/>
                <w:bCs w:val="0"/>
                <w:color w:val="000000"/>
                <w:sz w:val="21"/>
                <w:szCs w:val="21"/>
              </w:rPr>
            </w:pPr>
            <w:r>
              <w:rPr>
                <w:rFonts w:hint="eastAsia" w:ascii="Cambria" w:hAnsi="Cambria" w:cs="Times New Roman"/>
                <w:b/>
                <w:bCs/>
                <w:color w:val="000000"/>
                <w:kern w:val="0"/>
                <w:sz w:val="21"/>
                <w:szCs w:val="21"/>
                <w:lang w:bidi="ar"/>
              </w:rPr>
              <w:t>中风险</w:t>
            </w:r>
          </w:p>
        </w:tc>
        <w:tc>
          <w:tcPr>
            <w:tcW w:w="2287" w:type="pct"/>
          </w:tcPr>
          <w:p w14:paraId="223435FE">
            <w:pPr>
              <w:widowControl/>
              <w:spacing w:line="240" w:lineRule="auto"/>
              <w:ind w:firstLine="0" w:firstLineChars="0"/>
              <w:jc w:val="left"/>
              <w:rPr>
                <w:rFonts w:ascii="Cambria" w:hAnsi="Cambria" w:cs="仿宋"/>
                <w:color w:val="000000"/>
                <w:sz w:val="21"/>
                <w:szCs w:val="21"/>
              </w:rPr>
            </w:pPr>
            <w:r>
              <w:rPr>
                <w:rFonts w:hint="eastAsia" w:ascii="Cambria" w:hAnsi="Cambria" w:cs="Times New Roman"/>
                <w:color w:val="000000"/>
                <w:kern w:val="0"/>
                <w:sz w:val="21"/>
                <w:szCs w:val="21"/>
                <w:lang w:bidi="ar"/>
              </w:rPr>
              <w:t>存在一定伦理影响</w:t>
            </w:r>
          </w:p>
        </w:tc>
        <w:tc>
          <w:tcPr>
            <w:tcW w:w="1781" w:type="pct"/>
          </w:tcPr>
          <w:p w14:paraId="660E93FA">
            <w:pPr>
              <w:widowControl/>
              <w:spacing w:line="240" w:lineRule="auto"/>
              <w:ind w:firstLine="0" w:firstLineChars="0"/>
              <w:jc w:val="left"/>
              <w:rPr>
                <w:rFonts w:ascii="Cambria" w:hAnsi="Cambria" w:cs="仿宋"/>
                <w:color w:val="000000"/>
                <w:sz w:val="21"/>
                <w:szCs w:val="21"/>
              </w:rPr>
            </w:pPr>
            <w:r>
              <w:rPr>
                <w:rFonts w:hint="eastAsia" w:ascii="Cambria" w:hAnsi="Cambria" w:cs="Times New Roman"/>
                <w:color w:val="000000"/>
                <w:kern w:val="0"/>
                <w:sz w:val="21"/>
                <w:szCs w:val="21"/>
                <w:lang w:bidi="ar"/>
              </w:rPr>
              <w:t>加强人工审核、限制模型能力</w:t>
            </w:r>
          </w:p>
        </w:tc>
      </w:tr>
      <w:tr w14:paraId="7816D1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0" w:type="pct"/>
          </w:tcPr>
          <w:p w14:paraId="7A37C264">
            <w:pPr>
              <w:widowControl/>
              <w:spacing w:line="240" w:lineRule="auto"/>
              <w:ind w:firstLine="0" w:firstLineChars="0"/>
              <w:jc w:val="left"/>
              <w:rPr>
                <w:rFonts w:ascii="Cambria" w:hAnsi="Cambria" w:cs="仿宋"/>
                <w:b w:val="0"/>
                <w:bCs w:val="0"/>
                <w:color w:val="000000"/>
                <w:sz w:val="21"/>
                <w:szCs w:val="21"/>
              </w:rPr>
            </w:pPr>
            <w:r>
              <w:rPr>
                <w:rFonts w:hint="eastAsia" w:ascii="Cambria" w:hAnsi="Cambria" w:cs="Times New Roman"/>
                <w:b/>
                <w:bCs/>
                <w:color w:val="000000"/>
                <w:kern w:val="0"/>
                <w:sz w:val="21"/>
                <w:szCs w:val="21"/>
                <w:lang w:bidi="ar"/>
              </w:rPr>
              <w:t>高风险</w:t>
            </w:r>
          </w:p>
        </w:tc>
        <w:tc>
          <w:tcPr>
            <w:tcW w:w="2287" w:type="pct"/>
          </w:tcPr>
          <w:p w14:paraId="47108E8F">
            <w:pPr>
              <w:widowControl/>
              <w:spacing w:line="240" w:lineRule="auto"/>
              <w:ind w:firstLine="0" w:firstLineChars="0"/>
              <w:jc w:val="left"/>
              <w:rPr>
                <w:rFonts w:ascii="Cambria" w:hAnsi="Cambria" w:cs="仿宋"/>
                <w:color w:val="000000"/>
                <w:sz w:val="21"/>
                <w:szCs w:val="21"/>
              </w:rPr>
            </w:pPr>
            <w:r>
              <w:rPr>
                <w:rFonts w:hint="eastAsia" w:ascii="Cambria" w:hAnsi="Cambria" w:cs="Times New Roman"/>
                <w:color w:val="000000"/>
                <w:kern w:val="0"/>
                <w:sz w:val="21"/>
                <w:szCs w:val="21"/>
                <w:lang w:bidi="ar"/>
              </w:rPr>
              <w:t>可能造成较大用户权益或社会影响</w:t>
            </w:r>
          </w:p>
        </w:tc>
        <w:tc>
          <w:tcPr>
            <w:tcW w:w="1781" w:type="pct"/>
          </w:tcPr>
          <w:p w14:paraId="455833B1">
            <w:pPr>
              <w:widowControl/>
              <w:spacing w:line="240" w:lineRule="auto"/>
              <w:ind w:firstLine="0" w:firstLineChars="0"/>
              <w:jc w:val="left"/>
              <w:rPr>
                <w:rFonts w:ascii="Cambria" w:hAnsi="Cambria" w:cs="仿宋"/>
                <w:color w:val="000000"/>
                <w:sz w:val="21"/>
                <w:szCs w:val="21"/>
              </w:rPr>
            </w:pPr>
            <w:r>
              <w:rPr>
                <w:rFonts w:hint="eastAsia" w:ascii="Cambria" w:hAnsi="Cambria" w:cs="Times New Roman"/>
                <w:color w:val="000000"/>
                <w:kern w:val="0"/>
                <w:sz w:val="21"/>
                <w:szCs w:val="21"/>
                <w:lang w:bidi="ar"/>
              </w:rPr>
              <w:t>暂停应用、缩小范围</w:t>
            </w:r>
          </w:p>
        </w:tc>
      </w:tr>
      <w:tr w14:paraId="0D63FD2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0" w:type="pct"/>
          </w:tcPr>
          <w:p w14:paraId="6635860A">
            <w:pPr>
              <w:widowControl/>
              <w:spacing w:line="240" w:lineRule="auto"/>
              <w:ind w:firstLine="0" w:firstLineChars="0"/>
              <w:jc w:val="left"/>
              <w:rPr>
                <w:rFonts w:ascii="Cambria" w:hAnsi="Cambria" w:cs="仿宋"/>
                <w:b w:val="0"/>
                <w:bCs w:val="0"/>
                <w:color w:val="000000"/>
                <w:sz w:val="21"/>
                <w:szCs w:val="21"/>
              </w:rPr>
            </w:pPr>
            <w:r>
              <w:rPr>
                <w:rFonts w:hint="eastAsia" w:ascii="Cambria" w:hAnsi="Cambria" w:cs="Times New Roman"/>
                <w:b/>
                <w:bCs/>
                <w:color w:val="000000"/>
                <w:kern w:val="0"/>
                <w:sz w:val="21"/>
                <w:szCs w:val="21"/>
                <w:lang w:bidi="ar"/>
              </w:rPr>
              <w:t>不可接受风险</w:t>
            </w:r>
          </w:p>
        </w:tc>
        <w:tc>
          <w:tcPr>
            <w:tcW w:w="2287" w:type="pct"/>
          </w:tcPr>
          <w:p w14:paraId="7044FB58">
            <w:pPr>
              <w:widowControl/>
              <w:spacing w:line="240" w:lineRule="auto"/>
              <w:ind w:firstLine="0" w:firstLineChars="0"/>
              <w:jc w:val="left"/>
              <w:rPr>
                <w:rFonts w:ascii="Cambria" w:hAnsi="Cambria" w:cs="仿宋"/>
                <w:color w:val="000000"/>
                <w:sz w:val="21"/>
                <w:szCs w:val="21"/>
              </w:rPr>
            </w:pPr>
            <w:r>
              <w:rPr>
                <w:rFonts w:hint="eastAsia" w:ascii="Cambria" w:hAnsi="Cambria" w:cs="Times New Roman"/>
                <w:color w:val="000000"/>
                <w:kern w:val="0"/>
                <w:sz w:val="21"/>
                <w:szCs w:val="21"/>
                <w:lang w:bidi="ar"/>
              </w:rPr>
              <w:t>严重社会影响、不可逆损害</w:t>
            </w:r>
          </w:p>
        </w:tc>
        <w:tc>
          <w:tcPr>
            <w:tcW w:w="1781" w:type="pct"/>
          </w:tcPr>
          <w:p w14:paraId="0133F21F">
            <w:pPr>
              <w:widowControl/>
              <w:spacing w:line="240" w:lineRule="auto"/>
              <w:ind w:firstLine="0" w:firstLineChars="0"/>
              <w:jc w:val="left"/>
              <w:rPr>
                <w:rFonts w:ascii="Cambria" w:hAnsi="Cambria" w:cs="仿宋"/>
                <w:color w:val="000000"/>
                <w:sz w:val="21"/>
                <w:szCs w:val="21"/>
              </w:rPr>
            </w:pPr>
            <w:r>
              <w:rPr>
                <w:rFonts w:hint="eastAsia" w:ascii="Cambria" w:hAnsi="Cambria" w:cs="Times New Roman"/>
                <w:color w:val="000000"/>
                <w:kern w:val="0"/>
                <w:sz w:val="21"/>
                <w:szCs w:val="21"/>
                <w:lang w:bidi="ar"/>
              </w:rPr>
              <w:t>完全退出</w:t>
            </w:r>
          </w:p>
        </w:tc>
      </w:tr>
    </w:tbl>
    <w:p w14:paraId="4D14E133">
      <w:pPr>
        <w:ind w:firstLine="480"/>
      </w:pPr>
      <w:r>
        <w:rPr>
          <w:rFonts w:hint="eastAsia"/>
        </w:rPr>
        <w:t>这种分级退出机制能够避免企业陷入两个极端：一方面避免因风险控制不足导致严重伦理事件，另一方面避免因过度保守而阻碍AI创新应用。</w:t>
      </w:r>
    </w:p>
    <w:p w14:paraId="422FD115">
      <w:pPr>
        <w:pStyle w:val="4"/>
        <w:ind w:firstLine="571"/>
        <w:rPr>
          <w:rFonts w:hint="default" w:eastAsia="宋体"/>
          <w:lang w:val="en-US" w:eastAsia="zh-CN"/>
        </w:rPr>
      </w:pPr>
      <w:bookmarkStart w:id="56" w:name="_Toc239454602"/>
      <w:bookmarkStart w:id="57" w:name="_Toc239446420"/>
      <w:bookmarkStart w:id="58" w:name="_Toc7771"/>
      <w:r>
        <w:t>（六）</w:t>
      </w:r>
      <w:bookmarkEnd w:id="56"/>
      <w:bookmarkEnd w:id="57"/>
      <w:r>
        <w:rPr>
          <w:rFonts w:hint="eastAsia"/>
          <w:lang w:val="en-US" w:eastAsia="zh-CN"/>
        </w:rPr>
        <w:t>保险转移：以确定的财务成本转嫁不确定的风险</w:t>
      </w:r>
      <w:bookmarkEnd w:id="58"/>
    </w:p>
    <w:p w14:paraId="4691148A">
      <w:pPr>
        <w:ind w:firstLine="480"/>
      </w:pPr>
      <w:r>
        <w:t>科创企业</w:t>
      </w:r>
      <w:r>
        <w:rPr>
          <w:rFonts w:hint="eastAsia"/>
          <w:lang w:val="en-US" w:eastAsia="zh-CN"/>
        </w:rPr>
        <w:t>还可以用</w:t>
      </w:r>
      <w:r>
        <w:t>保险</w:t>
      </w:r>
      <w:r>
        <w:rPr>
          <w:rFonts w:hint="eastAsia"/>
          <w:lang w:val="en-US" w:eastAsia="zh-CN"/>
        </w:rPr>
        <w:t>手段</w:t>
      </w:r>
      <w:r>
        <w:t>为低频高损或波动性较强的风险提供损失融资。</w:t>
      </w:r>
      <w:r>
        <w:rPr>
          <w:rFonts w:hint="eastAsia"/>
        </w:rPr>
        <w:t>本项目</w:t>
      </w:r>
      <w:r>
        <w:rPr>
          <w:rFonts w:hint="eastAsia"/>
          <w:lang w:val="en-US" w:eastAsia="zh-CN"/>
        </w:rPr>
        <w:t>自主设计一款保险“科创安澜”AI伦理保险（以下简称“本保险）”，本保险</w:t>
      </w:r>
      <w:r>
        <w:t>的</w:t>
      </w:r>
      <w:r>
        <w:rPr>
          <w:rFonts w:hint="eastAsia"/>
        </w:rPr>
        <w:t>设计遵循</w:t>
      </w:r>
      <w:r>
        <w:t>治理先行、保险兜底、数据反哺</w:t>
      </w:r>
      <w:r>
        <w:rPr>
          <w:rFonts w:hint="eastAsia"/>
        </w:rPr>
        <w:t>的逻辑</w:t>
      </w:r>
      <w:r>
        <w:t>。</w:t>
      </w:r>
    </w:p>
    <w:p w14:paraId="5838997E">
      <w:pPr>
        <w:pStyle w:val="5"/>
        <w:keepNext/>
        <w:keepLines/>
        <w:pageBreakBefore w:val="0"/>
        <w:widowControl w:val="0"/>
        <w:numPr>
          <w:ilvl w:val="0"/>
          <w:numId w:val="16"/>
        </w:numPr>
        <w:kinsoku/>
        <w:wordWrap/>
        <w:overflowPunct/>
        <w:topLinePunct w:val="0"/>
        <w:autoSpaceDE/>
        <w:autoSpaceDN/>
        <w:bidi w:val="0"/>
        <w:adjustRightInd/>
        <w:snapToGrid/>
        <w:ind w:left="0" w:firstLine="482" w:firstLineChars="200"/>
        <w:textAlignment w:val="auto"/>
      </w:pPr>
      <w:bookmarkStart w:id="59" w:name="_Toc239446421"/>
      <w:bookmarkStart w:id="60" w:name="_Toc239454603"/>
      <w:r>
        <w:t>可保性</w:t>
      </w:r>
      <w:bookmarkEnd w:id="59"/>
      <w:r>
        <w:rPr>
          <w:rFonts w:hint="eastAsia"/>
        </w:rPr>
        <w:t>与</w:t>
      </w:r>
      <w:r>
        <w:t>产品定位</w:t>
      </w:r>
      <w:bookmarkEnd w:id="60"/>
    </w:p>
    <w:p w14:paraId="553C7E89">
      <w:pPr>
        <w:ind w:firstLine="480"/>
      </w:pPr>
      <w:r>
        <w:rPr>
          <w:rFonts w:hint="eastAsia"/>
        </w:rPr>
        <w:t>AI伦理风险首先表现为隐私、公平、自主、权责、社会影响及生态影响等价值风险，尚不足以直接构成保险事故。保险合同所处理的是具有明确发生条件、因果关系和经济后果的风险事件，因此，AI伦理风险进入保险需要完成“伦理风险—技术或治理缺陷—可验证事件—现实损害—经济损失”的转换。只有当伦理偏差能够进一步落实为特定AI系统在特定版本、用途和运行场景下发生的技术或治理缺陷，并能够通过系统日志、版本记录、业务凭证、第三方请求、监管或司法材料等证据确认事故、损害及损失金额时，相关风险才具有进入保险的基础。</w:t>
      </w:r>
    </w:p>
    <w:p w14:paraId="3B2BD40C">
      <w:pPr>
        <w:ind w:firstLine="480"/>
      </w:pPr>
      <w:r>
        <w:rPr>
          <w:rFonts w:hint="eastAsia"/>
        </w:rPr>
        <w:t>对科创企业而言，AI系统迭代速度快，企业资本缓冲能力相对有限，同时又普遍依赖基础模型、云服务、数据供应商和开源组件。即使企业已经实施数据治理、模型测试、人工复核和异常监测，仍可能因模型黑箱、数据偏差、供应商依赖和技术快速迭代而保留剩余风险，因此具有通过保险进行损失融资的现实需求。保险的作用</w:t>
      </w:r>
      <w:r>
        <w:rPr>
          <w:rFonts w:hint="eastAsia"/>
          <w:lang w:eastAsia="zh-CN"/>
        </w:rPr>
        <w:t>在</w:t>
      </w:r>
      <w:r>
        <w:rPr>
          <w:rFonts w:hint="eastAsia"/>
        </w:rPr>
        <w:t>于将不确定的大额损失转化为相对稳定的保险成本，并在事故发生后提供专业处置和责任抗辩支持。</w:t>
      </w:r>
    </w:p>
    <w:p w14:paraId="37E0EEA2">
      <w:pPr>
        <w:ind w:firstLine="480"/>
      </w:pPr>
      <w:r>
        <w:t xml:space="preserve"> 据此</w:t>
      </w:r>
      <w:r>
        <w:rPr>
          <w:rFonts w:hint="eastAsia"/>
          <w:lang w:eastAsia="zh-CN"/>
        </w:rPr>
        <w:t>，</w:t>
      </w:r>
      <w:r>
        <w:rPr>
          <w:rFonts w:hint="eastAsia"/>
          <w:lang w:val="en-US" w:eastAsia="zh-CN"/>
        </w:rPr>
        <w:t>本保险</w:t>
      </w:r>
      <w:r>
        <w:t>定位为一年期、模块化的科技责任与费用保障组合，主要面向开发、提供、部署或运营AI系统的科创企业。保险标的</w:t>
      </w:r>
      <w:r>
        <w:rPr>
          <w:rFonts w:hint="eastAsia"/>
        </w:rPr>
        <w:t>约定为</w:t>
      </w:r>
      <w:r>
        <w:t>保单逐项列明的AI系统</w:t>
      </w:r>
      <w:r>
        <w:rPr>
          <w:rFonts w:hint="eastAsia"/>
        </w:rPr>
        <w:t>，包括模型版本、用途、自动化程度、关键第三方依赖等信息；针对本研究重点考察的个性化算法、机器视觉、自动驾驶和服务机器人</w:t>
      </w:r>
      <w:r>
        <w:rPr>
          <w:rFonts w:hint="eastAsia"/>
          <w:lang w:val="en-US" w:eastAsia="zh-CN"/>
        </w:rPr>
        <w:t>四个重点领域</w:t>
      </w:r>
      <w:r>
        <w:rPr>
          <w:rFonts w:hint="eastAsia"/>
        </w:rPr>
        <w:t>，可以结合不同应用场景配置附加责任。</w:t>
      </w:r>
    </w:p>
    <w:p w14:paraId="090827F9">
      <w:pPr>
        <w:ind w:firstLine="480"/>
        <w:rPr>
          <w:rFonts w:hint="eastAsia"/>
        </w:rPr>
      </w:pPr>
      <w:r>
        <w:rPr>
          <w:rFonts w:hint="eastAsia"/>
          <w:lang w:val="en-US" w:eastAsia="zh-CN"/>
        </w:rPr>
        <w:t>核保时</w:t>
      </w:r>
      <w:r>
        <w:rPr>
          <w:rFonts w:hint="eastAsia"/>
        </w:rPr>
        <w:t>进入保险的风险</w:t>
      </w:r>
      <w:r>
        <w:t>以偶然性、可验证性、可计量性和责任可归属为前提。</w:t>
      </w:r>
      <w:r>
        <w:rPr>
          <w:rFonts w:hint="eastAsia"/>
        </w:rPr>
        <w:t>投保前已经知悉且未如实披露的缺陷，故意违法或者主动放任损害发生，纯粹的技术路线失败、市场竞争失利以及无法通过客观证据验证的声誉下降，不属于承保范围。</w:t>
      </w:r>
      <w:r>
        <w:t>对资料不足但后果可能重大的事项，应通过补证、限额、免赔、等待期、风险改善条件或暂缓承保</w:t>
      </w:r>
      <w:r>
        <w:rPr>
          <w:rFonts w:hint="eastAsia"/>
        </w:rPr>
        <w:t>加以处理，</w:t>
      </w:r>
      <w:r>
        <w:t>控制逆向选择和道德风险。</w:t>
      </w:r>
    </w:p>
    <w:p w14:paraId="2A9F1336">
      <w:pPr>
        <w:pStyle w:val="5"/>
        <w:keepNext/>
        <w:keepLines/>
        <w:pageBreakBefore w:val="0"/>
        <w:widowControl w:val="0"/>
        <w:numPr>
          <w:ilvl w:val="0"/>
          <w:numId w:val="17"/>
        </w:numPr>
        <w:kinsoku/>
        <w:wordWrap/>
        <w:overflowPunct/>
        <w:topLinePunct w:val="0"/>
        <w:autoSpaceDE/>
        <w:autoSpaceDN/>
        <w:bidi w:val="0"/>
        <w:adjustRightInd/>
        <w:snapToGrid/>
        <w:ind w:left="-2" w:leftChars="0" w:firstLine="482" w:firstLineChars="0"/>
        <w:textAlignment w:val="auto"/>
      </w:pPr>
      <w:bookmarkStart w:id="61" w:name="_Toc239446422"/>
      <w:bookmarkStart w:id="62" w:name="_Toc239454604"/>
      <w:r>
        <w:t>保障结构与</w:t>
      </w:r>
      <w:bookmarkEnd w:id="61"/>
      <w:bookmarkEnd w:id="62"/>
      <w:r>
        <w:rPr>
          <w:rFonts w:hint="eastAsia"/>
        </w:rPr>
        <w:t>核保理赔机制</w:t>
      </w:r>
    </w:p>
    <w:p w14:paraId="40900441">
      <w:pPr>
        <w:bidi w:val="0"/>
        <w:rPr>
          <w:rFonts w:hint="default"/>
        </w:rPr>
      </w:pPr>
      <w:r>
        <w:rPr>
          <w:rFonts w:hint="eastAsia"/>
          <w:lang w:val="en-US" w:eastAsia="zh-CN"/>
        </w:rPr>
        <w:t>本保险的</w:t>
      </w:r>
      <w:r>
        <w:rPr>
          <w:rFonts w:hint="default"/>
        </w:rPr>
        <w:t>必选保险责任为三项核心保障</w:t>
      </w:r>
      <w:r>
        <w:rPr>
          <w:rFonts w:hint="eastAsia"/>
          <w:lang w:eastAsia="zh-CN"/>
        </w:rPr>
        <w:t>。</w:t>
      </w:r>
      <w:r>
        <w:rPr>
          <w:rFonts w:hint="eastAsia"/>
          <w:lang w:val="en-US" w:eastAsia="zh-CN"/>
        </w:rPr>
        <w:t>第一是</w:t>
      </w:r>
      <w:r>
        <w:rPr>
          <w:rFonts w:hint="default"/>
        </w:rPr>
        <w:t>事件处置费用</w:t>
      </w:r>
      <w:r>
        <w:rPr>
          <w:rFonts w:hint="eastAsia"/>
          <w:lang w:eastAsia="zh-CN"/>
        </w:rPr>
        <w:t>，</w:t>
      </w:r>
      <w:r>
        <w:rPr>
          <w:rFonts w:hint="eastAsia"/>
          <w:lang w:val="en-US" w:eastAsia="zh-CN"/>
        </w:rPr>
        <w:t>承保</w:t>
      </w:r>
      <w:r>
        <w:rPr>
          <w:rFonts w:hint="default"/>
        </w:rPr>
        <w:t>列明AI系统发生保险责任范围内的伦理风险事件时，经保险人同意，为查明原因、控制影响、防止或减少损害而发生的合理必要费用。</w:t>
      </w:r>
      <w:r>
        <w:rPr>
          <w:rFonts w:hint="eastAsia"/>
          <w:lang w:val="en-US" w:eastAsia="zh-CN"/>
        </w:rPr>
        <w:t>第二是</w:t>
      </w:r>
      <w:r>
        <w:rPr>
          <w:rFonts w:hint="default"/>
        </w:rPr>
        <w:t>第三方赔偿责任与抗辩费用</w:t>
      </w:r>
      <w:r>
        <w:rPr>
          <w:rFonts w:hint="eastAsia"/>
          <w:lang w:eastAsia="zh-CN"/>
        </w:rPr>
        <w:t>，</w:t>
      </w:r>
      <w:r>
        <w:rPr>
          <w:rFonts w:hint="eastAsia"/>
          <w:lang w:val="en-US" w:eastAsia="zh-CN"/>
        </w:rPr>
        <w:t>承保</w:t>
      </w:r>
      <w:r>
        <w:rPr>
          <w:rFonts w:hint="default"/>
        </w:rPr>
        <w:t>因列明AI系统造成第三方人身伤害、财产损失或权益损害，被保险人依法应承担的赔偿责任，以及经保险人同意的抗辩、诉讼、仲裁等法律费用。</w:t>
      </w:r>
      <w:r>
        <w:rPr>
          <w:rFonts w:hint="eastAsia"/>
          <w:lang w:val="en-US" w:eastAsia="zh-CN"/>
        </w:rPr>
        <w:t>第三是</w:t>
      </w:r>
      <w:r>
        <w:rPr>
          <w:rFonts w:hint="default"/>
        </w:rPr>
        <w:t>系统恢复费用</w:t>
      </w:r>
      <w:r>
        <w:rPr>
          <w:rFonts w:hint="eastAsia"/>
          <w:lang w:eastAsia="zh-CN"/>
        </w:rPr>
        <w:t>，</w:t>
      </w:r>
      <w:r>
        <w:rPr>
          <w:rFonts w:hint="eastAsia"/>
          <w:lang w:val="en-US" w:eastAsia="zh-CN"/>
        </w:rPr>
        <w:t>承保</w:t>
      </w:r>
      <w:r>
        <w:rPr>
          <w:rFonts w:hint="default"/>
        </w:rPr>
        <w:t>因保险事故导致列明AI系统数据、模型或配置损坏，为恢复至事故发生前可用状态而发生的合理必要费用。</w:t>
      </w:r>
    </w:p>
    <w:p w14:paraId="7D0CFE85">
      <w:pPr>
        <w:bidi w:val="0"/>
      </w:pPr>
      <w:r>
        <w:rPr>
          <w:rFonts w:hint="eastAsia"/>
          <w:lang w:val="en-US" w:eastAsia="zh-CN"/>
        </w:rPr>
        <w:t>本保险的</w:t>
      </w:r>
      <w:r>
        <w:rPr>
          <w:rFonts w:hint="default"/>
        </w:rPr>
        <w:t>可选保险责任</w:t>
      </w:r>
      <w:r>
        <w:rPr>
          <w:rFonts w:hint="eastAsia"/>
          <w:lang w:val="en-US" w:eastAsia="zh-CN"/>
        </w:rPr>
        <w:t>也可以分为三类。第一类是</w:t>
      </w:r>
      <w:r>
        <w:rPr>
          <w:rFonts w:hint="default"/>
        </w:rPr>
        <w:t>营业中断附加责任</w:t>
      </w:r>
      <w:r>
        <w:rPr>
          <w:rFonts w:hint="eastAsia"/>
          <w:lang w:eastAsia="zh-CN"/>
        </w:rPr>
        <w:t>，</w:t>
      </w:r>
      <w:r>
        <w:rPr>
          <w:rFonts w:hint="eastAsia"/>
          <w:lang w:val="en-US" w:eastAsia="zh-CN"/>
        </w:rPr>
        <w:t>承保</w:t>
      </w:r>
      <w:r>
        <w:rPr>
          <w:rFonts w:hint="default"/>
        </w:rPr>
        <w:t>列明AI系统因保险事故连续中断超过约定等待期，对赔偿期间内减少的承保毛利润和继续发生的必要固定费用负责赔偿。</w:t>
      </w:r>
      <w:r>
        <w:rPr>
          <w:rFonts w:hint="eastAsia"/>
          <w:lang w:val="en-US" w:eastAsia="zh-CN"/>
        </w:rPr>
        <w:t>第二类是</w:t>
      </w:r>
      <w:r>
        <w:rPr>
          <w:rFonts w:hint="default"/>
        </w:rPr>
        <w:t>参数化应急预付</w:t>
      </w:r>
      <w:r>
        <w:rPr>
          <w:rFonts w:hint="eastAsia"/>
          <w:lang w:eastAsia="zh-CN"/>
        </w:rPr>
        <w:t>，</w:t>
      </w:r>
      <w:r>
        <w:rPr>
          <w:rFonts w:hint="default"/>
        </w:rPr>
        <w:t>以系统连续不可用时间或异常输出率等客观指标为依据，达到约定阈值即触发小额预付，预付金额从最终赔款中扣除。</w:t>
      </w:r>
      <w:r>
        <w:rPr>
          <w:rFonts w:hint="eastAsia"/>
          <w:lang w:val="en-US" w:eastAsia="zh-CN"/>
        </w:rPr>
        <w:t>第三类是</w:t>
      </w:r>
      <w:r>
        <w:rPr>
          <w:rFonts w:hint="default"/>
        </w:rPr>
        <w:t>四项场景附加条款：针对个性化算法、机器视觉、自动驾驶、服务机器人四个应用领域，分别在基本责任基础上扩展承保各场景特有的损害类型和处置费用，需根据企业实际应用领域单独选择投保。</w:t>
      </w:r>
      <w:r>
        <w:commentReference w:id="2"/>
      </w:r>
    </w:p>
    <w:p w14:paraId="01092C1B">
      <w:pPr>
        <w:ind w:firstLine="480"/>
        <w:rPr>
          <w:rFonts w:hint="eastAsia"/>
        </w:rPr>
      </w:pPr>
      <w:r>
        <w:rPr>
          <w:rFonts w:hint="eastAsia"/>
        </w:rPr>
        <w:t>特定场景可以约定小额参数化应急预付，例如列明系统连续不可用或者异常输出率超过约定阈值，并由独立日志或第三方证据确认，但该预付不是最终定损结果，应在最终赔款中扣除。罚款、罚金、惩罚性赔偿和依法不得承保的责任不作笼统承保承诺；与网络安全险、科技责任险、产品责任险或机动车保险重叠的损失，应按照其他保险条款确定赔偿顺序和分摊方式。</w:t>
      </w:r>
    </w:p>
    <w:p w14:paraId="5E8889AB">
      <w:pPr>
        <w:ind w:firstLine="480"/>
      </w:pPr>
      <w:r>
        <w:rPr>
          <w:rFonts w:hint="eastAsia"/>
        </w:rPr>
        <w:t>理赔环节应记录事故类型、系统版本、根本原因、受影响主体、处置费用、第三方赔款、恢复时间和证据质量，并与投保时的</w:t>
      </w:r>
      <w:r>
        <w:rPr>
          <w:rFonts w:hint="eastAsia"/>
          <w:lang w:val="en-US" w:eastAsia="zh-CN"/>
        </w:rPr>
        <w:t>AI伦理风险</w:t>
      </w:r>
      <w:r>
        <w:rPr>
          <w:rFonts w:hint="eastAsia"/>
        </w:rPr>
        <w:t>ERS风险卡及风险改善条件进行对照，从而形成“风险识别—核保—承保—理赔—模型校准”的闭环。</w:t>
      </w:r>
    </w:p>
    <w:p w14:paraId="6DA8120A">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pPr>
      <w:bookmarkStart w:id="63" w:name="_Toc239454605"/>
      <w:r>
        <w:rPr>
          <w:rFonts w:hint="eastAsia" w:cstheme="majorBidi"/>
          <w:b/>
          <w:color w:val="000000" w:themeColor="text1"/>
          <w:kern w:val="2"/>
          <w:sz w:val="24"/>
          <w:szCs w:val="32"/>
          <w:lang w:val="en-US" w:eastAsia="zh-CN" w:bidi="ar-SA"/>
          <w14:textFill>
            <w14:solidFill>
              <w14:schemeClr w14:val="tx1"/>
            </w14:solidFill>
          </w14:textFill>
        </w:rPr>
        <w:t>3</w:t>
      </w: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w:t>
      </w:r>
      <w:r>
        <w:rPr>
          <w:rFonts w:hint="eastAsia" w:eastAsia="Heiti SC"/>
        </w:rPr>
        <w:t>示范性定价</w:t>
      </w:r>
      <w:bookmarkEnd w:id="63"/>
    </w:p>
    <w:p w14:paraId="6DBC7042">
      <w:pPr>
        <w:ind w:firstLine="480"/>
      </w:pPr>
      <w:r>
        <w:rPr>
          <w:rFonts w:hint="eastAsia"/>
        </w:rPr>
        <w:t>我国尚缺乏AI伦理风险的连续赔案数据，本文现阶段借助网络保险等责任形态较为接近的外部经验，建立一个能够随着本地数据积累而逐步校准的示范性定价框架。</w:t>
      </w:r>
      <w:r>
        <w:rPr>
          <w:vertAlign w:val="superscript"/>
        </w:rPr>
        <w:footnoteReference w:id="34"/>
      </w:r>
    </w:p>
    <w:p w14:paraId="2C60139C">
      <w:pPr>
        <w:ind w:firstLine="480"/>
      </w:pPr>
      <w:r>
        <w:rPr>
          <w:rFonts w:hint="eastAsia"/>
        </w:rPr>
        <w:t>首先，以索赔频率和平均损失程度估计外部经验条件下的年度预期赔款：</w:t>
      </w:r>
    </w:p>
    <w:p w14:paraId="00526D1F">
      <w:pPr>
        <w:widowControl/>
        <w:ind w:firstLine="480"/>
        <w:jc w:val="center"/>
        <w:rPr>
          <w:rFonts w:cs="Times New Roman"/>
          <w:color w:val="000000" w:themeColor="text1"/>
          <w:szCs w:val="24"/>
          <w14:textFill>
            <w14:solidFill>
              <w14:schemeClr w14:val="tx1"/>
            </w14:solidFill>
          </w14:textFill>
        </w:rPr>
      </w:pPr>
      <m:oMathPara>
        <m:oMath>
          <m:sSub>
            <m:sSubPr>
              <m:ctrlPr>
                <w:rPr>
                  <w:rFonts w:ascii="Cambria Math" w:hAnsi="Cambria Math" w:cs="Times New Roman"/>
                  <w:i/>
                  <w:color w:val="000000" w:themeColor="text1"/>
                  <w:szCs w:val="24"/>
                  <w14:textFill>
                    <w14:solidFill>
                      <w14:schemeClr w14:val="tx1"/>
                    </w14:solidFill>
                  </w14:textFill>
                </w:rPr>
              </m:ctrlPr>
            </m:sSubPr>
            <m:e>
              <m:r>
                <m:rPr/>
                <w:rPr>
                  <w:rFonts w:ascii="Cambria Math" w:hAnsi="Cambria Math" w:cs="Times New Roman"/>
                  <w:color w:val="000000" w:themeColor="text1"/>
                  <w:szCs w:val="24"/>
                  <w14:textFill>
                    <w14:solidFill>
                      <w14:schemeClr w14:val="tx1"/>
                    </w14:solidFill>
                  </w14:textFill>
                </w:rPr>
                <m:t>EL</m:t>
              </m:r>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0</m:t>
              </m:r>
              <m:ctrlPr>
                <w:rPr>
                  <w:rFonts w:ascii="Cambria Math" w:hAnsi="Cambria Math" w:cs="Times New Roman"/>
                  <w:i/>
                  <w:color w:val="000000" w:themeColor="text1"/>
                  <w:szCs w:val="24"/>
                  <w14:textFill>
                    <w14:solidFill>
                      <w14:schemeClr w14:val="tx1"/>
                    </w14:solidFill>
                  </w14:textFill>
                </w:rPr>
              </m:ctrlPr>
            </m:sub>
          </m:sSub>
          <m:r>
            <m:rPr/>
            <w:rPr>
              <w:rFonts w:ascii="Cambria Math" w:hAnsi="Cambria Math" w:cs="Times New Roman"/>
              <w:color w:val="000000" w:themeColor="text1"/>
              <w:szCs w:val="24"/>
              <w14:textFill>
                <w14:solidFill>
                  <w14:schemeClr w14:val="tx1"/>
                </w14:solidFill>
              </w14:textFill>
            </w:rPr>
            <m:t>=λ×</m:t>
          </m:r>
          <m:r>
            <m:rPr/>
            <w:rPr>
              <w:rFonts w:hint="eastAsia" w:ascii="Cambria Math" w:hAnsi="Cambria Math" w:cs="Times New Roman"/>
              <w:color w:val="000000" w:themeColor="text1"/>
              <w:szCs w:val="24"/>
              <w14:textFill>
                <w14:solidFill>
                  <w14:schemeClr w14:val="tx1"/>
                </w14:solidFill>
              </w14:textFill>
            </w:rPr>
            <m:t>E</m:t>
          </m:r>
          <m:r>
            <m:rPr/>
            <w:rPr>
              <w:rFonts w:ascii="Cambria Math" w:hAnsi="Cambria Math" w:cs="Times New Roman"/>
              <w:color w:val="000000" w:themeColor="text1"/>
              <w:szCs w:val="24"/>
              <w14:textFill>
                <w14:solidFill>
                  <w14:schemeClr w14:val="tx1"/>
                </w14:solidFill>
              </w14:textFill>
            </w:rPr>
            <m:t>(S)</m:t>
          </m:r>
        </m:oMath>
      </m:oMathPara>
    </w:p>
    <w:p w14:paraId="6D739231">
      <w:pPr>
        <w:widowControl/>
        <w:ind w:firstLine="48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其中，</w:t>
      </w:r>
      <m:oMath>
        <m:r>
          <m:rPr/>
          <w:rPr>
            <w:rFonts w:ascii="Cambria Math" w:hAnsi="Cambria Math" w:cs="Times New Roman"/>
            <w:color w:val="000000" w:themeColor="text1"/>
            <w:szCs w:val="24"/>
            <w14:textFill>
              <w14:solidFill>
                <w14:schemeClr w14:val="tx1"/>
              </w14:solidFill>
            </w14:textFill>
          </w:rPr>
          <m:t>λ</m:t>
        </m:r>
      </m:oMath>
      <w:r>
        <w:rPr>
          <w:rFonts w:cs="Times New Roman"/>
          <w:color w:val="000000" w:themeColor="text1"/>
          <w:szCs w:val="24"/>
          <w14:textFill>
            <w14:solidFill>
              <w14:schemeClr w14:val="tx1"/>
            </w14:solidFill>
          </w14:textFill>
        </w:rPr>
        <w:t>表示一年内达到保险责任标准并形成保险赔款的总体频率</w:t>
      </w:r>
      <w:r>
        <w:rPr>
          <w:rFonts w:hint="eastAsia" w:cs="Times New Roman"/>
          <w:color w:val="000000" w:themeColor="text1"/>
          <w:szCs w:val="24"/>
          <w14:textFill>
            <w14:solidFill>
              <w14:schemeClr w14:val="tx1"/>
            </w14:solidFill>
          </w14:textFill>
        </w:rPr>
        <w:t>；</w:t>
      </w:r>
      <m:oMath>
        <m:r>
          <m:rPr/>
          <w:rPr>
            <w:rFonts w:hint="eastAsia" w:ascii="Cambria Math" w:hAnsi="Cambria Math" w:cs="Times New Roman"/>
            <w:color w:val="000000" w:themeColor="text1"/>
            <w:szCs w:val="24"/>
            <w14:textFill>
              <w14:solidFill>
                <w14:schemeClr w14:val="tx1"/>
              </w14:solidFill>
            </w14:textFill>
          </w:rPr>
          <m:t>E</m:t>
        </m:r>
        <m:r>
          <m:rPr/>
          <w:rPr>
            <w:rFonts w:ascii="Cambria Math" w:hAnsi="Cambria Math" w:cs="Times New Roman"/>
            <w:color w:val="000000" w:themeColor="text1"/>
            <w:szCs w:val="24"/>
            <w14:textFill>
              <w14:solidFill>
                <w14:schemeClr w14:val="tx1"/>
              </w14:solidFill>
            </w14:textFill>
          </w:rPr>
          <m:t>(S</m:t>
        </m:r>
        <m:r>
          <m:rPr/>
          <w:rPr>
            <w:rFonts w:hint="default" w:ascii="Cambria Math" w:hAnsi="Cambria Math" w:cs="Times New Roman"/>
            <w:color w:val="000000" w:themeColor="text1"/>
            <w:szCs w:val="24"/>
            <w:lang w:eastAsia="zh-CN"/>
            <w14:textFill>
              <w14:solidFill>
                <w14:schemeClr w14:val="tx1"/>
              </w14:solidFill>
            </w14:textFill>
          </w:rPr>
          <m:t>）</m:t>
        </m:r>
      </m:oMath>
      <w:r>
        <w:rPr>
          <w:rFonts w:hint="eastAsia" w:cs="Times New Roman"/>
          <w:color w:val="000000" w:themeColor="text1"/>
          <w:szCs w:val="24"/>
          <w14:textFill>
            <w14:solidFill>
              <w14:schemeClr w14:val="tx1"/>
            </w14:solidFill>
          </w14:textFill>
        </w:rPr>
        <w:t>表示</w:t>
      </w:r>
      <w:r>
        <w:rPr>
          <w:rFonts w:cs="Times New Roman"/>
          <w:color w:val="000000" w:themeColor="text1"/>
          <w:szCs w:val="24"/>
          <w14:textFill>
            <w14:solidFill>
              <w14:schemeClr w14:val="tx1"/>
            </w14:solidFill>
          </w14:textFill>
        </w:rPr>
        <w:t>事故发生后可能出现的</w:t>
      </w:r>
      <w:r>
        <w:rPr>
          <w:rFonts w:hint="eastAsia" w:cs="Times New Roman"/>
          <w:color w:val="000000" w:themeColor="text1"/>
          <w:szCs w:val="24"/>
          <w14:textFill>
            <w14:solidFill>
              <w14:schemeClr w14:val="tx1"/>
            </w14:solidFill>
          </w14:textFill>
        </w:rPr>
        <w:t>平均费用/</w:t>
      </w:r>
      <w:r>
        <w:rPr>
          <w:rFonts w:cs="Times New Roman"/>
          <w:color w:val="000000" w:themeColor="text1"/>
          <w:szCs w:val="24"/>
          <w14:textFill>
            <w14:solidFill>
              <w14:schemeClr w14:val="tx1"/>
            </w14:solidFill>
          </w14:textFill>
        </w:rPr>
        <w:t>损失。</w:t>
      </w:r>
    </w:p>
    <w:p w14:paraId="7A34DE63">
      <w:pPr>
        <w:ind w:firstLine="480"/>
      </w:pPr>
      <w:r>
        <w:rPr>
          <w:rFonts w:hint="eastAsia"/>
        </w:rPr>
        <w:t>基准情景以</w:t>
      </w:r>
      <w:r>
        <w:t>2024年美国网络保险平均索赔频率</w:t>
      </w:r>
      <w:r>
        <w:rPr>
          <w:rFonts w:hint="eastAsia"/>
        </w:rPr>
        <w:t>1.1%作为外部相近险种的频率锚点；平均损失则考虑</w:t>
      </w:r>
      <w:r>
        <w:t>2024年美国网络保险平均赔案</w:t>
      </w:r>
      <w:r>
        <w:rPr>
          <w:rFonts w:hint="eastAsia"/>
        </w:rPr>
        <w:t>、</w:t>
      </w:r>
      <w:r>
        <w:t>2019</w:t>
      </w:r>
      <w:r>
        <w:rPr>
          <w:rFonts w:hint="eastAsia"/>
          <w:lang w:eastAsia="zh-CN"/>
        </w:rPr>
        <w:t>—</w:t>
      </w:r>
      <w:r>
        <w:t>2023年中小企业发生危机处置费用赔案</w:t>
      </w:r>
      <w:r>
        <w:rPr>
          <w:rFonts w:hint="eastAsia"/>
        </w:rPr>
        <w:t>、涉及</w:t>
      </w:r>
      <w:r>
        <w:t>个人身份信息（PII）的中小企业赔案</w:t>
      </w:r>
      <w:r>
        <w:rPr>
          <w:rFonts w:hint="eastAsia"/>
        </w:rPr>
        <w:t>的</w:t>
      </w:r>
      <w:r>
        <w:t>平均事故成本</w:t>
      </w:r>
      <w:r>
        <w:rPr>
          <w:rFonts w:hint="eastAsia"/>
        </w:rPr>
        <w:t>等数据经验，</w:t>
      </w:r>
      <w:r>
        <w:rPr>
          <w:rFonts w:cs="Times New Roman"/>
          <w:color w:val="000000" w:themeColor="text1"/>
          <w:szCs w:val="24"/>
          <w14:textFill>
            <w14:solidFill>
              <w14:schemeClr w14:val="tx1"/>
            </w14:solidFill>
          </w14:textFill>
        </w:rPr>
        <w:t>将</w:t>
      </w:r>
      <w:r>
        <w:rPr>
          <w:rFonts w:cs="Times New Roman"/>
          <w:bCs/>
          <w:color w:val="000000" w:themeColor="text1"/>
          <w:szCs w:val="24"/>
          <w14:textFill>
            <w14:solidFill>
              <w14:schemeClr w14:val="tx1"/>
            </w14:solidFill>
          </w14:textFill>
        </w:rPr>
        <w:t>50万元设为基准情景下单笔平均保险损失</w:t>
      </w:r>
      <w:r>
        <w:rPr>
          <w:rFonts w:hint="eastAsia"/>
        </w:rPr>
        <w:t>，则：</w:t>
      </w:r>
      <w:r>
        <w:rPr>
          <w:rStyle w:val="150"/>
          <w:rFonts w:eastAsia="Songti SC" w:cs="Times New Roman"/>
          <w:color w:val="000000" w:themeColor="text1"/>
          <w:szCs w:val="24"/>
          <w14:textFill>
            <w14:solidFill>
              <w14:schemeClr w14:val="tx1"/>
            </w14:solidFill>
          </w14:textFill>
        </w:rPr>
        <w:footnoteReference w:id="35"/>
      </w:r>
      <w:r>
        <w:rPr>
          <w:rFonts w:hint="eastAsia"/>
          <w:lang w:val="en-US" w:eastAsia="zh-CN"/>
        </w:rPr>
        <w:t xml:space="preserve"> </w:t>
      </w:r>
      <w:r>
        <w:rPr>
          <w:rStyle w:val="150"/>
          <w:rFonts w:eastAsia="Songti SC" w:cs="Times New Roman"/>
          <w:color w:val="000000" w:themeColor="text1"/>
          <w:szCs w:val="24"/>
          <w14:textFill>
            <w14:solidFill>
              <w14:schemeClr w14:val="tx1"/>
            </w14:solidFill>
          </w14:textFill>
        </w:rPr>
        <w:footnoteReference w:id="36"/>
      </w:r>
      <w:r>
        <w:rPr>
          <w:rFonts w:hint="eastAsia"/>
          <w:lang w:val="en-US" w:eastAsia="zh-CN"/>
        </w:rPr>
        <w:t xml:space="preserve"> </w:t>
      </w:r>
      <w:r>
        <w:rPr>
          <w:rStyle w:val="150"/>
          <w:rFonts w:eastAsia="Songti SC" w:cs="Times New Roman"/>
          <w:color w:val="000000" w:themeColor="text1"/>
          <w:szCs w:val="24"/>
          <w14:textFill>
            <w14:solidFill>
              <w14:schemeClr w14:val="tx1"/>
            </w14:solidFill>
          </w14:textFill>
        </w:rPr>
        <w:footnoteReference w:id="37"/>
      </w:r>
    </w:p>
    <w:p w14:paraId="19DB2751">
      <w:pPr>
        <w:widowControl/>
        <w:ind w:firstLine="480"/>
        <w:jc w:val="center"/>
        <w:rPr>
          <w:rFonts w:cs="Times New Roman"/>
          <w:color w:val="000000" w:themeColor="text1"/>
          <w:szCs w:val="24"/>
          <w14:textFill>
            <w14:solidFill>
              <w14:schemeClr w14:val="tx1"/>
            </w14:solidFill>
          </w14:textFill>
        </w:rPr>
      </w:pPr>
      <m:oMath>
        <m:sSub>
          <m:sSubPr>
            <m:ctrlPr>
              <w:rPr>
                <w:rFonts w:ascii="Cambria Math" w:hAnsi="Cambria Math" w:cs="Times New Roman"/>
                <w:i/>
                <w:color w:val="000000" w:themeColor="text1"/>
                <w:szCs w:val="24"/>
                <w14:textFill>
                  <w14:solidFill>
                    <w14:schemeClr w14:val="tx1"/>
                  </w14:solidFill>
                </w14:textFill>
              </w:rPr>
            </m:ctrlPr>
          </m:sSubPr>
          <m:e>
            <m:r>
              <m:rPr/>
              <w:rPr>
                <w:rFonts w:ascii="Cambria Math" w:hAnsi="Cambria Math" w:cs="Times New Roman"/>
                <w:color w:val="000000" w:themeColor="text1"/>
                <w:szCs w:val="24"/>
                <w14:textFill>
                  <w14:solidFill>
                    <w14:schemeClr w14:val="tx1"/>
                  </w14:solidFill>
                </w14:textFill>
              </w:rPr>
              <m:t>EL</m:t>
            </m:r>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0</m:t>
            </m:r>
            <m:ctrlPr>
              <w:rPr>
                <w:rFonts w:ascii="Cambria Math" w:hAnsi="Cambria Math" w:cs="Times New Roman"/>
                <w:i/>
                <w:color w:val="000000" w:themeColor="text1"/>
                <w:szCs w:val="24"/>
                <w14:textFill>
                  <w14:solidFill>
                    <w14:schemeClr w14:val="tx1"/>
                  </w14:solidFill>
                </w14:textFill>
              </w:rPr>
            </m:ctrlPr>
          </m:sub>
        </m:sSub>
      </m:oMath>
      <w:r>
        <w:rPr>
          <w:rFonts w:cs="Times New Roman"/>
          <w:color w:val="000000" w:themeColor="text1"/>
          <w:szCs w:val="24"/>
          <w14:textFill>
            <w14:solidFill>
              <w14:schemeClr w14:val="tx1"/>
            </w14:solidFill>
          </w14:textFill>
        </w:rPr>
        <w:t>＝1.1%×50＝0.55万元</w:t>
      </w:r>
    </w:p>
    <w:p w14:paraId="2DB145E3">
      <w:pPr>
        <w:ind w:firstLine="480"/>
      </w:pPr>
      <w:r>
        <w:rPr>
          <w:rFonts w:hint="eastAsia"/>
        </w:rPr>
        <w:t>考虑中美两国</w:t>
      </w:r>
      <w:r>
        <w:rPr>
          <w:rFonts w:cs="Times New Roman"/>
          <w:color w:val="0D0D0D" w:themeColor="text1" w:themeTint="F2"/>
          <w:szCs w:val="24"/>
          <w14:textFill>
            <w14:solidFill>
              <w14:schemeClr w14:val="tx1">
                <w14:lumMod w14:val="95000"/>
                <w14:lumOff w14:val="5000"/>
              </w14:schemeClr>
            </w14:solidFill>
          </w14:textFill>
        </w:rPr>
        <w:t>差异</w:t>
      </w:r>
      <w:r>
        <w:rPr>
          <w:rFonts w:hint="eastAsia" w:cs="Times New Roman"/>
          <w:color w:val="0D0D0D" w:themeColor="text1" w:themeTint="F2"/>
          <w:szCs w:val="24"/>
          <w14:textFill>
            <w14:solidFill>
              <w14:schemeClr w14:val="tx1">
                <w14:lumMod w14:val="95000"/>
                <w14:lumOff w14:val="5000"/>
              </w14:schemeClr>
            </w14:solidFill>
          </w14:textFill>
        </w:rPr>
        <w:t>，</w:t>
      </w:r>
      <w:r>
        <w:rPr>
          <w:rFonts w:cs="Times New Roman"/>
          <w:color w:val="0D0D0D" w:themeColor="text1" w:themeTint="F2"/>
          <w:szCs w:val="24"/>
          <w14:textFill>
            <w14:solidFill>
              <w14:schemeClr w14:val="tx1">
                <w14:lumMod w14:val="95000"/>
                <w14:lumOff w14:val="5000"/>
              </w14:schemeClr>
            </w14:solidFill>
          </w14:textFill>
        </w:rPr>
        <w:t>本文引入综合迁移系数</w:t>
      </w:r>
      <m:oMath>
        <m:sSub>
          <m:sSubP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sSubPr>
          <m:e>
            <m:r>
              <m:rPr/>
              <w:rPr>
                <w:rFonts w:hint="eastAsia" w:ascii="Cambria Math" w:hAnsi="Cambria Math" w:cs="Times New Roman"/>
                <w:color w:val="0D0D0D" w:themeColor="text1" w:themeTint="F2"/>
                <w:szCs w:val="24"/>
                <w14:textFill>
                  <w14:solidFill>
                    <w14:schemeClr w14:val="tx1">
                      <w14:lumMod w14:val="95000"/>
                      <w14:lumOff w14:val="5000"/>
                    </w14:schemeClr>
                  </w14:solidFill>
                </w14:textFill>
              </w:rPr>
              <m:t>K</m:t>
            </m: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e>
          <m:sub>
            <m:r>
              <m:rPr/>
              <w:rPr>
                <w:rFonts w:hint="eastAsia" w:ascii="Cambria Math" w:hAnsi="Cambria Math" w:cs="Times New Roman"/>
                <w:color w:val="0D0D0D" w:themeColor="text1" w:themeTint="F2"/>
                <w:szCs w:val="24"/>
                <w14:textFill>
                  <w14:solidFill>
                    <w14:schemeClr w14:val="tx1">
                      <w14:lumMod w14:val="95000"/>
                      <w14:lumOff w14:val="5000"/>
                    </w14:schemeClr>
                  </w14:solidFill>
                </w14:textFill>
              </w:rPr>
              <m:t>T</m:t>
            </m: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sub>
        </m:sSub>
      </m:oMath>
      <w:r>
        <w:rPr>
          <w:rFonts w:cs="Times New Roman"/>
          <w:color w:val="0D0D0D" w:themeColor="text1" w:themeTint="F2"/>
          <w:szCs w:val="24"/>
          <w14:textFill>
            <w14:solidFill>
              <w14:schemeClr w14:val="tx1">
                <w14:lumMod w14:val="95000"/>
                <w14:lumOff w14:val="5000"/>
              </w14:schemeClr>
            </w14:solidFill>
          </w14:textFill>
        </w:rPr>
        <w:t>对</w:t>
      </w:r>
      <w:r>
        <w:rPr>
          <w:rFonts w:hint="eastAsia" w:cs="Times New Roman"/>
          <w:color w:val="0D0D0D" w:themeColor="text1" w:themeTint="F2"/>
          <w:szCs w:val="24"/>
          <w14:textFill>
            <w14:solidFill>
              <w14:schemeClr w14:val="tx1">
                <w14:lumMod w14:val="95000"/>
                <w14:lumOff w14:val="5000"/>
              </w14:schemeClr>
            </w14:solidFill>
          </w14:textFill>
        </w:rPr>
        <w:t>外部</w:t>
      </w:r>
      <w:r>
        <w:rPr>
          <w:rFonts w:cs="Times New Roman"/>
          <w:color w:val="0D0D0D" w:themeColor="text1" w:themeTint="F2"/>
          <w:szCs w:val="24"/>
          <w14:textFill>
            <w14:solidFill>
              <w14:schemeClr w14:val="tx1">
                <w14:lumMod w14:val="95000"/>
                <w14:lumOff w14:val="5000"/>
              </w14:schemeClr>
            </w14:solidFill>
          </w14:textFill>
        </w:rPr>
        <w:t>经验形成的预期损失进行本土化修正：</w:t>
      </w:r>
    </w:p>
    <w:p w14:paraId="44FA2AEE">
      <w:pPr>
        <w:ind w:firstLine="0" w:firstLineChars="0"/>
      </w:pPr>
      <m:oMathPara>
        <m:oMath>
          <m:sSub>
            <m:sSubP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sSubPr>
            <m:e>
              <m:r>
                <m:rPr/>
                <w:rPr>
                  <w:rFonts w:ascii="Cambria Math" w:hAnsi="Cambria Math" w:cs="Times New Roman"/>
                  <w:color w:val="0D0D0D" w:themeColor="text1" w:themeTint="F2"/>
                  <w:szCs w:val="24"/>
                  <w14:textFill>
                    <w14:solidFill>
                      <w14:schemeClr w14:val="tx1">
                        <w14:lumMod w14:val="95000"/>
                        <w14:lumOff w14:val="5000"/>
                      </w14:schemeClr>
                    </w14:solidFill>
                  </w14:textFill>
                </w:rPr>
                <m:t xml:space="preserve">EL = </m:t>
              </m:r>
              <m:sSub>
                <m:sSubPr>
                  <m:ctrlPr>
                    <w:rPr>
                      <w:rFonts w:ascii="Cambria Math" w:hAnsi="Cambria Math" w:cs="Times New Roman"/>
                      <w:i/>
                      <w:color w:val="000000" w:themeColor="text1"/>
                      <w:szCs w:val="24"/>
                      <w14:textFill>
                        <w14:solidFill>
                          <w14:schemeClr w14:val="tx1"/>
                        </w14:solidFill>
                      </w14:textFill>
                    </w:rPr>
                  </m:ctrlPr>
                </m:sSubPr>
                <m:e>
                  <m:r>
                    <m:rPr/>
                    <w:rPr>
                      <w:rFonts w:ascii="Cambria Math" w:hAnsi="Cambria Math" w:cs="Times New Roman"/>
                      <w:color w:val="000000" w:themeColor="text1"/>
                      <w:szCs w:val="24"/>
                      <w14:textFill>
                        <w14:solidFill>
                          <w14:schemeClr w14:val="tx1"/>
                        </w14:solidFill>
                      </w14:textFill>
                    </w:rPr>
                    <m:t>EL</m:t>
                  </m:r>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0</m:t>
                  </m:r>
                  <m:ctrlPr>
                    <w:rPr>
                      <w:rFonts w:ascii="Cambria Math" w:hAnsi="Cambria Math" w:cs="Times New Roman"/>
                      <w:i/>
                      <w:color w:val="000000" w:themeColor="text1"/>
                      <w:szCs w:val="24"/>
                      <w14:textFill>
                        <w14:solidFill>
                          <w14:schemeClr w14:val="tx1"/>
                        </w14:solidFill>
                      </w14:textFill>
                    </w:rPr>
                  </m:ctrlPr>
                </m:sub>
              </m:sSub>
              <m:r>
                <m:rPr/>
                <w:rPr>
                  <w:rFonts w:ascii="Cambria Math" w:hAnsi="Cambria Math" w:cs="Times New Roman"/>
                  <w:color w:val="0D0D0D" w:themeColor="text1" w:themeTint="F2"/>
                  <w:szCs w:val="24"/>
                  <w14:textFill>
                    <w14:solidFill>
                      <w14:schemeClr w14:val="tx1">
                        <w14:lumMod w14:val="95000"/>
                        <w14:lumOff w14:val="5000"/>
                      </w14:schemeClr>
                    </w14:solidFill>
                  </w14:textFill>
                </w:rPr>
                <m:t xml:space="preserve">× </m:t>
              </m:r>
              <m:r>
                <m:rPr/>
                <w:rPr>
                  <w:rFonts w:hint="eastAsia" w:ascii="Cambria Math" w:hAnsi="Cambria Math" w:cs="Times New Roman"/>
                  <w:color w:val="0D0D0D" w:themeColor="text1" w:themeTint="F2"/>
                  <w:szCs w:val="24"/>
                  <w14:textFill>
                    <w14:solidFill>
                      <w14:schemeClr w14:val="tx1">
                        <w14:lumMod w14:val="95000"/>
                        <w14:lumOff w14:val="5000"/>
                      </w14:schemeClr>
                    </w14:solidFill>
                  </w14:textFill>
                </w:rPr>
                <m:t>K</m:t>
              </m: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e>
            <m:sub>
              <m:r>
                <m:rPr/>
                <w:rPr>
                  <w:rFonts w:hint="eastAsia" w:ascii="Cambria Math" w:hAnsi="Cambria Math" w:cs="Times New Roman"/>
                  <w:color w:val="0D0D0D" w:themeColor="text1" w:themeTint="F2"/>
                  <w:szCs w:val="24"/>
                  <w14:textFill>
                    <w14:solidFill>
                      <w14:schemeClr w14:val="tx1">
                        <w14:lumMod w14:val="95000"/>
                        <w14:lumOff w14:val="5000"/>
                      </w14:schemeClr>
                    </w14:solidFill>
                  </w14:textFill>
                </w:rPr>
                <m:t>T</m:t>
              </m: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sub>
          </m:sSub>
        </m:oMath>
      </m:oMathPara>
    </w:p>
    <w:p w14:paraId="0474ABB0">
      <w:pPr>
        <w:widowControl/>
        <w:ind w:firstLine="480"/>
        <w:rPr>
          <w:rFonts w:cs="Times New Roman"/>
          <w:color w:val="0D0D0D" w:themeColor="text1" w:themeTint="F2"/>
          <w:szCs w:val="24"/>
          <w14:textFill>
            <w14:solidFill>
              <w14:schemeClr w14:val="tx1">
                <w14:lumMod w14:val="95000"/>
                <w14:lumOff w14:val="5000"/>
              </w14:schemeClr>
            </w14:solidFill>
          </w14:textFill>
        </w:rPr>
      </w:pPr>
      <w:r>
        <w:rPr>
          <w:rFonts w:cs="Times New Roman"/>
          <w:color w:val="0D0D0D" w:themeColor="text1" w:themeTint="F2"/>
          <w:szCs w:val="24"/>
          <w14:textFill>
            <w14:solidFill>
              <w14:schemeClr w14:val="tx1">
                <w14:lumMod w14:val="95000"/>
                <w14:lumOff w14:val="5000"/>
              </w14:schemeClr>
            </w14:solidFill>
          </w14:textFill>
        </w:rPr>
        <w:t>其中，</w:t>
      </w:r>
      <m:oMath>
        <m:sSub>
          <m:sSubP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sSubPr>
          <m:e>
            <m:r>
              <m:rPr/>
              <w:rPr>
                <w:rFonts w:hint="eastAsia" w:ascii="Cambria Math" w:hAnsi="Cambria Math" w:cs="Times New Roman"/>
                <w:color w:val="0D0D0D" w:themeColor="text1" w:themeTint="F2"/>
                <w:szCs w:val="24"/>
                <w14:textFill>
                  <w14:solidFill>
                    <w14:schemeClr w14:val="tx1">
                      <w14:lumMod w14:val="95000"/>
                      <w14:lumOff w14:val="5000"/>
                    </w14:schemeClr>
                  </w14:solidFill>
                </w14:textFill>
              </w:rPr>
              <m:t>K</m:t>
            </m: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e>
          <m:sub>
            <m:r>
              <m:rPr/>
              <w:rPr>
                <w:rFonts w:hint="eastAsia" w:ascii="Cambria Math" w:hAnsi="Cambria Math" w:cs="Times New Roman"/>
                <w:color w:val="0D0D0D" w:themeColor="text1" w:themeTint="F2"/>
                <w:szCs w:val="24"/>
                <w14:textFill>
                  <w14:solidFill>
                    <w14:schemeClr w14:val="tx1">
                      <w14:lumMod w14:val="95000"/>
                      <w14:lumOff w14:val="5000"/>
                    </w14:schemeClr>
                  </w14:solidFill>
                </w14:textFill>
              </w:rPr>
              <m:t>T</m:t>
            </m: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sub>
        </m:sSub>
      </m:oMath>
      <w:r>
        <w:rPr>
          <w:rFonts w:cs="Times New Roman"/>
          <w:color w:val="0D0D0D" w:themeColor="text1" w:themeTint="F2"/>
          <w:szCs w:val="24"/>
          <w14:textFill>
            <w14:solidFill>
              <w14:schemeClr w14:val="tx1">
                <w14:lumMod w14:val="95000"/>
                <w14:lumOff w14:val="5000"/>
              </w14:schemeClr>
            </w14:solidFill>
          </w14:textFill>
        </w:rPr>
        <w:t>主要反映法律责任环境、损失成本水平、索赔行为和保险市场环境等因素对风险成本迁移的综合影响</w:t>
      </w:r>
      <w:r>
        <w:rPr>
          <w:rFonts w:hint="eastAsia" w:cs="Times New Roman"/>
          <w:color w:val="0D0D0D" w:themeColor="text1" w:themeTint="F2"/>
          <w:szCs w:val="24"/>
          <w14:textFill>
            <w14:solidFill>
              <w14:schemeClr w14:val="tx1">
                <w14:lumMod w14:val="95000"/>
                <w14:lumOff w14:val="5000"/>
              </w14:schemeClr>
            </w14:solidFill>
          </w14:textFill>
        </w:rPr>
        <w:t>。考虑实际情况，</w:t>
      </w:r>
      <w:r>
        <w:rPr>
          <w:rFonts w:cs="Times New Roman"/>
          <w:color w:val="0D0D0D" w:themeColor="text1" w:themeTint="F2"/>
          <w:szCs w:val="24"/>
          <w14:textFill>
            <w14:solidFill>
              <w14:schemeClr w14:val="tx1">
                <w14:lumMod w14:val="95000"/>
                <w14:lumOff w14:val="5000"/>
              </w14:schemeClr>
            </w14:solidFill>
          </w14:textFill>
        </w:rPr>
        <w:t>本文在基准情景下将迁移系数设定为0.7</w:t>
      </w:r>
      <w:r>
        <w:rPr>
          <w:rFonts w:hint="eastAsia" w:cs="Times New Roman"/>
          <w:color w:val="0D0D0D" w:themeColor="text1" w:themeTint="F2"/>
          <w:szCs w:val="24"/>
          <w14:textFill>
            <w14:solidFill>
              <w14:schemeClr w14:val="tx1">
                <w14:lumMod w14:val="95000"/>
                <w14:lumOff w14:val="5000"/>
              </w14:schemeClr>
            </w14:solidFill>
          </w14:textFill>
        </w:rPr>
        <w:t>，因此</w:t>
      </w:r>
      <w:r>
        <w:rPr>
          <w:rFonts w:hint="eastAsia" w:cs="Times New Roman"/>
          <w:color w:val="0D0D0D" w:themeColor="text1" w:themeTint="F2"/>
          <w:szCs w:val="24"/>
          <w:lang w:eastAsia="zh-CN"/>
          <w14:textFill>
            <w14:solidFill>
              <w14:schemeClr w14:val="tx1">
                <w14:lumMod w14:val="95000"/>
                <w14:lumOff w14:val="5000"/>
              </w14:schemeClr>
            </w14:solidFill>
          </w14:textFill>
        </w:rPr>
        <w:t>，</w:t>
      </w:r>
      <w:r>
        <w:rPr>
          <w:rFonts w:hint="eastAsia" w:cs="Times New Roman"/>
          <w:color w:val="0D0D0D" w:themeColor="text1" w:themeTint="F2"/>
          <w:szCs w:val="24"/>
          <w:lang w:val="en-US" w:eastAsia="zh-CN"/>
          <w14:textFill>
            <w14:solidFill>
              <w14:schemeClr w14:val="tx1">
                <w14:lumMod w14:val="95000"/>
                <w14:lumOff w14:val="5000"/>
              </w14:schemeClr>
            </w14:solidFill>
          </w14:textFill>
        </w:rPr>
        <w:t>本保险</w:t>
      </w:r>
      <w:r>
        <w:rPr>
          <w:rFonts w:cs="Times New Roman"/>
          <w:color w:val="0D0D0D" w:themeColor="text1" w:themeTint="F2"/>
          <w:szCs w:val="24"/>
          <w14:textFill>
            <w14:solidFill>
              <w14:schemeClr w14:val="tx1">
                <w14:lumMod w14:val="95000"/>
                <w14:lumOff w14:val="5000"/>
              </w14:schemeClr>
            </w14:solidFill>
          </w14:textFill>
        </w:rPr>
        <w:t>在中国市场基准情景下的年度预期赔款为：</w:t>
      </w:r>
    </w:p>
    <w:p w14:paraId="300B88B1">
      <w:pPr>
        <w:widowControl/>
        <w:ind w:firstLine="480"/>
        <w:rPr>
          <w:rFonts w:cs="Times New Roman"/>
          <w:i/>
          <w:color w:val="0D0D0D" w:themeColor="text1" w:themeTint="F2"/>
          <w:szCs w:val="24"/>
          <w14:textFill>
            <w14:solidFill>
              <w14:schemeClr w14:val="tx1">
                <w14:lumMod w14:val="95000"/>
                <w14:lumOff w14:val="5000"/>
              </w14:schemeClr>
            </w14:solidFill>
          </w14:textFill>
        </w:rPr>
      </w:pPr>
      <m:oMathPara>
        <m:oMath>
          <m:r>
            <m:rPr/>
            <w:rPr>
              <w:rFonts w:hint="eastAsia" w:ascii="Cambria Math" w:hAnsi="Cambria Math" w:cs="Times New Roman"/>
              <w:color w:val="0D0D0D" w:themeColor="text1" w:themeTint="F2"/>
              <w:szCs w:val="24"/>
              <w14:textFill>
                <w14:solidFill>
                  <w14:schemeClr w14:val="tx1">
                    <w14:lumMod w14:val="95000"/>
                    <w14:lumOff w14:val="5000"/>
                  </w14:schemeClr>
                </w14:solidFill>
              </w14:textFill>
            </w:rPr>
            <m:t>EL</m:t>
          </m:r>
          <m:r>
            <m:rPr/>
            <w:rPr>
              <w:rFonts w:ascii="Cambria Math" w:hAnsi="Cambria Math" w:cs="Times New Roman"/>
              <w:color w:val="0D0D0D" w:themeColor="text1" w:themeTint="F2"/>
              <w:szCs w:val="24"/>
              <w14:textFill>
                <w14:solidFill>
                  <w14:schemeClr w14:val="tx1">
                    <w14:lumMod w14:val="95000"/>
                    <w14:lumOff w14:val="5000"/>
                  </w14:schemeClr>
                </w14:solidFill>
              </w14:textFill>
            </w:rPr>
            <m:t>= 0.55 × 0.7 = 0.385</m:t>
          </m:r>
          <m:r>
            <m:rPr/>
            <w:rPr>
              <w:rFonts w:hint="eastAsia" w:ascii="Cambria Math" w:hAnsi="Cambria Math" w:cs="Times New Roman"/>
              <w:color w:val="0D0D0D" w:themeColor="text1" w:themeTint="F2"/>
              <w:szCs w:val="24"/>
              <w14:textFill>
                <w14:solidFill>
                  <w14:schemeClr w14:val="tx1">
                    <w14:lumMod w14:val="95000"/>
                    <w14:lumOff w14:val="5000"/>
                  </w14:schemeClr>
                </w14:solidFill>
              </w14:textFill>
            </w:rPr>
            <m:t>万元</m:t>
          </m:r>
        </m:oMath>
      </m:oMathPara>
    </w:p>
    <w:p w14:paraId="4D112665">
      <w:pPr>
        <w:widowControl/>
        <w:ind w:firstLine="480"/>
        <w:rPr>
          <w:rFonts w:cs="Times New Roman"/>
          <w:color w:val="0D0D0D" w:themeColor="text1" w:themeTint="F2"/>
          <w:szCs w:val="24"/>
          <w14:textFill>
            <w14:solidFill>
              <w14:schemeClr w14:val="tx1">
                <w14:lumMod w14:val="95000"/>
                <w14:lumOff w14:val="5000"/>
              </w14:schemeClr>
            </w14:solidFill>
          </w14:textFill>
        </w:rPr>
      </w:pPr>
      <w:r>
        <w:rPr>
          <w:rFonts w:cs="Times New Roman"/>
          <w:color w:val="0D0D0D" w:themeColor="text1" w:themeTint="F2"/>
          <w:szCs w:val="24"/>
          <w14:textFill>
            <w14:solidFill>
              <w14:schemeClr w14:val="tx1">
                <w14:lumMod w14:val="95000"/>
                <w14:lumOff w14:val="5000"/>
              </w14:schemeClr>
            </w14:solidFill>
          </w14:textFill>
        </w:rPr>
        <w:t>在此基础上进一步确定示范性保费。由于现阶段尚缺乏经营费用数据，本文继续参考相近网络保险市场的总体经营经验。Aon数据显示，2024年美国网络保险市场损失率约为49%，因此以49%作为示范性定价中的目标损失率</w:t>
      </w:r>
      <m:oMath>
        <m:r>
          <m:rPr/>
          <w:rPr>
            <w:rFonts w:hint="eastAsia" w:ascii="Cambria Math" w:hAnsi="Cambria Math" w:cs="Times New Roman"/>
            <w:color w:val="0D0D0D" w:themeColor="text1" w:themeTint="F2"/>
            <w:szCs w:val="24"/>
            <w14:textFill>
              <w14:solidFill>
                <w14:schemeClr w14:val="tx1">
                  <w14:lumMod w14:val="95000"/>
                  <w14:lumOff w14:val="5000"/>
                </w14:schemeClr>
              </w14:solidFill>
            </w14:textFill>
          </w:rPr>
          <m:t>LR</m:t>
        </m:r>
      </m:oMath>
      <w:r>
        <w:rPr>
          <w:rFonts w:cs="Times New Roman"/>
          <w:color w:val="0D0D0D" w:themeColor="text1" w:themeTint="F2"/>
          <w:szCs w:val="24"/>
          <w14:textFill>
            <w14:solidFill>
              <w14:schemeClr w14:val="tx1">
                <w14:lumMod w14:val="95000"/>
                <w14:lumOff w14:val="5000"/>
              </w14:schemeClr>
            </w14:solidFill>
          </w14:textFill>
        </w:rPr>
        <w:t>，则：</w:t>
      </w:r>
    </w:p>
    <w:p w14:paraId="7F802E1A">
      <w:pPr>
        <w:widowControl/>
        <w:ind w:firstLine="480"/>
        <w:rPr>
          <w:rFonts w:cs="Times New Roman"/>
          <w:i/>
          <w:color w:val="0D0D0D" w:themeColor="text1" w:themeTint="F2"/>
          <w:szCs w:val="24"/>
          <w14:textFill>
            <w14:solidFill>
              <w14:schemeClr w14:val="tx1">
                <w14:lumMod w14:val="95000"/>
                <w14:lumOff w14:val="5000"/>
              </w14:schemeClr>
            </w14:solidFill>
          </w14:textFill>
        </w:rPr>
      </w:pPr>
      <m:oMathPara>
        <m:oMath>
          <m:r>
            <m:rPr/>
            <w:rPr>
              <w:rFonts w:ascii="Cambria Math" w:hAnsi="Cambria Math" w:cs="Times New Roman"/>
              <w:color w:val="0D0D0D" w:themeColor="text1" w:themeTint="F2"/>
              <w:szCs w:val="24"/>
              <w14:textFill>
                <w14:solidFill>
                  <w14:schemeClr w14:val="tx1">
                    <w14:lumMod w14:val="95000"/>
                    <w14:lumOff w14:val="5000"/>
                  </w14:schemeClr>
                </w14:solidFill>
              </w14:textFill>
            </w:rPr>
            <m:t xml:space="preserve">P = </m:t>
          </m:r>
          <m:f>
            <m:fP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fPr>
            <m:num>
              <m:r>
                <m:rPr/>
                <w:rPr>
                  <w:rFonts w:ascii="Cambria Math" w:hAnsi="Cambria Math" w:cs="Times New Roman"/>
                  <w:color w:val="0D0D0D" w:themeColor="text1" w:themeTint="F2"/>
                  <w:szCs w:val="24"/>
                  <w14:textFill>
                    <w14:solidFill>
                      <w14:schemeClr w14:val="tx1">
                        <w14:lumMod w14:val="95000"/>
                        <w14:lumOff w14:val="5000"/>
                      </w14:schemeClr>
                    </w14:solidFill>
                  </w14:textFill>
                </w:rPr>
                <m:t>EL</m:t>
              </m: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num>
            <m:den>
              <m:r>
                <m:rPr/>
                <w:rPr>
                  <w:rFonts w:ascii="Cambria Math" w:hAnsi="Cambria Math" w:cs="Times New Roman"/>
                  <w:color w:val="0D0D0D" w:themeColor="text1" w:themeTint="F2"/>
                  <w:szCs w:val="24"/>
                  <w14:textFill>
                    <w14:solidFill>
                      <w14:schemeClr w14:val="tx1">
                        <w14:lumMod w14:val="95000"/>
                        <w14:lumOff w14:val="5000"/>
                      </w14:schemeClr>
                    </w14:solidFill>
                  </w14:textFill>
                </w:rPr>
                <m:t>LR</m:t>
              </m: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den>
          </m:f>
          <m:r>
            <m:rPr/>
            <w:rPr>
              <w:rFonts w:ascii="Cambria Math" w:hAnsi="Cambria Math" w:cs="Times New Roman"/>
              <w:color w:val="0D0D0D" w:themeColor="text1" w:themeTint="F2"/>
              <w:szCs w:val="24"/>
              <w14:textFill>
                <w14:solidFill>
                  <w14:schemeClr w14:val="tx1">
                    <w14:lumMod w14:val="95000"/>
                    <w14:lumOff w14:val="5000"/>
                  </w14:schemeClr>
                </w14:solidFill>
              </w14:textFill>
            </w:rPr>
            <m:t xml:space="preserve"> = </m:t>
          </m:r>
          <m:f>
            <m:fP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fPr>
            <m:num>
              <m:r>
                <m:rPr/>
                <w:rPr>
                  <w:rFonts w:ascii="Cambria Math" w:hAnsi="Cambria Math" w:cs="Times New Roman"/>
                  <w:color w:val="0D0D0D" w:themeColor="text1" w:themeTint="F2"/>
                  <w:szCs w:val="24"/>
                  <w14:textFill>
                    <w14:solidFill>
                      <w14:schemeClr w14:val="tx1">
                        <w14:lumMod w14:val="95000"/>
                        <w14:lumOff w14:val="5000"/>
                      </w14:schemeClr>
                    </w14:solidFill>
                  </w14:textFill>
                </w:rPr>
                <m:t>0.385</m:t>
              </m: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num>
            <m:den>
              <m:r>
                <m:rPr/>
                <w:rPr>
                  <w:rFonts w:ascii="Cambria Math" w:hAnsi="Cambria Math" w:cs="Times New Roman"/>
                  <w:color w:val="0D0D0D" w:themeColor="text1" w:themeTint="F2"/>
                  <w:szCs w:val="24"/>
                  <w14:textFill>
                    <w14:solidFill>
                      <w14:schemeClr w14:val="tx1">
                        <w14:lumMod w14:val="95000"/>
                        <w14:lumOff w14:val="5000"/>
                      </w14:schemeClr>
                    </w14:solidFill>
                  </w14:textFill>
                </w:rPr>
                <m:t>49%</m:t>
              </m: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den>
          </m:f>
          <m:r>
            <m:rPr/>
            <w:rPr>
              <w:rFonts w:ascii="Cambria Math" w:hAnsi="Cambria Math" w:cs="Times New Roman"/>
              <w:color w:val="0D0D0D" w:themeColor="text1" w:themeTint="F2"/>
              <w:szCs w:val="24"/>
              <w14:textFill>
                <w14:solidFill>
                  <w14:schemeClr w14:val="tx1">
                    <w14:lumMod w14:val="95000"/>
                    <w14:lumOff w14:val="5000"/>
                  </w14:schemeClr>
                </w14:solidFill>
              </w14:textFill>
            </w:rPr>
            <m:t xml:space="preserve"> ≈ 0.79 </m:t>
          </m:r>
          <m:r>
            <m:rPr/>
            <w:rPr>
              <w:rFonts w:hint="eastAsia" w:ascii="Cambria Math" w:hAnsi="Cambria Math" w:cs="Times New Roman"/>
              <w:color w:val="0D0D0D" w:themeColor="text1" w:themeTint="F2"/>
              <w:szCs w:val="24"/>
              <w14:textFill>
                <w14:solidFill>
                  <w14:schemeClr w14:val="tx1">
                    <w14:lumMod w14:val="95000"/>
                    <w14:lumOff w14:val="5000"/>
                  </w14:schemeClr>
                </w14:solidFill>
              </w14:textFill>
            </w:rPr>
            <m:t>万元/年</m:t>
          </m:r>
        </m:oMath>
      </m:oMathPara>
    </w:p>
    <w:p w14:paraId="26A646AC">
      <w:pPr>
        <w:widowControl/>
        <w:ind w:firstLine="480"/>
        <w:rPr>
          <w:rFonts w:cs="Times New Roman"/>
          <w:color w:val="0D0D0D" w:themeColor="text1" w:themeTint="F2"/>
          <w:szCs w:val="24"/>
          <w14:textFill>
            <w14:solidFill>
              <w14:schemeClr w14:val="tx1">
                <w14:lumMod w14:val="95000"/>
                <w14:lumOff w14:val="5000"/>
              </w14:schemeClr>
            </w14:solidFill>
          </w14:textFill>
        </w:rPr>
      </w:pPr>
      <w:r>
        <w:rPr>
          <w:rFonts w:cs="Times New Roman"/>
          <w:color w:val="0D0D0D" w:themeColor="text1" w:themeTint="F2"/>
          <w:szCs w:val="24"/>
          <w14:textFill>
            <w14:solidFill>
              <w14:schemeClr w14:val="tx1">
                <w14:lumMod w14:val="95000"/>
                <w14:lumOff w14:val="5000"/>
              </w14:schemeClr>
            </w14:solidFill>
          </w14:textFill>
        </w:rPr>
        <w:t>由此，在上述基准参数下，</w:t>
      </w:r>
      <w:r>
        <w:rPr>
          <w:rFonts w:hint="eastAsia" w:cs="Times New Roman"/>
          <w:color w:val="0D0D0D" w:themeColor="text1" w:themeTint="F2"/>
          <w:szCs w:val="24"/>
          <w:lang w:val="en-US" w:eastAsia="zh-CN"/>
          <w14:textFill>
            <w14:solidFill>
              <w14:schemeClr w14:val="tx1">
                <w14:lumMod w14:val="95000"/>
                <w14:lumOff w14:val="5000"/>
              </w14:schemeClr>
            </w14:solidFill>
          </w14:textFill>
        </w:rPr>
        <w:t>本</w:t>
      </w:r>
      <w:r>
        <w:rPr>
          <w:rFonts w:hint="eastAsia"/>
          <w:lang w:val="en-US" w:eastAsia="zh-CN"/>
        </w:rPr>
        <w:t>保险</w:t>
      </w:r>
      <w:r>
        <w:rPr>
          <w:rFonts w:cs="Times New Roman"/>
          <w:color w:val="0D0D0D" w:themeColor="text1" w:themeTint="F2"/>
          <w:szCs w:val="24"/>
          <w14:textFill>
            <w14:solidFill>
              <w14:schemeClr w14:val="tx1">
                <w14:lumMod w14:val="95000"/>
                <w14:lumOff w14:val="5000"/>
              </w14:schemeClr>
            </w14:solidFill>
          </w14:textFill>
        </w:rPr>
        <w:t>的示范性年保费约为0.79万元。考虑迁移系数本身仍存在不确定性，还可进一步进行情景分析。当</w:t>
      </w:r>
      <m:oMath>
        <m:sSub>
          <m:sSubP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sSubPr>
          <m:e>
            <m:r>
              <m:rPr/>
              <w:rPr>
                <w:rFonts w:hint="eastAsia" w:ascii="Cambria Math" w:hAnsi="Cambria Math" w:cs="Times New Roman"/>
                <w:color w:val="0D0D0D" w:themeColor="text1" w:themeTint="F2"/>
                <w:szCs w:val="24"/>
                <w14:textFill>
                  <w14:solidFill>
                    <w14:schemeClr w14:val="tx1">
                      <w14:lumMod w14:val="95000"/>
                      <w14:lumOff w14:val="5000"/>
                    </w14:schemeClr>
                  </w14:solidFill>
                </w14:textFill>
              </w:rPr>
              <m:t>K</m:t>
            </m: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e>
          <m:sub>
            <m:r>
              <m:rPr/>
              <w:rPr>
                <w:rFonts w:hint="eastAsia" w:ascii="Cambria Math" w:hAnsi="Cambria Math" w:cs="Times New Roman"/>
                <w:color w:val="0D0D0D" w:themeColor="text1" w:themeTint="F2"/>
                <w:szCs w:val="24"/>
                <w14:textFill>
                  <w14:solidFill>
                    <w14:schemeClr w14:val="tx1">
                      <w14:lumMod w14:val="95000"/>
                      <w14:lumOff w14:val="5000"/>
                    </w14:schemeClr>
                  </w14:solidFill>
                </w14:textFill>
              </w:rPr>
              <m:t>T</m:t>
            </m:r>
            <m:ctrlPr>
              <w:rPr>
                <w:rFonts w:ascii="Cambria Math" w:hAnsi="Cambria Math" w:cs="Times New Roman"/>
                <w:i/>
                <w:color w:val="0D0D0D" w:themeColor="text1" w:themeTint="F2"/>
                <w:szCs w:val="24"/>
                <w14:textFill>
                  <w14:solidFill>
                    <w14:schemeClr w14:val="tx1">
                      <w14:lumMod w14:val="95000"/>
                      <w14:lumOff w14:val="5000"/>
                    </w14:schemeClr>
                  </w14:solidFill>
                </w14:textFill>
              </w:rPr>
            </m:ctrlPr>
          </m:sub>
        </m:sSub>
        <m:r>
          <m:rPr/>
          <w:rPr>
            <w:rFonts w:ascii="Cambria Math" w:hAnsi="Cambria Math" w:cs="Times New Roman"/>
            <w:color w:val="0D0D0D" w:themeColor="text1" w:themeTint="F2"/>
            <w:szCs w:val="24"/>
            <w14:textFill>
              <w14:solidFill>
                <w14:schemeClr w14:val="tx1">
                  <w14:lumMod w14:val="95000"/>
                  <w14:lumOff w14:val="5000"/>
                </w14:schemeClr>
              </w14:solidFill>
            </w14:textFill>
          </w:rPr>
          <m:t>=0.5/0.7/0.9</m:t>
        </m:r>
      </m:oMath>
      <w:r>
        <w:rPr>
          <w:rFonts w:cs="Times New Roman"/>
          <w:color w:val="0D0D0D" w:themeColor="text1" w:themeTint="F2"/>
          <w:szCs w:val="24"/>
          <w14:textFill>
            <w14:solidFill>
              <w14:schemeClr w14:val="tx1">
                <w14:lumMod w14:val="95000"/>
                <w14:lumOff w14:val="5000"/>
              </w14:schemeClr>
            </w14:solidFill>
          </w14:textFill>
        </w:rPr>
        <w:t>时，示范性年保费</w:t>
      </w:r>
      <w:r>
        <w:rPr>
          <w:rFonts w:hint="eastAsia" w:cs="Times New Roman"/>
          <w:color w:val="0D0D0D" w:themeColor="text1" w:themeTint="F2"/>
          <w:szCs w:val="24"/>
          <w14:textFill>
            <w14:solidFill>
              <w14:schemeClr w14:val="tx1">
                <w14:lumMod w14:val="95000"/>
                <w14:lumOff w14:val="5000"/>
              </w14:schemeClr>
            </w14:solidFill>
          </w14:textFill>
        </w:rPr>
        <w:t>分别</w:t>
      </w:r>
      <w:r>
        <w:rPr>
          <w:rFonts w:cs="Times New Roman"/>
          <w:color w:val="0D0D0D" w:themeColor="text1" w:themeTint="F2"/>
          <w:szCs w:val="24"/>
          <w14:textFill>
            <w14:solidFill>
              <w14:schemeClr w14:val="tx1">
                <w14:lumMod w14:val="95000"/>
                <w14:lumOff w14:val="5000"/>
              </w14:schemeClr>
            </w14:solidFill>
          </w14:textFill>
        </w:rPr>
        <w:t>约为</w:t>
      </w:r>
      <m:oMath>
        <m:r>
          <m:rPr/>
          <w:rPr>
            <w:rFonts w:ascii="Cambria Math" w:hAnsi="Cambria Math" w:cs="Times New Roman"/>
            <w:color w:val="0D0D0D" w:themeColor="text1" w:themeTint="F2"/>
            <w:szCs w:val="24"/>
            <w14:textFill>
              <w14:solidFill>
                <w14:schemeClr w14:val="tx1">
                  <w14:lumMod w14:val="95000"/>
                  <w14:lumOff w14:val="5000"/>
                </w14:schemeClr>
              </w14:solidFill>
            </w14:textFill>
          </w:rPr>
          <m:t>0.56/0.79</m:t>
        </m:r>
        <m:r>
          <m:rPr/>
          <w:rPr>
            <w:rFonts w:hint="eastAsia" w:ascii="Cambria Math" w:hAnsi="Cambria Math" w:cs="Times New Roman"/>
            <w:color w:val="0D0D0D" w:themeColor="text1" w:themeTint="F2"/>
            <w:szCs w:val="24"/>
            <w14:textFill>
              <w14:solidFill>
                <w14:schemeClr w14:val="tx1">
                  <w14:lumMod w14:val="95000"/>
                  <w14:lumOff w14:val="5000"/>
                </w14:schemeClr>
              </w14:solidFill>
            </w14:textFill>
          </w:rPr>
          <m:t>/</m:t>
        </m:r>
        <m:r>
          <m:rPr/>
          <w:rPr>
            <w:rFonts w:ascii="Cambria Math" w:hAnsi="Cambria Math" w:cs="Times New Roman"/>
            <w:color w:val="0D0D0D" w:themeColor="text1" w:themeTint="F2"/>
            <w:szCs w:val="24"/>
            <w14:textFill>
              <w14:solidFill>
                <w14:schemeClr w14:val="tx1">
                  <w14:lumMod w14:val="95000"/>
                  <w14:lumOff w14:val="5000"/>
                </w14:schemeClr>
              </w14:solidFill>
            </w14:textFill>
          </w:rPr>
          <m:t>1.01</m:t>
        </m:r>
      </m:oMath>
      <w:r>
        <w:rPr>
          <w:rFonts w:cs="Times New Roman"/>
          <w:color w:val="0D0D0D" w:themeColor="text1" w:themeTint="F2"/>
          <w:szCs w:val="24"/>
          <w14:textFill>
            <w14:solidFill>
              <w14:schemeClr w14:val="tx1">
                <w14:lumMod w14:val="95000"/>
                <w14:lumOff w14:val="5000"/>
              </w14:schemeClr>
            </w14:solidFill>
          </w14:textFill>
        </w:rPr>
        <w:t>万元。</w:t>
      </w:r>
    </w:p>
    <w:p w14:paraId="3FF02D7C">
      <w:pPr>
        <w:widowControl/>
        <w:ind w:firstLine="480"/>
        <w:rPr>
          <w:rFonts w:cs="Times New Roman"/>
          <w:color w:val="0D0D0D" w:themeColor="text1" w:themeTint="F2"/>
          <w:szCs w:val="24"/>
          <w14:textFill>
            <w14:solidFill>
              <w14:schemeClr w14:val="tx1">
                <w14:lumMod w14:val="95000"/>
                <w14:lumOff w14:val="5000"/>
              </w14:schemeClr>
            </w14:solidFill>
          </w14:textFill>
        </w:rPr>
      </w:pPr>
      <w:r>
        <w:rPr>
          <w:rFonts w:cs="Times New Roman"/>
          <w:color w:val="0D0D0D" w:themeColor="text1" w:themeTint="F2"/>
          <w:szCs w:val="24"/>
          <w14:textFill>
            <w14:solidFill>
              <w14:schemeClr w14:val="tx1">
                <w14:lumMod w14:val="95000"/>
                <w14:lumOff w14:val="5000"/>
              </w14:schemeClr>
            </w14:solidFill>
          </w14:textFill>
        </w:rPr>
        <w:t>上述定价基于外部经验的市场平均水平，尚未反映企业个体风险差异。在缺乏本地赔案数据的阶段，个体差异无法直接计入定价公式，但可通过核保环节实现间接传导：保险人依据企业的</w:t>
      </w:r>
      <w:r>
        <w:rPr>
          <w:rFonts w:hint="eastAsia" w:cs="Times New Roman"/>
          <w:color w:val="0D0D0D" w:themeColor="text1" w:themeTint="F2"/>
          <w:szCs w:val="24"/>
          <w:lang w:val="en-US" w:eastAsia="zh-CN"/>
          <w14:textFill>
            <w14:solidFill>
              <w14:schemeClr w14:val="tx1">
                <w14:lumMod w14:val="95000"/>
                <w14:lumOff w14:val="5000"/>
              </w14:schemeClr>
            </w14:solidFill>
          </w14:textFill>
        </w:rPr>
        <w:t>AI伦理风险</w:t>
      </w:r>
      <w:r>
        <w:rPr>
          <w:rFonts w:cs="Times New Roman"/>
          <w:color w:val="0D0D0D" w:themeColor="text1" w:themeTint="F2"/>
          <w:szCs w:val="24"/>
          <w14:textFill>
            <w14:solidFill>
              <w14:schemeClr w14:val="tx1">
                <w14:lumMod w14:val="95000"/>
                <w14:lumOff w14:val="5000"/>
              </w14:schemeClr>
            </w14:solidFill>
          </w14:textFill>
        </w:rPr>
        <w:t>ERS评分</w:t>
      </w:r>
      <w:r>
        <w:rPr>
          <w:rFonts w:hint="eastAsia" w:cs="Times New Roman"/>
          <w:color w:val="0D0D0D" w:themeColor="text1" w:themeTint="F2"/>
          <w:szCs w:val="24"/>
          <w:lang w:eastAsia="zh-CN"/>
          <w14:textFill>
            <w14:solidFill>
              <w14:schemeClr w14:val="tx1">
                <w14:lumMod w14:val="95000"/>
                <w14:lumOff w14:val="5000"/>
              </w14:schemeClr>
            </w14:solidFill>
          </w14:textFill>
        </w:rPr>
        <w:t>，</w:t>
      </w:r>
      <w:r>
        <w:rPr>
          <w:rFonts w:cs="Times New Roman"/>
          <w:color w:val="0D0D0D" w:themeColor="text1" w:themeTint="F2"/>
          <w:szCs w:val="24"/>
          <w14:textFill>
            <w14:solidFill>
              <w14:schemeClr w14:val="tx1">
                <w14:lumMod w14:val="95000"/>
                <w14:lumOff w14:val="5000"/>
              </w14:schemeClr>
            </w14:solidFill>
          </w14:textFill>
        </w:rPr>
        <w:t>高ERS企业配置更高的免赔额、更严格的风险改善条件，低ERS企业适用相对宽松的承保条件。这种核保分类不改变EL的计算方式，但通过免赔额和承保条件的差异化使实际有效赔付率在不同ERS类别之间形成梯度差异。同时，核保分类记录与后续理赔数据的积累，将为未来将ERS作为定价因子纳入精算模型提供结构化基础，逐步从统一的外部经验定价转向差异化的自身经验定价。</w:t>
      </w:r>
    </w:p>
    <w:p w14:paraId="0B82C71A">
      <w:pPr>
        <w:pStyle w:val="5"/>
        <w:numPr>
          <w:ilvl w:val="0"/>
          <w:numId w:val="0"/>
        </w:numPr>
        <w:bidi w:val="0"/>
        <w:ind w:left="0" w:leftChars="0" w:firstLine="482" w:firstLineChars="200"/>
        <w:rPr>
          <w:rFonts w:hint="eastAsia"/>
        </w:rPr>
      </w:pPr>
      <w:r>
        <w:rPr>
          <w:rFonts w:hint="eastAsia" w:cstheme="majorBidi"/>
          <w:b/>
          <w:color w:val="000000" w:themeColor="text1"/>
          <w:kern w:val="2"/>
          <w:sz w:val="24"/>
          <w:szCs w:val="32"/>
          <w:lang w:val="en-US" w:eastAsia="zh-CN" w:bidi="ar-SA"/>
          <w14:textFill>
            <w14:solidFill>
              <w14:schemeClr w14:val="tx1"/>
            </w14:solidFill>
          </w14:textFill>
        </w:rPr>
        <w:t>4</w:t>
      </w: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w:t>
      </w:r>
      <w:r>
        <w:rPr>
          <w:rFonts w:hint="eastAsia" w:eastAsia="Heiti SC"/>
        </w:rPr>
        <w:t>再保险安排</w:t>
      </w:r>
    </w:p>
    <w:p w14:paraId="6EFC9321">
      <w:pPr>
        <w:widowControl/>
        <w:ind w:firstLine="480"/>
        <w:rPr>
          <w:rFonts w:hint="eastAsia" w:cs="Times New Roman"/>
          <w:color w:val="0D0D0D" w:themeColor="text1" w:themeTint="F2"/>
          <w:szCs w:val="24"/>
          <w14:textFill>
            <w14:solidFill>
              <w14:schemeClr w14:val="tx1">
                <w14:lumMod w14:val="95000"/>
                <w14:lumOff w14:val="5000"/>
              </w14:schemeClr>
            </w14:solidFill>
          </w14:textFill>
        </w:rPr>
      </w:pPr>
      <w:r>
        <w:rPr>
          <w:rFonts w:hint="eastAsia" w:cs="Times New Roman"/>
          <w:color w:val="0D0D0D" w:themeColor="text1" w:themeTint="F2"/>
          <w:szCs w:val="24"/>
          <w14:textFill>
            <w14:solidFill>
              <w14:schemeClr w14:val="tx1">
                <w14:lumMod w14:val="95000"/>
                <w14:lumOff w14:val="5000"/>
              </w14:schemeClr>
            </w14:solidFill>
          </w14:textFill>
        </w:rPr>
        <w:t>再保险安排应同时应对数据不确定性、单户巨灾损失和多保单累积风险。产品推出初期，可采用一定比例的成数再保险，由原保险人与再保险人按照约定比例分担保险费和赔款，以分散新产品缺乏历史数据带来的定价及准备金波动。</w:t>
      </w:r>
    </w:p>
    <w:p w14:paraId="471E6595">
      <w:pPr>
        <w:widowControl/>
        <w:ind w:firstLine="480"/>
        <w:rPr>
          <w:rFonts w:hint="eastAsia" w:cs="Times New Roman"/>
          <w:color w:val="0D0D0D" w:themeColor="text1" w:themeTint="F2"/>
          <w:szCs w:val="24"/>
          <w14:textFill>
            <w14:solidFill>
              <w14:schemeClr w14:val="tx1">
                <w14:lumMod w14:val="95000"/>
                <w14:lumOff w14:val="5000"/>
              </w14:schemeClr>
            </w14:solidFill>
          </w14:textFill>
        </w:rPr>
      </w:pPr>
      <w:r>
        <w:rPr>
          <w:rFonts w:hint="eastAsia" w:cs="Times New Roman"/>
          <w:color w:val="0D0D0D" w:themeColor="text1" w:themeTint="F2"/>
          <w:szCs w:val="24"/>
          <w14:textFill>
            <w14:solidFill>
              <w14:schemeClr w14:val="tx1">
                <w14:lumMod w14:val="95000"/>
                <w14:lumOff w14:val="5000"/>
              </w14:schemeClr>
            </w14:solidFill>
          </w14:textFill>
        </w:rPr>
        <w:t>对于单个科创企业可能发生的高额第三方责任、系统恢复或者营业中断损失，可以在原保险人自留额以上配置单一风险超额赔款再保险，以控制个别大额赔案对经营结果的冲击。随着承保规模扩大，还可以针对同一基础模型缺陷、同一云服务故障或者同一数据供应商事件造成的多张保单损失，研究事故超额赔款再保险</w:t>
      </w:r>
      <w:r>
        <w:rPr>
          <w:rFonts w:hint="eastAsia" w:cs="Times New Roman"/>
          <w:color w:val="0D0D0D" w:themeColor="text1" w:themeTint="F2"/>
          <w:szCs w:val="24"/>
          <w:lang w:eastAsia="zh-CN"/>
          <w14:textFill>
            <w14:solidFill>
              <w14:schemeClr w14:val="tx1">
                <w14:lumMod w14:val="95000"/>
                <w14:lumOff w14:val="5000"/>
              </w14:schemeClr>
            </w14:solidFill>
          </w14:textFill>
        </w:rPr>
        <w:t>；在</w:t>
      </w:r>
      <w:r>
        <w:rPr>
          <w:rFonts w:hint="eastAsia" w:cs="Times New Roman"/>
          <w:color w:val="0D0D0D" w:themeColor="text1" w:themeTint="F2"/>
          <w:szCs w:val="24"/>
          <w14:textFill>
            <w14:solidFill>
              <w14:schemeClr w14:val="tx1">
                <w14:lumMod w14:val="95000"/>
                <w14:lumOff w14:val="5000"/>
              </w14:schemeClr>
            </w14:solidFill>
          </w14:textFill>
        </w:rPr>
        <w:t>经验进一步成熟后，再考虑年度累积超赔，以限制一个保险年度内多次事故形成的总赔款波动。</w:t>
      </w:r>
      <w:r>
        <w:rPr>
          <w:rStyle w:val="150"/>
          <w:rFonts w:eastAsia="Songti SC" w:cs="Times New Roman"/>
          <w:color w:val="000000" w:themeColor="text1"/>
          <w:szCs w:val="24"/>
          <w14:textFill>
            <w14:solidFill>
              <w14:schemeClr w14:val="tx1"/>
            </w14:solidFill>
          </w14:textFill>
        </w:rPr>
        <w:footnoteReference w:id="38"/>
      </w:r>
      <w:r>
        <w:rPr>
          <w:rStyle w:val="150"/>
          <w:rFonts w:eastAsia="Songti SC" w:cs="Times New Roman"/>
          <w:color w:val="000000" w:themeColor="text1"/>
          <w:szCs w:val="24"/>
          <w14:textFill>
            <w14:solidFill>
              <w14:schemeClr w14:val="tx1"/>
            </w14:solidFill>
          </w14:textFill>
        </w:rPr>
        <w:footnoteReference w:id="39"/>
      </w:r>
    </w:p>
    <w:p w14:paraId="43F564BB">
      <w:pPr>
        <w:widowControl/>
        <w:ind w:firstLine="480"/>
        <w:rPr>
          <w:rFonts w:cs="Times New Roman"/>
          <w:color w:val="0D0D0D" w:themeColor="text1" w:themeTint="F2"/>
          <w:szCs w:val="24"/>
          <w14:textFill>
            <w14:solidFill>
              <w14:schemeClr w14:val="tx1">
                <w14:lumMod w14:val="95000"/>
                <w14:lumOff w14:val="5000"/>
              </w14:schemeClr>
            </w14:solidFill>
          </w14:textFill>
        </w:rPr>
      </w:pPr>
      <w:r>
        <w:rPr>
          <w:rFonts w:hint="eastAsia" w:cs="Times New Roman"/>
          <w:color w:val="0D0D0D" w:themeColor="text1" w:themeTint="F2"/>
          <w:szCs w:val="24"/>
          <w14:textFill>
            <w14:solidFill>
              <w14:schemeClr w14:val="tx1">
                <w14:lumMod w14:val="95000"/>
                <w14:lumOff w14:val="5000"/>
              </w14:schemeClr>
            </w14:solidFill>
          </w14:textFill>
        </w:rPr>
        <w:t>AI</w:t>
      </w:r>
      <w:r>
        <w:rPr>
          <w:rFonts w:hint="eastAsia" w:cs="Times New Roman"/>
          <w:color w:val="0D0D0D" w:themeColor="text1" w:themeTint="F2"/>
          <w:szCs w:val="24"/>
          <w:lang w:val="en-US" w:eastAsia="zh-CN"/>
          <w14:textFill>
            <w14:solidFill>
              <w14:schemeClr w14:val="tx1">
                <w14:lumMod w14:val="95000"/>
                <w14:lumOff w14:val="5000"/>
              </w14:schemeClr>
            </w14:solidFill>
          </w14:textFill>
        </w:rPr>
        <w:t>伦理风险经验数据的</w:t>
      </w:r>
      <w:r>
        <w:rPr>
          <w:rFonts w:hint="eastAsia" w:cs="Times New Roman"/>
          <w:color w:val="0D0D0D" w:themeColor="text1" w:themeTint="F2"/>
          <w:szCs w:val="24"/>
          <w14:textFill>
            <w14:solidFill>
              <w14:schemeClr w14:val="tx1">
                <w14:lumMod w14:val="95000"/>
                <w14:lumOff w14:val="5000"/>
              </w14:schemeClr>
            </w14:solidFill>
          </w14:textFill>
        </w:rPr>
        <w:t>累积不能仅依靠再保险。保险人应建立</w:t>
      </w:r>
      <w:r>
        <w:rPr>
          <w:rFonts w:hint="eastAsia"/>
          <w:lang w:val="en-US" w:eastAsia="zh-CN"/>
        </w:rPr>
        <w:t>打通</w:t>
      </w:r>
      <w:r>
        <w:rPr>
          <w:rFonts w:hint="eastAsia" w:cs="Times New Roman"/>
          <w:color w:val="0D0D0D" w:themeColor="text1" w:themeTint="F2"/>
          <w:szCs w:val="24"/>
          <w14:textFill>
            <w14:solidFill>
              <w14:schemeClr w14:val="tx1">
                <w14:lumMod w14:val="95000"/>
                <w14:lumOff w14:val="5000"/>
              </w14:schemeClr>
            </w14:solidFill>
          </w14:textFill>
        </w:rPr>
        <w:t>被保险企业</w:t>
      </w:r>
      <w:r>
        <w:rPr>
          <w:rFonts w:hint="eastAsia" w:cs="Times New Roman"/>
          <w:color w:val="0D0D0D" w:themeColor="text1" w:themeTint="F2"/>
          <w:szCs w:val="24"/>
          <w:lang w:eastAsia="zh-CN"/>
          <w14:textFill>
            <w14:solidFill>
              <w14:schemeClr w14:val="tx1">
                <w14:lumMod w14:val="95000"/>
                <w14:lumOff w14:val="5000"/>
              </w14:schemeClr>
            </w14:solidFill>
          </w14:textFill>
        </w:rPr>
        <w:t>、</w:t>
      </w:r>
      <w:r>
        <w:rPr>
          <w:rFonts w:hint="eastAsia" w:cs="Times New Roman"/>
          <w:color w:val="0D0D0D" w:themeColor="text1" w:themeTint="F2"/>
          <w:szCs w:val="24"/>
          <w14:textFill>
            <w14:solidFill>
              <w14:schemeClr w14:val="tx1">
                <w14:lumMod w14:val="95000"/>
                <w14:lumOff w14:val="5000"/>
              </w14:schemeClr>
            </w14:solidFill>
          </w14:textFill>
        </w:rPr>
        <w:t>云服务商</w:t>
      </w:r>
      <w:r>
        <w:rPr>
          <w:rFonts w:hint="eastAsia" w:cs="Times New Roman"/>
          <w:color w:val="0D0D0D" w:themeColor="text1" w:themeTint="F2"/>
          <w:szCs w:val="24"/>
          <w:lang w:eastAsia="zh-CN"/>
          <w14:textFill>
            <w14:solidFill>
              <w14:schemeClr w14:val="tx1">
                <w14:lumMod w14:val="95000"/>
                <w14:lumOff w14:val="5000"/>
              </w14:schemeClr>
            </w14:solidFill>
          </w14:textFill>
        </w:rPr>
        <w:t>、</w:t>
      </w:r>
      <w:r>
        <w:rPr>
          <w:rFonts w:hint="eastAsia" w:cs="Times New Roman"/>
          <w:color w:val="0D0D0D" w:themeColor="text1" w:themeTint="F2"/>
          <w:szCs w:val="24"/>
          <w14:textFill>
            <w14:solidFill>
              <w14:schemeClr w14:val="tx1">
                <w14:lumMod w14:val="95000"/>
                <w14:lumOff w14:val="5000"/>
              </w14:schemeClr>
            </w14:solidFill>
          </w14:textFill>
        </w:rPr>
        <w:t>数据及组件供应商的技术依赖台账，识别使用相同模型、相同版本或者相同关键服务商的保单，并设置集中度阈值、承保容量和最大可能损失情景。再保险合同还应明确共同原因、同一事故及事故期间的认定方法，使因同一模型缺陷或服务中断引起的多项损失能够合理归并，减少事故聚合争议。</w:t>
      </w:r>
    </w:p>
    <w:p w14:paraId="4DF0C322">
      <w:pPr>
        <w:pageBreakBefore w:val="0"/>
        <w:widowControl/>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rPr>
      </w:pPr>
      <w:r>
        <w:rPr>
          <w:rFonts w:hint="eastAsia" w:ascii="Times New Roman" w:hAnsi="Times New Roman" w:eastAsia="宋体"/>
        </w:rPr>
        <w:t>第五章构建的六维管理体系，依据风险四象限特征形成差异化配置：风险自留承接低频低损风险，损失控制与风险分散协同应对高频低损风险，风险对冲借助ESG能力缓冲各类事件的衍生损失，风险撤出作为底线手段消除高频高损或不可逆风险，保险转移则通过“科创安澜”</w:t>
      </w:r>
      <w:r>
        <w:rPr>
          <w:rFonts w:hint="eastAsia"/>
          <w:lang w:val="en-US" w:eastAsia="zh-CN"/>
        </w:rPr>
        <w:t>AI伦理保险</w:t>
      </w:r>
      <w:r>
        <w:rPr>
          <w:rFonts w:hint="eastAsia" w:ascii="Times New Roman" w:hAnsi="Times New Roman" w:eastAsia="宋体"/>
        </w:rPr>
        <w:t>方案为低频高损风险提供损失融资。六个维度相互衔接，构成覆盖“事前预防—事中控制—事后补偿—底线退出”全链条的闭环管理框架。</w:t>
      </w:r>
    </w:p>
    <w:bookmarkEnd w:id="22"/>
    <w:p w14:paraId="1EDAAAF7">
      <w:pPr>
        <w:pStyle w:val="3"/>
        <w:bidi w:val="0"/>
        <w:rPr>
          <w:rFonts w:hint="eastAsia"/>
        </w:rPr>
      </w:pPr>
      <w:bookmarkStart w:id="64" w:name="_Toc18059"/>
      <w:commentRangeStart w:id="3"/>
      <w:r>
        <w:rPr>
          <w:rFonts w:hint="eastAsia" w:ascii="宋体" w:hAnsi="宋体" w:eastAsia="宋体" w:cs="宋体"/>
          <w:sz w:val="30"/>
          <w:szCs w:val="30"/>
          <w:lang w:val="en-US" w:eastAsia="zh-CN"/>
        </w:rPr>
        <w:t>六、</w:t>
      </w:r>
      <w:r>
        <w:rPr>
          <w:rFonts w:hint="default" w:ascii="Times New Roman" w:hAnsi="Times New Roman" w:eastAsia="宋体" w:cs="Times New Roman"/>
          <w:sz w:val="30"/>
          <w:szCs w:val="30"/>
        </w:rPr>
        <w:t>AI</w:t>
      </w:r>
      <w:r>
        <w:rPr>
          <w:rFonts w:hint="eastAsia" w:ascii="宋体" w:hAnsi="宋体" w:eastAsia="宋体" w:cs="宋体"/>
          <w:sz w:val="30"/>
          <w:szCs w:val="30"/>
        </w:rPr>
        <w:t>伦理风险智能识别与管理平台</w:t>
      </w:r>
      <w:commentRangeEnd w:id="3"/>
      <w:r>
        <w:commentReference w:id="3"/>
      </w:r>
      <w:bookmarkEnd w:id="64"/>
    </w:p>
    <w:p w14:paraId="5B4ACA08">
      <w:pPr>
        <w:bidi w:val="0"/>
        <w:rPr>
          <w:rFonts w:hint="eastAsia"/>
        </w:rPr>
      </w:pPr>
      <w:r>
        <w:rPr>
          <w:rFonts w:hint="eastAsia"/>
        </w:rPr>
        <w:t>前文从理论层面构建了</w:t>
      </w:r>
      <w:r>
        <w:rPr>
          <w:rFonts w:hint="eastAsia"/>
          <w:lang w:val="en-US" w:eastAsia="zh-CN"/>
        </w:rPr>
        <w:t>AI伦理风险识别、评估与管理的体系</w:t>
      </w:r>
      <w:r>
        <w:rPr>
          <w:rFonts w:hint="eastAsia"/>
        </w:rPr>
        <w:t>。</w:t>
      </w:r>
      <w:r>
        <w:rPr>
          <w:rFonts w:hint="eastAsia"/>
          <w:lang w:val="en-US" w:eastAsia="zh-CN"/>
        </w:rPr>
        <w:t>为</w:t>
      </w:r>
      <w:r>
        <w:rPr>
          <w:rFonts w:hint="eastAsia"/>
        </w:rPr>
        <w:t>直接服务于科创企业的日常风险管理实践</w:t>
      </w:r>
      <w:r>
        <w:rPr>
          <w:rFonts w:hint="eastAsia"/>
          <w:lang w:eastAsia="zh-CN"/>
        </w:rPr>
        <w:t>，</w:t>
      </w:r>
      <w:r>
        <w:rPr>
          <w:rFonts w:hint="eastAsia"/>
        </w:rPr>
        <w:t>本章</w:t>
      </w:r>
      <w:r>
        <w:rPr>
          <w:rFonts w:hint="eastAsia"/>
          <w:lang w:val="en-US" w:eastAsia="zh-CN"/>
        </w:rPr>
        <w:t>设计</w:t>
      </w:r>
      <w:r>
        <w:rPr>
          <w:rFonts w:hint="eastAsia"/>
        </w:rPr>
        <w:t>基于前述</w:t>
      </w:r>
      <w:r>
        <w:rPr>
          <w:rFonts w:hint="eastAsia"/>
          <w:lang w:val="en-US" w:eastAsia="zh-CN"/>
        </w:rPr>
        <w:t>理论</w:t>
      </w:r>
      <w:r>
        <w:rPr>
          <w:rFonts w:hint="eastAsia"/>
        </w:rPr>
        <w:t>开发的</w:t>
      </w:r>
      <w:r>
        <w:rPr>
          <w:rFonts w:hint="default"/>
        </w:rPr>
        <w:t>AI</w:t>
      </w:r>
      <w:r>
        <w:rPr>
          <w:rFonts w:hint="eastAsia"/>
        </w:rPr>
        <w:t>伦理风险智能识别与管理平台（以下简称“本平台”），旨在将</w:t>
      </w:r>
      <w:r>
        <w:rPr>
          <w:rFonts w:hint="eastAsia"/>
          <w:lang w:val="en-US" w:eastAsia="zh-CN"/>
        </w:rPr>
        <w:t>AI伦理风险研究成果</w:t>
      </w:r>
      <w:r>
        <w:rPr>
          <w:rFonts w:hint="eastAsia"/>
        </w:rPr>
        <w:t>转化为可供企业直接使用的数字化工具。</w:t>
      </w:r>
    </w:p>
    <w:p w14:paraId="1DCEABB2">
      <w:pPr>
        <w:bidi w:val="0"/>
        <w:spacing w:line="240" w:lineRule="auto"/>
        <w:ind w:left="0" w:leftChars="0" w:firstLine="0" w:firstLineChars="0"/>
        <w:jc w:val="center"/>
      </w:pPr>
      <w:r>
        <w:drawing>
          <wp:inline distT="0" distB="0" distL="114300" distR="114300">
            <wp:extent cx="5737860" cy="3198495"/>
            <wp:effectExtent l="0" t="0" r="2540" b="19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4"/>
                    <a:stretch>
                      <a:fillRect/>
                    </a:stretch>
                  </pic:blipFill>
                  <pic:spPr>
                    <a:xfrm>
                      <a:off x="0" y="0"/>
                      <a:ext cx="5737860" cy="3198495"/>
                    </a:xfrm>
                    <a:prstGeom prst="rect">
                      <a:avLst/>
                    </a:prstGeom>
                    <a:noFill/>
                    <a:ln>
                      <a:noFill/>
                    </a:ln>
                  </pic:spPr>
                </pic:pic>
              </a:graphicData>
            </a:graphic>
          </wp:inline>
        </w:drawing>
      </w:r>
    </w:p>
    <w:p w14:paraId="4B95671E">
      <w:pPr>
        <w:bidi w:val="0"/>
        <w:spacing w:line="240" w:lineRule="auto"/>
        <w:ind w:left="0" w:leftChars="0" w:firstLine="0" w:firstLineChars="0"/>
        <w:jc w:val="center"/>
        <w:rPr>
          <w:rFonts w:hint="eastAsia"/>
        </w:rPr>
      </w:pPr>
      <w:r>
        <w:rPr>
          <w:rFonts w:hint="eastAsia"/>
          <w:sz w:val="21"/>
          <w:szCs w:val="21"/>
          <w:lang w:val="en-US" w:eastAsia="zh-CN"/>
        </w:rPr>
        <w:t>图6-1 AI伦理风险智能评估平台</w:t>
      </w:r>
    </w:p>
    <w:p w14:paraId="216C02CE">
      <w:pPr>
        <w:pStyle w:val="4"/>
        <w:bidi w:val="0"/>
        <w:rPr>
          <w:rFonts w:hint="eastAsia"/>
        </w:rPr>
      </w:pPr>
      <w:bookmarkStart w:id="65" w:name="_Toc22040"/>
      <w:r>
        <w:rPr>
          <w:rFonts w:hint="eastAsia"/>
          <w:lang w:eastAsia="zh-CN"/>
        </w:rPr>
        <w:t>（</w:t>
      </w:r>
      <w:r>
        <w:rPr>
          <w:rFonts w:hint="eastAsia"/>
          <w:lang w:val="en-US" w:eastAsia="zh-CN"/>
        </w:rPr>
        <w:t>一</w:t>
      </w:r>
      <w:r>
        <w:rPr>
          <w:rFonts w:hint="eastAsia"/>
          <w:lang w:eastAsia="zh-CN"/>
        </w:rPr>
        <w:t>）</w:t>
      </w:r>
      <w:r>
        <w:rPr>
          <w:rFonts w:hint="eastAsia"/>
        </w:rPr>
        <w:t>平台定位与建设意义</w:t>
      </w:r>
      <w:bookmarkEnd w:id="65"/>
    </w:p>
    <w:p w14:paraId="3ACDF864">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eastAsia"/>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1．</w:t>
      </w:r>
      <w:r>
        <w:rPr>
          <w:rFonts w:hint="eastAsia"/>
        </w:rPr>
        <w:t>使用对象</w:t>
      </w:r>
    </w:p>
    <w:p w14:paraId="214FEF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rPr>
      </w:pPr>
      <w:r>
        <w:rPr>
          <w:rFonts w:hint="eastAsia" w:ascii="宋体" w:hAnsi="宋体" w:eastAsia="宋体" w:cs="宋体"/>
          <w:sz w:val="24"/>
          <w:szCs w:val="24"/>
        </w:rPr>
        <w:t>本平台主要面向三类用户群体。第一类是科创企业的技术管理者与合规人员，他们需要在</w:t>
      </w:r>
      <w:r>
        <w:rPr>
          <w:rFonts w:hint="default" w:ascii="Times New Roman" w:hAnsi="Times New Roman" w:eastAsia="宋体" w:cs="Times New Roman"/>
          <w:sz w:val="24"/>
          <w:szCs w:val="24"/>
        </w:rPr>
        <w:t>AI</w:t>
      </w:r>
      <w:r>
        <w:rPr>
          <w:rFonts w:hint="eastAsia" w:ascii="宋体" w:hAnsi="宋体" w:eastAsia="宋体" w:cs="宋体"/>
          <w:sz w:val="24"/>
          <w:szCs w:val="24"/>
        </w:rPr>
        <w:t>产品研发和部署过程中识别潜在的伦理风险，并制定相应的管理措施；第二类是</w:t>
      </w:r>
      <w:r>
        <w:rPr>
          <w:rFonts w:hint="default" w:ascii="Times New Roman" w:hAnsi="Times New Roman" w:eastAsia="宋体" w:cs="Times New Roman"/>
          <w:sz w:val="24"/>
          <w:szCs w:val="24"/>
        </w:rPr>
        <w:t>AI</w:t>
      </w:r>
      <w:r>
        <w:rPr>
          <w:rFonts w:hint="eastAsia" w:ascii="宋体" w:hAnsi="宋体" w:eastAsia="宋体" w:cs="宋体"/>
          <w:sz w:val="24"/>
          <w:szCs w:val="24"/>
        </w:rPr>
        <w:t>伦理风险研究人员与政策制定者，他们需要了解不同领域中伦理风险的分布特征和优先级；第三类是对</w:t>
      </w:r>
      <w:r>
        <w:rPr>
          <w:rFonts w:hint="default" w:ascii="Times New Roman" w:hAnsi="Times New Roman" w:eastAsia="宋体" w:cs="Times New Roman"/>
          <w:sz w:val="24"/>
          <w:szCs w:val="24"/>
        </w:rPr>
        <w:t>AI</w:t>
      </w:r>
      <w:r>
        <w:rPr>
          <w:rFonts w:hint="eastAsia" w:ascii="宋体" w:hAnsi="宋体" w:eastAsia="宋体" w:cs="宋体"/>
          <w:sz w:val="24"/>
          <w:szCs w:val="24"/>
        </w:rPr>
        <w:t>伦理治理感兴趣的公众与投资者，他们可以通过平台了解企业</w:t>
      </w:r>
      <w:r>
        <w:rPr>
          <w:rFonts w:hint="default" w:ascii="Times New Roman" w:hAnsi="Times New Roman" w:eastAsia="宋体" w:cs="Times New Roman"/>
          <w:sz w:val="24"/>
          <w:szCs w:val="24"/>
        </w:rPr>
        <w:t>AI</w:t>
      </w:r>
      <w:r>
        <w:rPr>
          <w:rFonts w:hint="eastAsia" w:ascii="宋体" w:hAnsi="宋体" w:eastAsia="宋体" w:cs="宋体"/>
          <w:sz w:val="24"/>
          <w:szCs w:val="24"/>
        </w:rPr>
        <w:t>活动的风险状况和治理水平。</w:t>
      </w:r>
    </w:p>
    <w:p w14:paraId="046374AC">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eastAsia"/>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2．</w:t>
      </w:r>
      <w:r>
        <w:rPr>
          <w:rFonts w:hint="eastAsia"/>
        </w:rPr>
        <w:t>平台亮点</w:t>
      </w:r>
    </w:p>
    <w:p w14:paraId="6F5D49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相较于一般的</w:t>
      </w:r>
      <w:r>
        <w:rPr>
          <w:rFonts w:hint="default" w:ascii="Times New Roman" w:hAnsi="Times New Roman" w:eastAsia="宋体" w:cs="Times New Roman"/>
          <w:sz w:val="24"/>
          <w:szCs w:val="24"/>
        </w:rPr>
        <w:t>AI</w:t>
      </w:r>
      <w:r>
        <w:rPr>
          <w:rFonts w:hint="eastAsia" w:ascii="宋体" w:hAnsi="宋体" w:eastAsia="宋体" w:cs="宋体"/>
          <w:sz w:val="24"/>
          <w:szCs w:val="24"/>
        </w:rPr>
        <w:t>风险评估工具，本平台具有以下突出特点。</w:t>
      </w:r>
    </w:p>
    <w:p w14:paraId="2F00F762">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理论驱动的风险识别。平台的风险识别引擎内嵌了第三章构建的</w:t>
      </w:r>
      <w:r>
        <w:rPr>
          <w:rFonts w:hint="default" w:ascii="Times New Roman" w:hAnsi="Times New Roman" w:cs="Times New Roman"/>
          <w:sz w:val="24"/>
          <w:szCs w:val="24"/>
          <w:lang w:val="en-US" w:eastAsia="zh-CN"/>
        </w:rPr>
        <w:t>AI</w:t>
      </w:r>
      <w:r>
        <w:rPr>
          <w:rFonts w:hint="eastAsia" w:ascii="宋体" w:hAnsi="宋体" w:cs="宋体"/>
          <w:sz w:val="24"/>
          <w:szCs w:val="24"/>
          <w:lang w:val="en-US" w:eastAsia="zh-CN"/>
        </w:rPr>
        <w:t>伦理风险</w:t>
      </w:r>
      <w:r>
        <w:rPr>
          <w:rFonts w:hint="default" w:ascii="Times New Roman" w:hAnsi="Times New Roman" w:eastAsia="宋体" w:cs="Times New Roman"/>
          <w:sz w:val="24"/>
          <w:szCs w:val="24"/>
        </w:rPr>
        <w:t>ERS</w:t>
      </w:r>
      <w:r>
        <w:rPr>
          <w:rFonts w:hint="eastAsia" w:ascii="宋体" w:hAnsi="宋体" w:eastAsia="宋体" w:cs="宋体"/>
          <w:sz w:val="24"/>
          <w:szCs w:val="24"/>
        </w:rPr>
        <w:t>（</w:t>
      </w:r>
      <w:r>
        <w:rPr>
          <w:rFonts w:hint="default" w:ascii="Times New Roman" w:hAnsi="Times New Roman" w:eastAsia="宋体" w:cs="Times New Roman"/>
          <w:sz w:val="24"/>
          <w:szCs w:val="24"/>
        </w:rPr>
        <w:t>Ethical</w:t>
      </w:r>
      <w:r>
        <w:rPr>
          <w:rFonts w:hint="eastAsia" w:ascii="宋体" w:hAnsi="宋体" w:eastAsia="宋体" w:cs="宋体"/>
          <w:sz w:val="24"/>
          <w:szCs w:val="24"/>
        </w:rPr>
        <w:t xml:space="preserve"> </w:t>
      </w:r>
      <w:r>
        <w:rPr>
          <w:rFonts w:hint="default" w:ascii="Times New Roman" w:hAnsi="Times New Roman" w:eastAsia="宋体" w:cs="Times New Roman"/>
          <w:sz w:val="24"/>
          <w:szCs w:val="24"/>
        </w:rPr>
        <w:t>Risk</w:t>
      </w:r>
      <w:r>
        <w:rPr>
          <w:rFonts w:hint="eastAsia" w:ascii="宋体" w:hAnsi="宋体" w:eastAsia="宋体" w:cs="宋体"/>
          <w:sz w:val="24"/>
          <w:szCs w:val="24"/>
        </w:rPr>
        <w:t xml:space="preserve"> </w:t>
      </w:r>
      <w:r>
        <w:rPr>
          <w:rFonts w:hint="default" w:ascii="Times New Roman" w:hAnsi="Times New Roman" w:eastAsia="宋体" w:cs="Times New Roman"/>
          <w:sz w:val="24"/>
          <w:szCs w:val="24"/>
        </w:rPr>
        <w:t>Score</w:t>
      </w:r>
      <w:r>
        <w:rPr>
          <w:rFonts w:hint="eastAsia" w:ascii="宋体" w:hAnsi="宋体" w:eastAsia="宋体" w:cs="宋体"/>
          <w:sz w:val="24"/>
          <w:szCs w:val="24"/>
        </w:rPr>
        <w:t>）模型。</w:t>
      </w:r>
      <w:r>
        <w:rPr>
          <w:rFonts w:hint="default" w:ascii="Times New Roman" w:hAnsi="Times New Roman" w:eastAsia="宋体" w:cs="Times New Roman"/>
          <w:sz w:val="24"/>
          <w:szCs w:val="24"/>
        </w:rPr>
        <w:t>ERS</w:t>
      </w:r>
      <w:r>
        <w:rPr>
          <w:rFonts w:hint="eastAsia" w:ascii="宋体" w:hAnsi="宋体" w:eastAsia="宋体" w:cs="宋体"/>
          <w:sz w:val="24"/>
          <w:szCs w:val="24"/>
        </w:rPr>
        <w:t>由</w:t>
      </w:r>
      <w:r>
        <w:rPr>
          <w:rFonts w:hint="default" w:ascii="Times New Roman" w:hAnsi="Times New Roman" w:eastAsia="宋体" w:cs="Times New Roman"/>
          <w:sz w:val="24"/>
          <w:szCs w:val="24"/>
        </w:rPr>
        <w:t>ERM</w:t>
      </w:r>
      <w:r>
        <w:rPr>
          <w:rFonts w:hint="eastAsia" w:ascii="宋体" w:hAnsi="宋体" w:eastAsia="宋体" w:cs="宋体"/>
          <w:sz w:val="24"/>
          <w:szCs w:val="24"/>
        </w:rPr>
        <w:t>（证据风险度量）、</w:t>
      </w:r>
      <w:r>
        <w:rPr>
          <w:rFonts w:hint="default" w:ascii="Times New Roman" w:hAnsi="Times New Roman" w:eastAsia="宋体" w:cs="Times New Roman"/>
          <w:sz w:val="24"/>
          <w:szCs w:val="24"/>
        </w:rPr>
        <w:t>WoI</w:t>
      </w:r>
      <w:r>
        <w:rPr>
          <w:rFonts w:hint="eastAsia" w:ascii="宋体" w:hAnsi="宋体" w:eastAsia="宋体" w:cs="宋体"/>
          <w:sz w:val="24"/>
          <w:szCs w:val="24"/>
        </w:rPr>
        <w:t>（相对重要性权重）和</w:t>
      </w:r>
      <w:r>
        <w:rPr>
          <w:rFonts w:hint="default" w:ascii="Times New Roman" w:hAnsi="Times New Roman" w:eastAsia="宋体" w:cs="Times New Roman"/>
          <w:sz w:val="24"/>
          <w:szCs w:val="24"/>
        </w:rPr>
        <w:t>CF</w:t>
      </w:r>
      <w:r>
        <w:rPr>
          <w:rFonts w:hint="eastAsia" w:ascii="宋体" w:hAnsi="宋体" w:eastAsia="宋体" w:cs="宋体"/>
          <w:sz w:val="24"/>
          <w:szCs w:val="24"/>
        </w:rPr>
        <w:t>（证据充分度修正）三项指标合成，反映不同“领域—风险”组合的相对关注优先级。当用户选择“个性化算法”“机器视觉”“自动驾驶”或“服务机器人”四个重点领域之一时，平台会自动调取该领域的</w:t>
      </w:r>
      <w:r>
        <w:rPr>
          <w:rFonts w:hint="default" w:ascii="Times New Roman" w:hAnsi="Times New Roman" w:eastAsia="宋体" w:cs="Times New Roman"/>
          <w:sz w:val="24"/>
          <w:szCs w:val="24"/>
        </w:rPr>
        <w:t>ERS</w:t>
      </w:r>
      <w:r>
        <w:rPr>
          <w:rFonts w:hint="eastAsia" w:ascii="宋体" w:hAnsi="宋体" w:eastAsia="宋体" w:cs="宋体"/>
          <w:sz w:val="24"/>
          <w:szCs w:val="24"/>
        </w:rPr>
        <w:t>优先级表，使风险识别不仅依赖通用知识，更获得系统性实证研究的支撑。</w:t>
      </w:r>
    </w:p>
    <w:p w14:paraId="242DE165">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检索增强生成（</w:t>
      </w:r>
      <w:r>
        <w:rPr>
          <w:rFonts w:hint="default" w:ascii="Times New Roman" w:hAnsi="Times New Roman" w:eastAsia="宋体" w:cs="Times New Roman"/>
          <w:sz w:val="24"/>
          <w:szCs w:val="24"/>
        </w:rPr>
        <w:t>RAG</w:t>
      </w:r>
      <w:r>
        <w:rPr>
          <w:rFonts w:hint="eastAsia" w:ascii="宋体" w:hAnsi="宋体" w:eastAsia="宋体" w:cs="宋体"/>
          <w:sz w:val="24"/>
          <w:szCs w:val="24"/>
        </w:rPr>
        <w:t>）架构，保障事实依据</w:t>
      </w:r>
      <w:r>
        <w:rPr>
          <w:rFonts w:hint="eastAsia" w:ascii="宋体" w:hAnsi="宋体" w:cs="宋体"/>
          <w:sz w:val="24"/>
          <w:szCs w:val="24"/>
          <w:lang w:eastAsia="zh-CN"/>
        </w:rPr>
        <w:t>。</w:t>
      </w:r>
      <w:r>
        <w:rPr>
          <w:rFonts w:hint="eastAsia" w:ascii="宋体" w:hAnsi="宋体" w:eastAsia="宋体" w:cs="宋体"/>
          <w:sz w:val="24"/>
          <w:szCs w:val="24"/>
        </w:rPr>
        <w:t>平台采用</w:t>
      </w:r>
      <w:r>
        <w:rPr>
          <w:rFonts w:hint="default" w:ascii="Times New Roman" w:hAnsi="Times New Roman" w:eastAsia="宋体" w:cs="Times New Roman"/>
          <w:sz w:val="24"/>
          <w:szCs w:val="24"/>
        </w:rPr>
        <w:t>RAG</w:t>
      </w:r>
      <w:r>
        <w:rPr>
          <w:rFonts w:hint="eastAsia" w:ascii="宋体" w:hAnsi="宋体" w:eastAsia="宋体" w:cs="宋体"/>
          <w:sz w:val="24"/>
          <w:szCs w:val="24"/>
        </w:rPr>
        <w:t>技术架构，在用户输入分析请求后，首先从向量数据库中检索与用户输入语义相关的政策文件、行业资讯、学术文献和</w:t>
      </w:r>
      <w:r>
        <w:rPr>
          <w:rFonts w:hint="default" w:ascii="Times New Roman" w:hAnsi="Times New Roman" w:eastAsia="宋体" w:cs="Times New Roman"/>
          <w:sz w:val="24"/>
          <w:szCs w:val="24"/>
        </w:rPr>
        <w:t>ERS</w:t>
      </w:r>
      <w:r>
        <w:rPr>
          <w:rFonts w:hint="eastAsia" w:ascii="宋体" w:hAnsi="宋体" w:eastAsia="宋体" w:cs="宋体"/>
          <w:sz w:val="24"/>
          <w:szCs w:val="24"/>
        </w:rPr>
        <w:t>优先级表等知识文档，将检索结果作为上下文注入大模型，再生成最终回答。这一设计从根本上</w:t>
      </w:r>
      <w:r>
        <w:rPr>
          <w:rFonts w:hint="eastAsia" w:ascii="宋体" w:hAnsi="宋体" w:cs="宋体"/>
          <w:sz w:val="24"/>
          <w:szCs w:val="24"/>
          <w:lang w:val="en-US" w:eastAsia="zh-CN"/>
        </w:rPr>
        <w:t>改变</w:t>
      </w:r>
      <w:r>
        <w:rPr>
          <w:rFonts w:hint="eastAsia" w:ascii="宋体" w:hAnsi="宋体" w:eastAsia="宋体" w:cs="宋体"/>
          <w:sz w:val="24"/>
          <w:szCs w:val="24"/>
        </w:rPr>
        <w:t>了传统大</w:t>
      </w:r>
      <w:r>
        <w:rPr>
          <w:rFonts w:hint="eastAsia" w:ascii="宋体" w:hAnsi="宋体" w:cs="宋体"/>
          <w:sz w:val="24"/>
          <w:szCs w:val="24"/>
          <w:lang w:val="en-US" w:eastAsia="zh-CN"/>
        </w:rPr>
        <w:t>模型回答没有依据的问题</w:t>
      </w:r>
      <w:r>
        <w:rPr>
          <w:rFonts w:hint="eastAsia" w:ascii="宋体" w:hAnsi="宋体" w:eastAsia="宋体" w:cs="宋体"/>
          <w:sz w:val="24"/>
          <w:szCs w:val="24"/>
        </w:rPr>
        <w:t>，使平台的每一次输出都有可追溯的知识来源。具体而言，风险识别链路和风险管理建议链路分别设置了独立的检索器，分别从知识库中检索与当前场景最相关的文档，确保</w:t>
      </w:r>
      <w:r>
        <w:rPr>
          <w:rFonts w:hint="eastAsia" w:ascii="宋体" w:hAnsi="宋体" w:cs="宋体"/>
          <w:sz w:val="24"/>
          <w:szCs w:val="24"/>
          <w:lang w:val="en-US" w:eastAsia="zh-CN"/>
        </w:rPr>
        <w:t>风险</w:t>
      </w:r>
      <w:r>
        <w:rPr>
          <w:rFonts w:hint="eastAsia" w:ascii="宋体" w:hAnsi="宋体" w:eastAsia="宋体" w:cs="宋体"/>
          <w:sz w:val="24"/>
          <w:szCs w:val="24"/>
        </w:rPr>
        <w:t>识别和建议两个环节都能获得充分的上下文支撑。</w:t>
      </w:r>
      <w:r>
        <w:rPr>
          <w:rFonts w:hint="default" w:ascii="Times New Roman" w:hAnsi="Times New Roman" w:eastAsia="宋体" w:cs="Times New Roman"/>
          <w:sz w:val="24"/>
          <w:szCs w:val="24"/>
        </w:rPr>
        <w:t>RAG</w:t>
      </w:r>
      <w:r>
        <w:rPr>
          <w:rFonts w:hint="eastAsia" w:ascii="宋体" w:hAnsi="宋体" w:eastAsia="宋体" w:cs="宋体"/>
          <w:sz w:val="24"/>
          <w:szCs w:val="24"/>
        </w:rPr>
        <w:t>架构还解决了大模型知识截止日期带来的信息滞后问题</w:t>
      </w:r>
      <w:r>
        <w:rPr>
          <w:rFonts w:hint="eastAsia" w:ascii="宋体" w:hAnsi="宋体" w:cs="宋体"/>
          <w:sz w:val="24"/>
          <w:szCs w:val="24"/>
          <w:lang w:eastAsia="zh-CN"/>
        </w:rPr>
        <w:t>，</w:t>
      </w:r>
      <w:r>
        <w:rPr>
          <w:rFonts w:hint="eastAsia" w:ascii="宋体" w:hAnsi="宋体" w:eastAsia="宋体" w:cs="宋体"/>
          <w:sz w:val="24"/>
          <w:szCs w:val="24"/>
        </w:rPr>
        <w:t>当新的政策文件纳入知识库后，平台能够立即基于最新政策进行分析，无需重新训练模型。用户在前端看到的每一条风险识别和管理建议，背后都有具体的政策依据、</w:t>
      </w:r>
      <w:r>
        <w:rPr>
          <w:rFonts w:hint="eastAsia" w:ascii="宋体" w:hAnsi="宋体" w:cs="宋体"/>
          <w:sz w:val="24"/>
          <w:szCs w:val="24"/>
          <w:lang w:val="en-US" w:eastAsia="zh-CN"/>
        </w:rPr>
        <w:t>实证依据</w:t>
      </w:r>
      <w:r>
        <w:rPr>
          <w:rFonts w:hint="eastAsia" w:ascii="宋体" w:hAnsi="宋体" w:eastAsia="宋体" w:cs="宋体"/>
          <w:sz w:val="24"/>
          <w:szCs w:val="24"/>
        </w:rPr>
        <w:t>或行业案例作为支撑。</w:t>
      </w:r>
    </w:p>
    <w:p w14:paraId="42A38A14">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严格的事实边界约束。平台在系统提示词中嵌入了十余条硬规则，明确要求不得将用户未提供的信息写成企业当前事实，不得因为某项风险</w:t>
      </w:r>
      <w:r>
        <w:rPr>
          <w:rFonts w:hint="default" w:ascii="Times New Roman" w:hAnsi="Times New Roman" w:eastAsia="宋体" w:cs="Times New Roman"/>
          <w:sz w:val="24"/>
          <w:szCs w:val="24"/>
        </w:rPr>
        <w:t>ERS</w:t>
      </w:r>
      <w:r>
        <w:rPr>
          <w:rFonts w:hint="eastAsia" w:ascii="宋体" w:hAnsi="宋体" w:eastAsia="宋体" w:cs="宋体"/>
          <w:sz w:val="24"/>
          <w:szCs w:val="24"/>
        </w:rPr>
        <w:t>较高就直接判断企业实际风险较高，对合理但未经输入支持的风险只能使用条件性表述。这一设计有效避免了</w:t>
      </w:r>
      <w:r>
        <w:rPr>
          <w:rFonts w:hint="default" w:ascii="Times New Roman" w:hAnsi="Times New Roman" w:eastAsia="宋体" w:cs="Times New Roman"/>
          <w:sz w:val="24"/>
          <w:szCs w:val="24"/>
        </w:rPr>
        <w:t>AI</w:t>
      </w:r>
      <w:r>
        <w:rPr>
          <w:rFonts w:hint="eastAsia" w:ascii="宋体" w:hAnsi="宋体" w:eastAsia="宋体" w:cs="宋体"/>
          <w:sz w:val="24"/>
          <w:szCs w:val="24"/>
        </w:rPr>
        <w:t>模型常见的“幻觉”问题，确保输出结果始终锚定于用户输入的具体场景。</w:t>
      </w:r>
    </w:p>
    <w:p w14:paraId="7B39582F">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风险等级的三层分类。平台将识别出的风险分为“已识别风险”“潜在风险/待核验风险”和“当前未发现明显风险”三个层级。已识别风险标注</w:t>
      </w:r>
      <w:r>
        <w:rPr>
          <w:rFonts w:hint="default" w:ascii="Times New Roman" w:hAnsi="Times New Roman" w:eastAsia="宋体" w:cs="Times New Roman"/>
          <w:sz w:val="24"/>
          <w:szCs w:val="24"/>
        </w:rPr>
        <w:t>ERS</w:t>
      </w:r>
      <w:r>
        <w:rPr>
          <w:rFonts w:hint="eastAsia" w:ascii="宋体" w:hAnsi="宋体" w:eastAsia="宋体" w:cs="宋体"/>
          <w:sz w:val="24"/>
          <w:szCs w:val="24"/>
        </w:rPr>
        <w:t>分数，潜在风险仅作为提示而不标注分数</w:t>
      </w:r>
      <w:r>
        <w:rPr>
          <w:rFonts w:hint="eastAsia" w:ascii="宋体" w:hAnsi="宋体" w:cs="宋体"/>
          <w:sz w:val="24"/>
          <w:szCs w:val="24"/>
          <w:lang w:eastAsia="zh-CN"/>
        </w:rPr>
        <w:t>，对已</w:t>
      </w:r>
      <w:r>
        <w:rPr>
          <w:rFonts w:hint="eastAsia" w:ascii="宋体" w:hAnsi="宋体" w:eastAsia="宋体" w:cs="宋体"/>
          <w:sz w:val="24"/>
          <w:szCs w:val="24"/>
        </w:rPr>
        <w:t>控制的风险予以肯定而不重复建议。这种分层设计使企业能够清</w:t>
      </w:r>
      <w:r>
        <w:rPr>
          <w:rFonts w:hint="eastAsia" w:ascii="宋体" w:hAnsi="宋体" w:cs="宋体"/>
          <w:sz w:val="24"/>
          <w:szCs w:val="24"/>
          <w:lang w:eastAsia="zh-CN"/>
        </w:rPr>
        <w:t>晰地</w:t>
      </w:r>
      <w:r>
        <w:rPr>
          <w:rFonts w:hint="eastAsia" w:ascii="宋体" w:hAnsi="宋体" w:eastAsia="宋体" w:cs="宋体"/>
          <w:sz w:val="24"/>
          <w:szCs w:val="24"/>
        </w:rPr>
        <w:t>区分“已经确认的问题”“需要进一步核查的问题”和“已经有效控制的问题”。</w:t>
      </w:r>
    </w:p>
    <w:p w14:paraId="244FAFFE">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eastAsia"/>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3．</w:t>
      </w:r>
      <w:r>
        <w:rPr>
          <w:rFonts w:hint="eastAsia"/>
        </w:rPr>
        <w:t>建设意义</w:t>
      </w:r>
    </w:p>
    <w:p w14:paraId="2D4412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从学术研究的角度看，本平台是将理论模型转化为实践工具的一次尝试</w:t>
      </w:r>
      <w:r>
        <w:rPr>
          <w:rFonts w:hint="default" w:ascii="Times New Roman" w:hAnsi="Times New Roman" w:eastAsia="宋体" w:cs="Times New Roman"/>
          <w:sz w:val="24"/>
          <w:szCs w:val="24"/>
        </w:rPr>
        <w:t>。</w:t>
      </w:r>
      <w:r>
        <w:rPr>
          <w:rFonts w:hint="default" w:ascii="Times New Roman" w:hAnsi="Times New Roman" w:cs="Times New Roman"/>
          <w:sz w:val="24"/>
          <w:szCs w:val="24"/>
          <w:lang w:val="en-US" w:eastAsia="zh-CN"/>
        </w:rPr>
        <w:t>AI</w:t>
      </w:r>
      <w:r>
        <w:rPr>
          <w:rFonts w:hint="eastAsia" w:ascii="宋体" w:hAnsi="宋体" w:cs="宋体"/>
          <w:sz w:val="24"/>
          <w:szCs w:val="24"/>
          <w:lang w:val="en-US" w:eastAsia="zh-CN"/>
        </w:rPr>
        <w:t>伦理风险</w:t>
      </w:r>
      <w:r>
        <w:rPr>
          <w:rFonts w:hint="default" w:ascii="Times New Roman" w:hAnsi="Times New Roman" w:eastAsia="宋体" w:cs="Times New Roman"/>
          <w:sz w:val="24"/>
          <w:szCs w:val="24"/>
        </w:rPr>
        <w:t>ERS</w:t>
      </w:r>
      <w:r>
        <w:rPr>
          <w:rFonts w:hint="eastAsia" w:ascii="宋体" w:hAnsi="宋体" w:eastAsia="宋体" w:cs="宋体"/>
          <w:sz w:val="24"/>
          <w:szCs w:val="24"/>
        </w:rPr>
        <w:t>模型、四象限分析和</w:t>
      </w:r>
      <w:r>
        <w:rPr>
          <w:rFonts w:hint="eastAsia" w:ascii="宋体" w:hAnsi="宋体" w:cs="宋体"/>
          <w:sz w:val="24"/>
          <w:szCs w:val="24"/>
          <w:lang w:val="en-US" w:eastAsia="zh-CN"/>
        </w:rPr>
        <w:t>六</w:t>
      </w:r>
      <w:r>
        <w:rPr>
          <w:rFonts w:hint="eastAsia" w:ascii="宋体" w:hAnsi="宋体" w:eastAsia="宋体" w:cs="宋体"/>
          <w:sz w:val="24"/>
          <w:szCs w:val="24"/>
        </w:rPr>
        <w:t>维管理体系在论文中得到了系统论证，但其价值最终需要通过应用来检验。平台的建设使这些理论成果获得了真实的用户交互场景，为后续的模型验证和迭代优化提供了数据基础。</w:t>
      </w:r>
    </w:p>
    <w:p w14:paraId="10A8F0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从产业实践的角度看，当前多数科创企业缺乏系统的</w:t>
      </w:r>
      <w:r>
        <w:rPr>
          <w:rFonts w:hint="default" w:ascii="Times New Roman" w:hAnsi="Times New Roman" w:eastAsia="宋体" w:cs="Times New Roman"/>
          <w:sz w:val="24"/>
          <w:szCs w:val="24"/>
        </w:rPr>
        <w:t>AI</w:t>
      </w:r>
      <w:r>
        <w:rPr>
          <w:rFonts w:hint="eastAsia" w:ascii="宋体" w:hAnsi="宋体" w:eastAsia="宋体" w:cs="宋体"/>
          <w:sz w:val="24"/>
          <w:szCs w:val="24"/>
        </w:rPr>
        <w:t>伦理风险评估能力。传统的合规审查往往滞后于技术部署，而专业的伦理风险评估又需要跨学科的专业团队。本平台以低门槛、高效率的方式，使企业能够在</w:t>
      </w:r>
      <w:r>
        <w:rPr>
          <w:rFonts w:hint="default" w:ascii="Times New Roman" w:hAnsi="Times New Roman" w:eastAsia="宋体" w:cs="Times New Roman"/>
          <w:sz w:val="24"/>
          <w:szCs w:val="24"/>
        </w:rPr>
        <w:t>AI</w:t>
      </w:r>
      <w:r>
        <w:rPr>
          <w:rFonts w:hint="eastAsia" w:ascii="宋体" w:hAnsi="宋体" w:eastAsia="宋体" w:cs="宋体"/>
          <w:sz w:val="24"/>
          <w:szCs w:val="24"/>
        </w:rPr>
        <w:t>产品研发和部署的早期阶段快速识别伦理风险，将风险管理从“事后补救”前移至“事前预防”。</w:t>
      </w:r>
    </w:p>
    <w:p w14:paraId="3DA8D3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rPr>
      </w:pPr>
      <w:r>
        <w:rPr>
          <w:rFonts w:hint="eastAsia" w:ascii="宋体" w:hAnsi="宋体" w:eastAsia="宋体" w:cs="宋体"/>
          <w:sz w:val="24"/>
          <w:szCs w:val="24"/>
        </w:rPr>
        <w:t>从政策治理的角度看，平台内置的政策与资讯数据库为企业和研究人员提供了便捷的治理信息获取渠道。随着我国人工智能治理从原则倡导向制度化管理的逐步深化，及时获取和理解相关政策法规成为企业合规经营的基本要求。平台在这一方面提供了持续更新的信息支撑。</w:t>
      </w:r>
    </w:p>
    <w:p w14:paraId="7FDBDC0A">
      <w:pPr>
        <w:pStyle w:val="4"/>
        <w:bidi w:val="0"/>
        <w:rPr>
          <w:rFonts w:hint="eastAsia"/>
        </w:rPr>
      </w:pPr>
      <w:bookmarkStart w:id="66" w:name="_Toc15176"/>
      <w:r>
        <w:rPr>
          <w:rFonts w:hint="eastAsia"/>
          <w:lang w:eastAsia="zh-CN"/>
        </w:rPr>
        <w:t>（</w:t>
      </w:r>
      <w:r>
        <w:rPr>
          <w:rFonts w:hint="eastAsia"/>
          <w:lang w:val="en-US" w:eastAsia="zh-CN"/>
        </w:rPr>
        <w:t>二</w:t>
      </w:r>
      <w:r>
        <w:rPr>
          <w:rFonts w:hint="eastAsia"/>
          <w:lang w:eastAsia="zh-CN"/>
        </w:rPr>
        <w:t>）</w:t>
      </w:r>
      <w:r>
        <w:rPr>
          <w:rFonts w:hint="eastAsia"/>
        </w:rPr>
        <w:t>平台功能与使用说明</w:t>
      </w:r>
      <w:bookmarkEnd w:id="66"/>
    </w:p>
    <w:p w14:paraId="311BB44F">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eastAsia"/>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1．</w:t>
      </w:r>
      <w:r>
        <w:rPr>
          <w:rFonts w:hint="eastAsia"/>
        </w:rPr>
        <w:t>整体界面与导航</w:t>
      </w:r>
    </w:p>
    <w:p w14:paraId="5ED218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平台主体由三个标签页构成：“风险识别与建议”“政策栏”和“资讯栏”。用户可根据需要在不同功能之间自由切换。</w:t>
      </w:r>
    </w:p>
    <w:p w14:paraId="64C1324F">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eastAsia"/>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2．</w:t>
      </w:r>
      <w:r>
        <w:rPr>
          <w:rFonts w:hint="eastAsia"/>
        </w:rPr>
        <w:t>风险识别与</w:t>
      </w:r>
      <w:r>
        <w:rPr>
          <w:rFonts w:hint="eastAsia"/>
          <w:lang w:val="en-US" w:eastAsia="zh-CN"/>
        </w:rPr>
        <w:t>管理</w:t>
      </w:r>
      <w:r>
        <w:rPr>
          <w:rFonts w:hint="eastAsia"/>
        </w:rPr>
        <w:t>建议功能</w:t>
      </w:r>
    </w:p>
    <w:p w14:paraId="4C628D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这是平台的核心功能模块。使用流程如下</w:t>
      </w:r>
      <w:r>
        <w:rPr>
          <w:rFonts w:hint="eastAsia" w:ascii="宋体" w:hAnsi="宋体" w:cs="宋体"/>
          <w:sz w:val="24"/>
          <w:szCs w:val="24"/>
          <w:lang w:eastAsia="zh-CN"/>
        </w:rPr>
        <w:t>。</w:t>
      </w:r>
    </w:p>
    <w:p w14:paraId="503FA3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第一步</w:t>
      </w:r>
      <w:r>
        <w:rPr>
          <w:rFonts w:hint="eastAsia" w:ascii="宋体" w:hAnsi="宋体" w:cs="宋体"/>
          <w:sz w:val="24"/>
          <w:szCs w:val="24"/>
          <w:lang w:val="en-US" w:eastAsia="zh-CN"/>
        </w:rPr>
        <w:t>是</w:t>
      </w:r>
      <w:r>
        <w:rPr>
          <w:rFonts w:hint="eastAsia" w:ascii="宋体" w:hAnsi="宋体" w:eastAsia="宋体" w:cs="宋体"/>
          <w:sz w:val="24"/>
          <w:szCs w:val="24"/>
        </w:rPr>
        <w:t>选择</w:t>
      </w:r>
      <w:r>
        <w:rPr>
          <w:rFonts w:hint="default" w:ascii="Times New Roman" w:hAnsi="Times New Roman" w:eastAsia="宋体" w:cs="Times New Roman"/>
          <w:sz w:val="24"/>
          <w:szCs w:val="24"/>
        </w:rPr>
        <w:t>AI</w:t>
      </w:r>
      <w:r>
        <w:rPr>
          <w:rFonts w:hint="eastAsia" w:ascii="宋体" w:hAnsi="宋体" w:eastAsia="宋体" w:cs="宋体"/>
          <w:sz w:val="24"/>
          <w:szCs w:val="24"/>
        </w:rPr>
        <w:t>重点领域。平台提供“个性化算法”“机器视觉”“自动驾驶”“服务机器人”四个重点领域以及“其他通用领域”选项。选择重点领域后，平台将调用该领域</w:t>
      </w:r>
      <w:r>
        <w:rPr>
          <w:rFonts w:hint="eastAsia" w:ascii="Times New Roman" w:hAnsi="Times New Roman" w:eastAsia="宋体" w:cs="宋体"/>
          <w:sz w:val="24"/>
          <w:szCs w:val="24"/>
        </w:rPr>
        <w:t>的</w:t>
      </w:r>
      <w:r>
        <w:rPr>
          <w:rFonts w:hint="eastAsia" w:ascii="Times New Roman" w:hAnsi="Times New Roman" w:cs="宋体"/>
          <w:sz w:val="24"/>
          <w:szCs w:val="24"/>
          <w:lang w:val="en-US" w:eastAsia="zh-CN"/>
        </w:rPr>
        <w:t>AI伦理风险</w:t>
      </w:r>
      <w:r>
        <w:rPr>
          <w:rFonts w:hint="default" w:ascii="Times New Roman" w:hAnsi="Times New Roman" w:eastAsia="宋体" w:cs="Times New Roman"/>
          <w:sz w:val="24"/>
          <w:szCs w:val="24"/>
        </w:rPr>
        <w:t>ERS</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领域－风险”</w:t>
      </w:r>
      <w:r>
        <w:rPr>
          <w:rFonts w:hint="eastAsia" w:ascii="Times New Roman" w:hAnsi="Times New Roman" w:eastAsia="宋体" w:cs="宋体"/>
          <w:sz w:val="24"/>
          <w:szCs w:val="24"/>
        </w:rPr>
        <w:t>优先级表进行辅助分析；选择通用领域则进行一般性</w:t>
      </w:r>
      <w:r>
        <w:rPr>
          <w:rFonts w:hint="default" w:ascii="Times New Roman" w:hAnsi="Times New Roman" w:eastAsia="宋体" w:cs="Times New Roman"/>
          <w:sz w:val="24"/>
          <w:szCs w:val="24"/>
        </w:rPr>
        <w:t>AI</w:t>
      </w:r>
      <w:r>
        <w:rPr>
          <w:rFonts w:hint="eastAsia" w:ascii="Times New Roman" w:hAnsi="Times New Roman" w:eastAsia="宋体" w:cs="宋体"/>
          <w:sz w:val="24"/>
          <w:szCs w:val="24"/>
        </w:rPr>
        <w:t>伦理风险识别</w:t>
      </w:r>
      <w:r>
        <w:rPr>
          <w:rFonts w:hint="eastAsia" w:ascii="宋体" w:hAnsi="宋体" w:eastAsia="宋体" w:cs="宋体"/>
          <w:sz w:val="24"/>
          <w:szCs w:val="24"/>
        </w:rPr>
        <w:t>。</w:t>
      </w:r>
    </w:p>
    <w:p w14:paraId="575C39F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drawing>
          <wp:inline distT="0" distB="0" distL="114300" distR="114300">
            <wp:extent cx="5754370" cy="1265555"/>
            <wp:effectExtent l="0" t="0" r="11430" b="444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5"/>
                    <a:stretch>
                      <a:fillRect/>
                    </a:stretch>
                  </pic:blipFill>
                  <pic:spPr>
                    <a:xfrm>
                      <a:off x="0" y="0"/>
                      <a:ext cx="5754370" cy="1265555"/>
                    </a:xfrm>
                    <a:prstGeom prst="rect">
                      <a:avLst/>
                    </a:prstGeom>
                    <a:noFill/>
                    <a:ln>
                      <a:noFill/>
                    </a:ln>
                  </pic:spPr>
                </pic:pic>
              </a:graphicData>
            </a:graphic>
          </wp:inline>
        </w:drawing>
      </w:r>
    </w:p>
    <w:p w14:paraId="636C7D7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sz w:val="24"/>
          <w:szCs w:val="24"/>
          <w:lang w:val="en-US"/>
        </w:rPr>
      </w:pPr>
      <w:r>
        <w:rPr>
          <w:rFonts w:hint="eastAsia"/>
          <w:sz w:val="21"/>
          <w:szCs w:val="21"/>
          <w:lang w:val="en-US" w:eastAsia="zh-CN"/>
        </w:rPr>
        <w:t>图6-2 AI重点领域选择</w:t>
      </w:r>
    </w:p>
    <w:p w14:paraId="19B749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第二步</w:t>
      </w:r>
      <w:r>
        <w:rPr>
          <w:rFonts w:hint="eastAsia" w:ascii="宋体" w:hAnsi="宋体" w:cs="宋体"/>
          <w:sz w:val="24"/>
          <w:szCs w:val="24"/>
          <w:lang w:val="en-US" w:eastAsia="zh-CN"/>
        </w:rPr>
        <w:t>是</w:t>
      </w:r>
      <w:r>
        <w:rPr>
          <w:rFonts w:hint="eastAsia" w:ascii="宋体" w:hAnsi="宋体" w:eastAsia="宋体" w:cs="宋体"/>
          <w:sz w:val="24"/>
          <w:szCs w:val="24"/>
        </w:rPr>
        <w:t>输入分析内容。用户可通过两种方式输入信息：一是在文本框中直接输入企业条款、专利摘要或项目描述；二是上传文件（支持</w:t>
      </w:r>
      <w:r>
        <w:rPr>
          <w:rFonts w:hint="default" w:ascii="Times New Roman" w:hAnsi="Times New Roman" w:eastAsia="宋体" w:cs="Times New Roman"/>
          <w:sz w:val="24"/>
          <w:szCs w:val="24"/>
        </w:rPr>
        <w:t>txt</w:t>
      </w:r>
      <w:r>
        <w:rPr>
          <w:rFonts w:hint="eastAsia" w:ascii="宋体" w:hAnsi="宋体" w:eastAsia="宋体" w:cs="宋体"/>
          <w:sz w:val="24"/>
          <w:szCs w:val="24"/>
        </w:rPr>
        <w:t>、</w:t>
      </w:r>
      <w:r>
        <w:rPr>
          <w:rFonts w:hint="default" w:ascii="Times New Roman" w:hAnsi="Times New Roman" w:eastAsia="宋体" w:cs="Times New Roman"/>
          <w:sz w:val="24"/>
          <w:szCs w:val="24"/>
        </w:rPr>
        <w:t>md</w:t>
      </w:r>
      <w:r>
        <w:rPr>
          <w:rFonts w:hint="eastAsia" w:ascii="宋体" w:hAnsi="宋体" w:eastAsia="宋体" w:cs="宋体"/>
          <w:sz w:val="24"/>
          <w:szCs w:val="24"/>
        </w:rPr>
        <w:t>、</w:t>
      </w:r>
      <w:r>
        <w:rPr>
          <w:rFonts w:hint="default" w:ascii="Times New Roman" w:hAnsi="Times New Roman" w:eastAsia="宋体" w:cs="Times New Roman"/>
          <w:sz w:val="24"/>
          <w:szCs w:val="24"/>
        </w:rPr>
        <w:t>pdf</w:t>
      </w:r>
      <w:r>
        <w:rPr>
          <w:rFonts w:hint="eastAsia" w:ascii="宋体" w:hAnsi="宋体" w:eastAsia="宋体" w:cs="宋体"/>
          <w:sz w:val="24"/>
          <w:szCs w:val="24"/>
        </w:rPr>
        <w:t>、</w:t>
      </w:r>
      <w:r>
        <w:rPr>
          <w:rFonts w:hint="default" w:ascii="Times New Roman" w:hAnsi="Times New Roman" w:eastAsia="宋体" w:cs="Times New Roman"/>
          <w:sz w:val="24"/>
          <w:szCs w:val="24"/>
        </w:rPr>
        <w:t>docx</w:t>
      </w:r>
      <w:r>
        <w:rPr>
          <w:rFonts w:hint="eastAsia" w:ascii="宋体" w:hAnsi="宋体" w:eastAsia="宋体" w:cs="宋体"/>
          <w:sz w:val="24"/>
          <w:szCs w:val="24"/>
        </w:rPr>
        <w:t>、</w:t>
      </w:r>
      <w:r>
        <w:rPr>
          <w:rFonts w:hint="default" w:ascii="Times New Roman" w:hAnsi="Times New Roman" w:eastAsia="宋体" w:cs="Times New Roman"/>
          <w:sz w:val="24"/>
          <w:szCs w:val="24"/>
        </w:rPr>
        <w:t>xlsx</w:t>
      </w:r>
      <w:r>
        <w:rPr>
          <w:rFonts w:hint="eastAsia" w:ascii="宋体" w:hAnsi="宋体" w:eastAsia="宋体" w:cs="宋体"/>
          <w:sz w:val="24"/>
          <w:szCs w:val="24"/>
        </w:rPr>
        <w:t>、</w:t>
      </w:r>
      <w:r>
        <w:rPr>
          <w:rFonts w:hint="default" w:ascii="Times New Roman" w:hAnsi="Times New Roman" w:eastAsia="宋体" w:cs="Times New Roman"/>
          <w:sz w:val="24"/>
          <w:szCs w:val="24"/>
        </w:rPr>
        <w:t>xls</w:t>
      </w:r>
      <w:r>
        <w:rPr>
          <w:rFonts w:hint="eastAsia" w:ascii="宋体" w:hAnsi="宋体" w:eastAsia="宋体" w:cs="宋体"/>
          <w:sz w:val="24"/>
          <w:szCs w:val="24"/>
        </w:rPr>
        <w:t>、</w:t>
      </w:r>
      <w:r>
        <w:rPr>
          <w:rFonts w:hint="default" w:ascii="Times New Roman" w:hAnsi="Times New Roman" w:eastAsia="宋体" w:cs="Times New Roman"/>
          <w:sz w:val="24"/>
          <w:szCs w:val="24"/>
        </w:rPr>
        <w:t>csv</w:t>
      </w:r>
      <w:r>
        <w:rPr>
          <w:rFonts w:hint="eastAsia" w:ascii="宋体" w:hAnsi="宋体" w:eastAsia="宋体" w:cs="宋体"/>
          <w:sz w:val="24"/>
          <w:szCs w:val="24"/>
        </w:rPr>
        <w:t>等多种格式）。两种输入方式的内容会自动合并，形成完整的分析对象。</w:t>
      </w:r>
    </w:p>
    <w:p w14:paraId="34A2C17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drawing>
          <wp:inline distT="0" distB="0" distL="114300" distR="114300">
            <wp:extent cx="5757545" cy="1357630"/>
            <wp:effectExtent l="0" t="0" r="8255" b="127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6"/>
                    <a:stretch>
                      <a:fillRect/>
                    </a:stretch>
                  </pic:blipFill>
                  <pic:spPr>
                    <a:xfrm>
                      <a:off x="0" y="0"/>
                      <a:ext cx="5757545" cy="1357630"/>
                    </a:xfrm>
                    <a:prstGeom prst="rect">
                      <a:avLst/>
                    </a:prstGeom>
                    <a:noFill/>
                    <a:ln>
                      <a:noFill/>
                    </a:ln>
                  </pic:spPr>
                </pic:pic>
              </a:graphicData>
            </a:graphic>
          </wp:inline>
        </w:drawing>
      </w:r>
    </w:p>
    <w:p w14:paraId="5C7136F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sz w:val="24"/>
          <w:szCs w:val="24"/>
          <w:lang w:val="en-US"/>
        </w:rPr>
      </w:pPr>
      <w:r>
        <w:rPr>
          <w:rFonts w:hint="eastAsia"/>
          <w:sz w:val="21"/>
          <w:szCs w:val="21"/>
          <w:lang w:val="en-US" w:eastAsia="zh-CN"/>
        </w:rPr>
        <w:t>图6-3 分析内容输入</w:t>
      </w:r>
    </w:p>
    <w:p w14:paraId="7FF196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第三步</w:t>
      </w:r>
      <w:r>
        <w:rPr>
          <w:rFonts w:hint="eastAsia" w:ascii="宋体" w:hAnsi="宋体" w:cs="宋体"/>
          <w:sz w:val="24"/>
          <w:szCs w:val="24"/>
          <w:lang w:val="en-US" w:eastAsia="zh-CN"/>
        </w:rPr>
        <w:t>是</w:t>
      </w:r>
      <w:r>
        <w:rPr>
          <w:rFonts w:hint="eastAsia" w:ascii="宋体" w:hAnsi="宋体" w:eastAsia="宋体" w:cs="宋体"/>
          <w:sz w:val="24"/>
          <w:szCs w:val="24"/>
        </w:rPr>
        <w:t>执行风险识别。点击“识别</w:t>
      </w:r>
      <w:r>
        <w:rPr>
          <w:rFonts w:hint="default" w:ascii="Times New Roman" w:hAnsi="Times New Roman" w:eastAsia="宋体" w:cs="Times New Roman"/>
          <w:sz w:val="24"/>
          <w:szCs w:val="24"/>
        </w:rPr>
        <w:t>AI</w:t>
      </w:r>
      <w:r>
        <w:rPr>
          <w:rFonts w:hint="eastAsia" w:ascii="宋体" w:hAnsi="宋体" w:eastAsia="宋体" w:cs="宋体"/>
          <w:sz w:val="24"/>
          <w:szCs w:val="24"/>
        </w:rPr>
        <w:t>伦理风险”按钮后，平台将检索知识库中的相关文档，结合</w:t>
      </w:r>
      <w:r>
        <w:rPr>
          <w:rFonts w:hint="default" w:ascii="Times New Roman" w:hAnsi="Times New Roman" w:eastAsia="宋体" w:cs="Times New Roman"/>
          <w:sz w:val="24"/>
          <w:szCs w:val="24"/>
          <w:lang w:val="en-US" w:eastAsia="zh-CN"/>
        </w:rPr>
        <w:t>AI</w:t>
      </w:r>
      <w:r>
        <w:rPr>
          <w:rFonts w:hint="eastAsia" w:ascii="宋体" w:hAnsi="宋体" w:cs="宋体"/>
          <w:sz w:val="24"/>
          <w:szCs w:val="24"/>
          <w:lang w:val="en-US" w:eastAsia="zh-CN"/>
        </w:rPr>
        <w:t>伦理风险</w:t>
      </w:r>
      <w:r>
        <w:rPr>
          <w:rFonts w:hint="default" w:ascii="Times New Roman" w:hAnsi="Times New Roman" w:eastAsia="宋体" w:cs="Times New Roman"/>
          <w:sz w:val="24"/>
          <w:szCs w:val="24"/>
        </w:rPr>
        <w:t>ERS</w:t>
      </w:r>
      <w:r>
        <w:rPr>
          <w:rFonts w:hint="eastAsia" w:cs="Times New Roman"/>
          <w:sz w:val="24"/>
          <w:szCs w:val="24"/>
          <w:lang w:eastAsia="zh-CN"/>
        </w:rPr>
        <w:t>“</w:t>
      </w:r>
      <w:r>
        <w:rPr>
          <w:rFonts w:hint="eastAsia" w:cs="Times New Roman"/>
          <w:sz w:val="24"/>
          <w:szCs w:val="24"/>
          <w:lang w:val="en-US" w:eastAsia="zh-CN"/>
        </w:rPr>
        <w:t>领域－风险”</w:t>
      </w:r>
      <w:r>
        <w:rPr>
          <w:rFonts w:hint="eastAsia" w:ascii="宋体" w:hAnsi="宋体" w:eastAsia="宋体" w:cs="宋体"/>
          <w:sz w:val="24"/>
          <w:szCs w:val="24"/>
        </w:rPr>
        <w:t>优先级表，对输入内容进行系统性分析。输出结果按风险等级排序，每条风险包含风险类型、具体表现、成因分析，已识别风险还标注对应的</w:t>
      </w:r>
      <w:r>
        <w:rPr>
          <w:rFonts w:hint="default" w:ascii="Times New Roman" w:hAnsi="Times New Roman" w:cs="Times New Roman"/>
          <w:sz w:val="24"/>
          <w:szCs w:val="24"/>
          <w:lang w:val="en-US" w:eastAsia="zh-CN"/>
        </w:rPr>
        <w:t>AI</w:t>
      </w:r>
      <w:r>
        <w:rPr>
          <w:rFonts w:hint="eastAsia" w:ascii="宋体" w:hAnsi="宋体" w:cs="宋体"/>
          <w:sz w:val="24"/>
          <w:szCs w:val="24"/>
          <w:lang w:val="en-US" w:eastAsia="zh-CN"/>
        </w:rPr>
        <w:t>伦理风险</w:t>
      </w:r>
      <w:r>
        <w:rPr>
          <w:rFonts w:hint="default" w:ascii="Times New Roman" w:hAnsi="Times New Roman" w:eastAsia="宋体" w:cs="Times New Roman"/>
          <w:sz w:val="24"/>
          <w:szCs w:val="24"/>
        </w:rPr>
        <w:t>ERS</w:t>
      </w:r>
      <w:r>
        <w:rPr>
          <w:rFonts w:hint="eastAsia" w:cs="Times New Roman"/>
          <w:sz w:val="24"/>
          <w:szCs w:val="24"/>
          <w:lang w:eastAsia="zh-CN"/>
        </w:rPr>
        <w:t>“</w:t>
      </w:r>
      <w:r>
        <w:rPr>
          <w:rFonts w:hint="eastAsia" w:cs="Times New Roman"/>
          <w:sz w:val="24"/>
          <w:szCs w:val="24"/>
          <w:lang w:val="en-US" w:eastAsia="zh-CN"/>
        </w:rPr>
        <w:t>领域－风险”</w:t>
      </w:r>
      <w:r>
        <w:rPr>
          <w:rFonts w:hint="eastAsia" w:ascii="宋体" w:hAnsi="宋体" w:eastAsia="宋体" w:cs="宋体"/>
          <w:sz w:val="24"/>
          <w:szCs w:val="24"/>
        </w:rPr>
        <w:t>分数。</w:t>
      </w:r>
    </w:p>
    <w:p w14:paraId="037BD21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p>
    <w:p w14:paraId="79C7AF7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drawing>
          <wp:inline distT="0" distB="0" distL="114300" distR="114300">
            <wp:extent cx="5620385" cy="3161665"/>
            <wp:effectExtent l="0" t="0" r="0" b="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7"/>
                    <a:srcRect r="2361"/>
                    <a:stretch>
                      <a:fillRect/>
                    </a:stretch>
                  </pic:blipFill>
                  <pic:spPr>
                    <a:xfrm>
                      <a:off x="0" y="0"/>
                      <a:ext cx="5620385" cy="3161665"/>
                    </a:xfrm>
                    <a:prstGeom prst="rect">
                      <a:avLst/>
                    </a:prstGeom>
                    <a:noFill/>
                    <a:ln>
                      <a:noFill/>
                    </a:ln>
                  </pic:spPr>
                </pic:pic>
              </a:graphicData>
            </a:graphic>
          </wp:inline>
        </w:drawing>
      </w:r>
    </w:p>
    <w:p w14:paraId="0342C61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宋体" w:hAnsi="宋体" w:eastAsia="宋体" w:cs="宋体"/>
          <w:sz w:val="24"/>
          <w:szCs w:val="24"/>
          <w:lang w:val="en-US"/>
        </w:rPr>
      </w:pPr>
      <w:r>
        <w:rPr>
          <w:rFonts w:hint="eastAsia"/>
          <w:sz w:val="21"/>
          <w:szCs w:val="21"/>
          <w:lang w:val="en-US" w:eastAsia="zh-CN"/>
        </w:rPr>
        <w:t>图6-4 风险识别结果</w:t>
      </w:r>
    </w:p>
    <w:p w14:paraId="0F4DAC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第四步</w:t>
      </w:r>
      <w:r>
        <w:rPr>
          <w:rFonts w:hint="eastAsia" w:ascii="宋体" w:hAnsi="宋体" w:cs="宋体"/>
          <w:sz w:val="24"/>
          <w:szCs w:val="24"/>
          <w:lang w:val="en-US" w:eastAsia="zh-CN"/>
        </w:rPr>
        <w:t>是</w:t>
      </w:r>
      <w:r>
        <w:rPr>
          <w:rFonts w:hint="eastAsia" w:ascii="宋体" w:hAnsi="宋体" w:eastAsia="宋体" w:cs="宋体"/>
          <w:sz w:val="24"/>
          <w:szCs w:val="24"/>
        </w:rPr>
        <w:t>生成管理建议。在风险识别完成后（或直接基于原文），点击“生成风险管理建议”按钮，平台将针对已识别风险给出具体、可落地的管理措施。建议以必要、直接、可执行为原则，每项已识别风险给出</w:t>
      </w:r>
      <w:r>
        <w:rPr>
          <w:rFonts w:hint="default" w:ascii="Times New Roman" w:hAnsi="Times New Roman" w:eastAsia="宋体" w:cs="Times New Roman"/>
          <w:sz w:val="24"/>
          <w:szCs w:val="24"/>
        </w:rPr>
        <w:t>2</w:t>
      </w:r>
      <w:r>
        <w:rPr>
          <w:rFonts w:hint="eastAsia" w:ascii="宋体" w:hAnsi="宋体" w:eastAsia="宋体" w:cs="宋体"/>
          <w:sz w:val="24"/>
          <w:szCs w:val="24"/>
        </w:rPr>
        <w:t>-</w:t>
      </w:r>
      <w:r>
        <w:rPr>
          <w:rFonts w:hint="default" w:ascii="Times New Roman" w:hAnsi="Times New Roman" w:eastAsia="宋体" w:cs="Times New Roman"/>
          <w:sz w:val="24"/>
          <w:szCs w:val="24"/>
        </w:rPr>
        <w:t>3</w:t>
      </w:r>
      <w:r>
        <w:rPr>
          <w:rFonts w:hint="eastAsia" w:ascii="宋体" w:hAnsi="宋体" w:eastAsia="宋体" w:cs="宋体"/>
          <w:sz w:val="24"/>
          <w:szCs w:val="24"/>
        </w:rPr>
        <w:t>项核心建议。对于已有控制措施的风险，平台会予以肯定而非重复建议。</w:t>
      </w:r>
    </w:p>
    <w:p w14:paraId="171801B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p>
    <w:p w14:paraId="1763CC8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5664200" cy="3178175"/>
            <wp:effectExtent l="0" t="0" r="0" b="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28"/>
                    <a:srcRect r="1513"/>
                    <a:stretch>
                      <a:fillRect/>
                    </a:stretch>
                  </pic:blipFill>
                  <pic:spPr>
                    <a:xfrm>
                      <a:off x="0" y="0"/>
                      <a:ext cx="5664200" cy="3178175"/>
                    </a:xfrm>
                    <a:prstGeom prst="rect">
                      <a:avLst/>
                    </a:prstGeom>
                    <a:noFill/>
                    <a:ln>
                      <a:noFill/>
                    </a:ln>
                  </pic:spPr>
                </pic:pic>
              </a:graphicData>
            </a:graphic>
          </wp:inline>
        </w:drawing>
      </w:r>
    </w:p>
    <w:p w14:paraId="1B7D3FA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rPr>
      </w:pPr>
      <w:r>
        <w:rPr>
          <w:rFonts w:hint="eastAsia"/>
          <w:sz w:val="21"/>
          <w:szCs w:val="21"/>
          <w:lang w:val="en-US" w:eastAsia="zh-CN"/>
        </w:rPr>
        <w:t>图6-5 管理建议生成</w:t>
      </w:r>
    </w:p>
    <w:p w14:paraId="12DE7E83">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eastAsia"/>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3．</w:t>
      </w:r>
      <w:r>
        <w:rPr>
          <w:rFonts w:hint="eastAsia"/>
        </w:rPr>
        <w:t>政策与资讯检索功能</w:t>
      </w:r>
    </w:p>
    <w:p w14:paraId="683564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宋体" w:hAnsi="宋体" w:eastAsia="宋体" w:cs="宋体"/>
          <w:sz w:val="24"/>
          <w:szCs w:val="24"/>
        </w:rPr>
        <w:t>“政策栏”标签页收录了中国</w:t>
      </w:r>
      <w:r>
        <w:rPr>
          <w:rFonts w:hint="default" w:ascii="Times New Roman" w:hAnsi="Times New Roman" w:eastAsia="宋体" w:cs="Times New Roman"/>
          <w:sz w:val="24"/>
          <w:szCs w:val="24"/>
        </w:rPr>
        <w:t>AI</w:t>
      </w:r>
      <w:r>
        <w:rPr>
          <w:rFonts w:hint="eastAsia" w:ascii="宋体" w:hAnsi="宋体" w:eastAsia="宋体" w:cs="宋体"/>
          <w:sz w:val="24"/>
          <w:szCs w:val="24"/>
        </w:rPr>
        <w:t>伦理治理相关的政策文件，涵盖从</w:t>
      </w:r>
      <w:r>
        <w:rPr>
          <w:rFonts w:hint="default" w:ascii="Times New Roman" w:hAnsi="Times New Roman" w:eastAsia="宋体" w:cs="Times New Roman"/>
          <w:sz w:val="24"/>
          <w:szCs w:val="24"/>
        </w:rPr>
        <w:t>2017</w:t>
      </w:r>
      <w:r>
        <w:rPr>
          <w:rFonts w:hint="eastAsia" w:ascii="宋体" w:hAnsi="宋体" w:eastAsia="宋体" w:cs="宋体"/>
          <w:sz w:val="24"/>
          <w:szCs w:val="24"/>
        </w:rPr>
        <w:t>年《新一代人工智能发展规划》到</w:t>
      </w:r>
      <w:r>
        <w:rPr>
          <w:rFonts w:hint="default" w:ascii="Times New Roman" w:hAnsi="Times New Roman" w:eastAsia="宋体" w:cs="Times New Roman"/>
          <w:sz w:val="24"/>
          <w:szCs w:val="24"/>
        </w:rPr>
        <w:t>2026</w:t>
      </w:r>
      <w:r>
        <w:rPr>
          <w:rFonts w:hint="eastAsia" w:ascii="宋体" w:hAnsi="宋体" w:eastAsia="宋体" w:cs="宋体"/>
          <w:sz w:val="24"/>
          <w:szCs w:val="24"/>
        </w:rPr>
        <w:t>年《人工智能科技伦理审查与服务办法（试行）》等重要文件。用户可按标题、关键词、摘要或发布机构进行筛选检索，每条政策均提供原文链接。</w:t>
      </w:r>
    </w:p>
    <w:p w14:paraId="23D6DCA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drawing>
          <wp:inline distT="0" distB="0" distL="114300" distR="114300">
            <wp:extent cx="5642610" cy="2985770"/>
            <wp:effectExtent l="0" t="0" r="0" b="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29"/>
                    <a:srcRect r="1780"/>
                    <a:stretch>
                      <a:fillRect/>
                    </a:stretch>
                  </pic:blipFill>
                  <pic:spPr>
                    <a:xfrm>
                      <a:off x="0" y="0"/>
                      <a:ext cx="5642610" cy="2985770"/>
                    </a:xfrm>
                    <a:prstGeom prst="rect">
                      <a:avLst/>
                    </a:prstGeom>
                    <a:noFill/>
                    <a:ln>
                      <a:noFill/>
                    </a:ln>
                  </pic:spPr>
                </pic:pic>
              </a:graphicData>
            </a:graphic>
          </wp:inline>
        </w:drawing>
      </w:r>
    </w:p>
    <w:p w14:paraId="2574AE0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sz w:val="24"/>
          <w:szCs w:val="24"/>
          <w:lang w:val="en-US"/>
        </w:rPr>
      </w:pPr>
      <w:r>
        <w:rPr>
          <w:rFonts w:hint="eastAsia"/>
          <w:sz w:val="21"/>
          <w:szCs w:val="21"/>
          <w:lang w:val="en-US" w:eastAsia="zh-CN"/>
        </w:rPr>
        <w:t>图6-6 政策栏页面</w:t>
      </w:r>
    </w:p>
    <w:p w14:paraId="2A20EA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“资讯栏”标签页收录了</w:t>
      </w:r>
      <w:r>
        <w:rPr>
          <w:rFonts w:hint="default" w:ascii="Times New Roman" w:hAnsi="Times New Roman" w:eastAsia="宋体" w:cs="Times New Roman"/>
          <w:sz w:val="24"/>
          <w:szCs w:val="24"/>
        </w:rPr>
        <w:t>AI</w:t>
      </w:r>
      <w:r>
        <w:rPr>
          <w:rFonts w:hint="eastAsia" w:ascii="宋体" w:hAnsi="宋体" w:eastAsia="宋体" w:cs="宋体"/>
          <w:sz w:val="24"/>
          <w:szCs w:val="24"/>
        </w:rPr>
        <w:t>伦理领域的行业资讯和动态报道，同样支持关键词检索和分页浏览。两个模块均采用分页展示，每页</w:t>
      </w:r>
      <w:r>
        <w:rPr>
          <w:rFonts w:hint="default" w:ascii="Times New Roman" w:hAnsi="Times New Roman" w:eastAsia="宋体" w:cs="Times New Roman"/>
          <w:sz w:val="24"/>
          <w:szCs w:val="24"/>
        </w:rPr>
        <w:t>20</w:t>
      </w:r>
      <w:r>
        <w:rPr>
          <w:rFonts w:hint="eastAsia" w:ascii="宋体" w:hAnsi="宋体" w:eastAsia="宋体" w:cs="宋体"/>
          <w:sz w:val="24"/>
          <w:szCs w:val="24"/>
        </w:rPr>
        <w:t>条，方便用户浏览信息。</w:t>
      </w:r>
    </w:p>
    <w:p w14:paraId="4127158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5757545" cy="2957195"/>
            <wp:effectExtent l="0" t="0" r="8255" b="190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30"/>
                    <a:stretch>
                      <a:fillRect/>
                    </a:stretch>
                  </pic:blipFill>
                  <pic:spPr>
                    <a:xfrm>
                      <a:off x="0" y="0"/>
                      <a:ext cx="5757545" cy="2957195"/>
                    </a:xfrm>
                    <a:prstGeom prst="rect">
                      <a:avLst/>
                    </a:prstGeom>
                    <a:noFill/>
                    <a:ln>
                      <a:noFill/>
                    </a:ln>
                  </pic:spPr>
                </pic:pic>
              </a:graphicData>
            </a:graphic>
          </wp:inline>
        </w:drawing>
      </w:r>
    </w:p>
    <w:p w14:paraId="16A0B40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rPr>
      </w:pPr>
      <w:r>
        <w:rPr>
          <w:rFonts w:hint="eastAsia"/>
          <w:sz w:val="21"/>
          <w:szCs w:val="21"/>
          <w:lang w:val="en-US" w:eastAsia="zh-CN"/>
        </w:rPr>
        <w:t>图6-7 资讯栏页面</w:t>
      </w:r>
    </w:p>
    <w:p w14:paraId="01A422C7">
      <w:pPr>
        <w:pStyle w:val="4"/>
        <w:bidi w:val="0"/>
        <w:rPr>
          <w:rFonts w:hint="eastAsia"/>
        </w:rPr>
      </w:pPr>
      <w:bookmarkStart w:id="67" w:name="_Toc2977"/>
      <w:r>
        <w:rPr>
          <w:rFonts w:hint="eastAsia"/>
          <w:lang w:eastAsia="zh-CN"/>
        </w:rPr>
        <w:t>（</w:t>
      </w:r>
      <w:r>
        <w:rPr>
          <w:rFonts w:hint="eastAsia"/>
          <w:lang w:val="en-US" w:eastAsia="zh-CN"/>
        </w:rPr>
        <w:t>三</w:t>
      </w:r>
      <w:r>
        <w:rPr>
          <w:rFonts w:hint="eastAsia"/>
          <w:lang w:eastAsia="zh-CN"/>
        </w:rPr>
        <w:t>）</w:t>
      </w:r>
      <w:r>
        <w:rPr>
          <w:rFonts w:hint="eastAsia"/>
        </w:rPr>
        <w:t>案例分析</w:t>
      </w:r>
      <w:bookmarkEnd w:id="67"/>
    </w:p>
    <w:p w14:paraId="594D9C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为展示平台的实际应用效果，本节选取</w:t>
      </w:r>
      <w:r>
        <w:rPr>
          <w:rFonts w:hint="eastAsia"/>
          <w:sz w:val="24"/>
          <w:szCs w:val="24"/>
          <w:lang w:val="en-US" w:eastAsia="zh-CN"/>
        </w:rPr>
        <w:t>四</w:t>
      </w:r>
      <w:r>
        <w:rPr>
          <w:rFonts w:hint="eastAsia"/>
          <w:sz w:val="24"/>
          <w:szCs w:val="24"/>
        </w:rPr>
        <w:t>个典型场景进行测试，并分析输出结果的合理性。</w:t>
      </w:r>
    </w:p>
    <w:p w14:paraId="52769BE0">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eastAsia"/>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1．</w:t>
      </w:r>
      <w:r>
        <w:rPr>
          <w:rFonts w:hint="eastAsia"/>
        </w:rPr>
        <w:t>金融科技公司的智能信贷系统</w:t>
      </w:r>
    </w:p>
    <w:p w14:paraId="5C241928">
      <w:pPr>
        <w:pStyle w:val="6"/>
        <w:bidi w:val="0"/>
        <w:rPr>
          <w:rFonts w:hint="eastAsia"/>
        </w:rPr>
      </w:pPr>
      <w:r>
        <w:rPr>
          <w:rFonts w:hint="eastAsia"/>
        </w:rPr>
        <w:t>输入内容</w:t>
      </w:r>
    </w:p>
    <w:p w14:paraId="65A169F1">
      <w:pPr>
        <w:bidi w:val="0"/>
        <w:rPr>
          <w:rFonts w:hint="eastAsia" w:ascii="宋体" w:hAnsi="宋体" w:eastAsia="宋体" w:cs="宋体"/>
          <w:sz w:val="24"/>
          <w:szCs w:val="24"/>
          <w:lang w:val="en-US" w:eastAsia="zh-CN"/>
        </w:rPr>
      </w:pPr>
      <w:r>
        <w:rPr>
          <w:rFonts w:hint="eastAsia"/>
        </w:rPr>
        <w:t>本公司开发了一套基于机器学习的智能信贷审批系统。系统通过采集用户授权提供的手机通讯录、社交网络数据、电商消费记录和银行流水等多元数据，对用户信用状况进行自动化评分和贷款额度决策。系统采用深度神经网络模型，训练数据来源于过去五年本公司历史信贷业务数据。目前系统已上线运行，日均处理贷款申请约</w:t>
      </w:r>
      <w:r>
        <w:rPr>
          <w:rFonts w:hint="default"/>
        </w:rPr>
        <w:t>5000</w:t>
      </w:r>
      <w:r>
        <w:rPr>
          <w:rFonts w:hint="eastAsia"/>
        </w:rPr>
        <w:t>笔，全程无人工干预。</w:t>
      </w:r>
      <w:r>
        <w:rPr>
          <w:rFonts w:hint="eastAsia" w:ascii="宋体" w:hAnsi="宋体" w:eastAsia="宋体" w:cs="宋体"/>
          <w:sz w:val="24"/>
          <w:szCs w:val="24"/>
          <w:lang w:val="en-US" w:eastAsia="zh-CN"/>
        </w:rPr>
        <w:t>领域选择</w:t>
      </w:r>
      <w:r>
        <w:rPr>
          <w:rFonts w:hint="eastAsia" w:ascii="宋体" w:hAnsi="宋体" w:cs="宋体"/>
          <w:sz w:val="24"/>
          <w:szCs w:val="24"/>
          <w:lang w:val="en-US" w:eastAsia="zh-CN"/>
        </w:rPr>
        <w:t>为</w:t>
      </w:r>
      <w:r>
        <w:rPr>
          <w:rFonts w:hint="eastAsia" w:ascii="宋体" w:hAnsi="宋体" w:eastAsia="宋体" w:cs="宋体"/>
          <w:sz w:val="24"/>
          <w:szCs w:val="24"/>
          <w:lang w:val="en-US" w:eastAsia="zh-CN"/>
        </w:rPr>
        <w:t>个性化算法</w:t>
      </w:r>
      <w:r>
        <w:rPr>
          <w:rFonts w:hint="eastAsia" w:ascii="宋体" w:hAnsi="宋体" w:cs="宋体"/>
          <w:sz w:val="24"/>
          <w:szCs w:val="24"/>
          <w:lang w:val="en-US" w:eastAsia="zh-CN"/>
        </w:rPr>
        <w:t>。</w:t>
      </w:r>
    </w:p>
    <w:p w14:paraId="24033E58">
      <w:pPr>
        <w:pStyle w:val="6"/>
        <w:bidi w:val="0"/>
        <w:rPr>
          <w:rFonts w:hint="eastAsia"/>
        </w:rPr>
      </w:pPr>
      <w:r>
        <w:rPr>
          <w:rFonts w:hint="eastAsia"/>
        </w:rPr>
        <w:t>平台识别结果（摘要）</w:t>
      </w:r>
    </w:p>
    <w:p w14:paraId="09D7DB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【已识别风险】侵犯隐私（</w:t>
      </w:r>
      <w:r>
        <w:rPr>
          <w:rFonts w:hint="default" w:ascii="Times New Roman" w:hAnsi="Times New Roman" w:eastAsia="宋体" w:cs="Times New Roman"/>
          <w:sz w:val="24"/>
          <w:szCs w:val="24"/>
        </w:rPr>
        <w:t>ERS</w:t>
      </w:r>
      <w:r>
        <w:rPr>
          <w:rFonts w:hint="eastAsia" w:ascii="宋体" w:hAnsi="宋体" w:eastAsia="宋体" w:cs="宋体"/>
          <w:sz w:val="24"/>
          <w:szCs w:val="24"/>
        </w:rPr>
        <w:t>分数：</w:t>
      </w:r>
      <w:r>
        <w:rPr>
          <w:rFonts w:hint="default" w:ascii="Times New Roman" w:hAnsi="Times New Roman" w:eastAsia="宋体" w:cs="Times New Roman"/>
          <w:sz w:val="24"/>
          <w:szCs w:val="24"/>
        </w:rPr>
        <w:t>72</w:t>
      </w:r>
      <w:r>
        <w:rPr>
          <w:rFonts w:hint="eastAsia" w:ascii="宋体" w:hAnsi="宋体" w:eastAsia="宋体" w:cs="宋体"/>
          <w:sz w:val="24"/>
          <w:szCs w:val="24"/>
        </w:rPr>
        <w:t>.</w:t>
      </w:r>
      <w:r>
        <w:rPr>
          <w:rFonts w:hint="default" w:ascii="Times New Roman" w:hAnsi="Times New Roman" w:eastAsia="宋体" w:cs="Times New Roman"/>
          <w:sz w:val="24"/>
          <w:szCs w:val="24"/>
        </w:rPr>
        <w:t>23</w:t>
      </w:r>
      <w:r>
        <w:rPr>
          <w:rFonts w:hint="eastAsia" w:ascii="宋体" w:hAnsi="宋体" w:eastAsia="宋体" w:cs="宋体"/>
          <w:sz w:val="24"/>
          <w:szCs w:val="24"/>
        </w:rPr>
        <w:t>）：系统采集手机通讯录、社交网络数据等超出信贷审批核心必要范围的信息，存在过度采集风险；训练数据包含大量历史个人信息，数据来源的合法性和用户授权充分性有待核验。</w:t>
      </w:r>
    </w:p>
    <w:p w14:paraId="1BB4C8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【已识别风险】加剧社会偏见或歧视（</w:t>
      </w:r>
      <w:r>
        <w:rPr>
          <w:rFonts w:hint="default" w:ascii="Times New Roman" w:hAnsi="Times New Roman" w:eastAsia="宋体" w:cs="Times New Roman"/>
          <w:sz w:val="24"/>
          <w:szCs w:val="24"/>
        </w:rPr>
        <w:t>ERS</w:t>
      </w:r>
      <w:r>
        <w:rPr>
          <w:rFonts w:hint="eastAsia" w:ascii="宋体" w:hAnsi="宋体" w:eastAsia="宋体" w:cs="宋体"/>
          <w:sz w:val="24"/>
          <w:szCs w:val="24"/>
        </w:rPr>
        <w:t>分数：</w:t>
      </w:r>
      <w:r>
        <w:rPr>
          <w:rFonts w:hint="default" w:ascii="Times New Roman" w:hAnsi="Times New Roman" w:eastAsia="宋体" w:cs="Times New Roman"/>
          <w:sz w:val="24"/>
          <w:szCs w:val="24"/>
        </w:rPr>
        <w:t>70</w:t>
      </w:r>
      <w:r>
        <w:rPr>
          <w:rFonts w:hint="eastAsia" w:ascii="宋体" w:hAnsi="宋体" w:eastAsia="宋体" w:cs="宋体"/>
          <w:sz w:val="24"/>
          <w:szCs w:val="24"/>
        </w:rPr>
        <w:t>.</w:t>
      </w:r>
      <w:r>
        <w:rPr>
          <w:rFonts w:hint="default" w:ascii="Times New Roman" w:hAnsi="Times New Roman" w:eastAsia="宋体" w:cs="Times New Roman"/>
          <w:sz w:val="24"/>
          <w:szCs w:val="24"/>
        </w:rPr>
        <w:t>22</w:t>
      </w:r>
      <w:r>
        <w:rPr>
          <w:rFonts w:hint="eastAsia" w:ascii="宋体" w:hAnsi="宋体" w:eastAsia="宋体" w:cs="宋体"/>
          <w:sz w:val="24"/>
          <w:szCs w:val="24"/>
        </w:rPr>
        <w:t>）：训练数据来源于过去五年的历史信贷数据，可能固化了历史中存在的地域、收入群体或职业偏见；深度神经网络的黑箱特性使得偏差难以被及时发现和纠正。</w:t>
      </w:r>
    </w:p>
    <w:p w14:paraId="2DBA52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【已识别风险】决策不自主受控（</w:t>
      </w:r>
      <w:r>
        <w:rPr>
          <w:rFonts w:hint="default" w:ascii="Times New Roman" w:hAnsi="Times New Roman" w:eastAsia="宋体" w:cs="Times New Roman"/>
          <w:sz w:val="24"/>
          <w:szCs w:val="24"/>
        </w:rPr>
        <w:t>ERS</w:t>
      </w:r>
      <w:r>
        <w:rPr>
          <w:rFonts w:hint="eastAsia" w:ascii="宋体" w:hAnsi="宋体" w:eastAsia="宋体" w:cs="宋体"/>
          <w:sz w:val="24"/>
          <w:szCs w:val="24"/>
        </w:rPr>
        <w:t>分数：</w:t>
      </w:r>
      <w:r>
        <w:rPr>
          <w:rFonts w:hint="default" w:ascii="Times New Roman" w:hAnsi="Times New Roman" w:eastAsia="宋体" w:cs="Times New Roman"/>
          <w:sz w:val="24"/>
          <w:szCs w:val="24"/>
        </w:rPr>
        <w:t>63</w:t>
      </w:r>
      <w:r>
        <w:rPr>
          <w:rFonts w:hint="eastAsia" w:ascii="宋体" w:hAnsi="宋体" w:eastAsia="宋体" w:cs="宋体"/>
          <w:sz w:val="24"/>
          <w:szCs w:val="24"/>
        </w:rPr>
        <w:t>.</w:t>
      </w:r>
      <w:r>
        <w:rPr>
          <w:rFonts w:hint="default" w:ascii="Times New Roman" w:hAnsi="Times New Roman" w:eastAsia="宋体" w:cs="Times New Roman"/>
          <w:sz w:val="24"/>
          <w:szCs w:val="24"/>
        </w:rPr>
        <w:t>06</w:t>
      </w:r>
      <w:r>
        <w:rPr>
          <w:rFonts w:hint="eastAsia" w:ascii="宋体" w:hAnsi="宋体" w:eastAsia="宋体" w:cs="宋体"/>
          <w:sz w:val="24"/>
          <w:szCs w:val="24"/>
        </w:rPr>
        <w:t>）：系统“全程无人工干预”，用户缺乏对信贷决策的申诉和人工复核渠道，自动化决策对个人重大金融权益产生直接影响。</w:t>
      </w:r>
    </w:p>
    <w:p w14:paraId="3387A989">
      <w:pPr>
        <w:pStyle w:val="6"/>
        <w:bidi w:val="0"/>
        <w:rPr>
          <w:rFonts w:hint="eastAsia"/>
        </w:rPr>
      </w:pPr>
      <w:r>
        <w:rPr>
          <w:rFonts w:hint="eastAsia"/>
        </w:rPr>
        <w:t>管理建议（摘要）</w:t>
      </w:r>
    </w:p>
    <w:p w14:paraId="60DA08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针对侵犯隐私：建议实施数据最小化原则，仅采集信用评估所必需的数据字段；对通讯录、社交数据等非核心数据改为“可选授权”而非“强制授权”；引入差分隐私等隐私增强技术。</w:t>
      </w:r>
    </w:p>
    <w:p w14:paraId="5B525E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针对社会偏见：建议建立公平性检测机制，定期计算不同群体间的差异影响比；当某群体拒绝率显著高于其他群体时触发人工复核。</w:t>
      </w:r>
    </w:p>
    <w:p w14:paraId="054787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针对决策不自主受控：建议在高风险决策（如拒贷、额度显著低于预期）中保留人工复核通道；向用户提供简要的决策解释。</w:t>
      </w:r>
    </w:p>
    <w:p w14:paraId="7DCE4FA2">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eastAsia"/>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2．</w:t>
      </w:r>
      <w:r>
        <w:rPr>
          <w:rFonts w:hint="eastAsia"/>
        </w:rPr>
        <w:t>自动驾驶公司的城市道路测试</w:t>
      </w:r>
    </w:p>
    <w:p w14:paraId="1B7CF8EE">
      <w:pPr>
        <w:pStyle w:val="6"/>
        <w:keepNext/>
        <w:keepLines/>
        <w:pageBreakBefore w:val="0"/>
        <w:widowControl w:val="0"/>
        <w:numPr>
          <w:ilvl w:val="0"/>
          <w:numId w:val="19"/>
        </w:numPr>
        <w:kinsoku/>
        <w:wordWrap/>
        <w:overflowPunct/>
        <w:topLinePunct w:val="0"/>
        <w:autoSpaceDE/>
        <w:autoSpaceDN/>
        <w:bidi w:val="0"/>
        <w:adjustRightInd/>
        <w:snapToGrid/>
        <w:ind w:left="0"/>
        <w:textAlignment w:val="auto"/>
        <w:rPr>
          <w:rFonts w:hint="eastAsia"/>
        </w:rPr>
      </w:pPr>
      <w:r>
        <w:rPr>
          <w:rFonts w:hint="eastAsia"/>
        </w:rPr>
        <w:t>输入内容</w:t>
      </w:r>
    </w:p>
    <w:p w14:paraId="5768695C">
      <w:pPr>
        <w:bidi w:val="0"/>
        <w:rPr>
          <w:rFonts w:hint="eastAsia"/>
          <w:lang w:val="en-US" w:eastAsia="zh-CN"/>
        </w:rPr>
      </w:pPr>
      <w:r>
        <w:rPr>
          <w:rFonts w:hint="eastAsia"/>
        </w:rPr>
        <w:t>我公司正在开发</w:t>
      </w:r>
      <w:r>
        <w:rPr>
          <w:rFonts w:hint="default"/>
        </w:rPr>
        <w:t>L4</w:t>
      </w:r>
      <w:r>
        <w:rPr>
          <w:rFonts w:hint="eastAsia"/>
        </w:rPr>
        <w:t>级自动驾驶系统，目前已在北京、上海、深圳等城市的指定路段开展道路测试。测试车辆搭载多传感器融合感知系统，可在复杂城市道路环境下实现自主避障、变道和路口通行。系统在遇到无法处理的极端情况时会请求人工接管，但接管时间窗口仅为</w:t>
      </w:r>
      <w:r>
        <w:rPr>
          <w:rFonts w:hint="default"/>
        </w:rPr>
        <w:t>2</w:t>
      </w:r>
      <w:r>
        <w:rPr>
          <w:rFonts w:hint="eastAsia"/>
        </w:rPr>
        <w:t>秒。公司已为所有测试车辆购买了高额第三方责任险。</w:t>
      </w:r>
      <w:r>
        <w:rPr>
          <w:rFonts w:hint="eastAsia"/>
          <w:lang w:val="en-US" w:eastAsia="zh-CN"/>
        </w:rPr>
        <w:t>领域选择为自动驾驶。</w:t>
      </w:r>
    </w:p>
    <w:p w14:paraId="67D31237">
      <w:pPr>
        <w:pStyle w:val="6"/>
        <w:keepNext/>
        <w:keepLines/>
        <w:pageBreakBefore w:val="0"/>
        <w:widowControl w:val="0"/>
        <w:numPr>
          <w:ilvl w:val="0"/>
          <w:numId w:val="19"/>
        </w:numPr>
        <w:kinsoku/>
        <w:wordWrap/>
        <w:overflowPunct/>
        <w:topLinePunct w:val="0"/>
        <w:autoSpaceDE/>
        <w:autoSpaceDN/>
        <w:bidi w:val="0"/>
        <w:adjustRightInd/>
        <w:snapToGrid/>
        <w:ind w:left="0"/>
        <w:textAlignment w:val="auto"/>
        <w:rPr>
          <w:rFonts w:hint="eastAsia"/>
        </w:rPr>
      </w:pPr>
      <w:r>
        <w:rPr>
          <w:rFonts w:hint="eastAsia"/>
        </w:rPr>
        <w:t>平台识别结果（摘要）</w:t>
      </w:r>
    </w:p>
    <w:p w14:paraId="26CCF0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【已识别风险】决策不自主受控（</w:t>
      </w:r>
      <w:r>
        <w:rPr>
          <w:rFonts w:hint="default" w:ascii="Times New Roman" w:hAnsi="Times New Roman" w:eastAsia="宋体" w:cs="Times New Roman"/>
          <w:sz w:val="24"/>
          <w:szCs w:val="24"/>
        </w:rPr>
        <w:t>ERS</w:t>
      </w:r>
      <w:r>
        <w:rPr>
          <w:rFonts w:hint="eastAsia" w:ascii="宋体" w:hAnsi="宋体" w:eastAsia="宋体" w:cs="宋体"/>
          <w:sz w:val="24"/>
          <w:szCs w:val="24"/>
        </w:rPr>
        <w:t>分数：</w:t>
      </w:r>
      <w:r>
        <w:rPr>
          <w:rFonts w:hint="default" w:ascii="Times New Roman" w:hAnsi="Times New Roman" w:eastAsia="宋体" w:cs="Times New Roman"/>
          <w:sz w:val="24"/>
          <w:szCs w:val="24"/>
        </w:rPr>
        <w:t>94</w:t>
      </w:r>
      <w:r>
        <w:rPr>
          <w:rFonts w:hint="eastAsia" w:ascii="宋体" w:hAnsi="宋体" w:eastAsia="宋体" w:cs="宋体"/>
          <w:sz w:val="24"/>
          <w:szCs w:val="24"/>
        </w:rPr>
        <w:t>.</w:t>
      </w:r>
      <w:r>
        <w:rPr>
          <w:rFonts w:hint="default" w:ascii="Times New Roman" w:hAnsi="Times New Roman" w:eastAsia="宋体" w:cs="Times New Roman"/>
          <w:sz w:val="24"/>
          <w:szCs w:val="24"/>
        </w:rPr>
        <w:t>73</w:t>
      </w:r>
      <w:r>
        <w:rPr>
          <w:rFonts w:hint="eastAsia" w:ascii="宋体" w:hAnsi="宋体" w:eastAsia="宋体" w:cs="宋体"/>
          <w:sz w:val="24"/>
          <w:szCs w:val="24"/>
        </w:rPr>
        <w:t>）：接管时间窗口仅为</w:t>
      </w:r>
      <w:r>
        <w:rPr>
          <w:rFonts w:hint="default" w:ascii="Times New Roman" w:hAnsi="Times New Roman" w:eastAsia="宋体" w:cs="Times New Roman"/>
          <w:sz w:val="24"/>
          <w:szCs w:val="24"/>
        </w:rPr>
        <w:t>2</w:t>
      </w:r>
      <w:r>
        <w:rPr>
          <w:rFonts w:hint="eastAsia" w:ascii="宋体" w:hAnsi="宋体" w:eastAsia="宋体" w:cs="宋体"/>
          <w:sz w:val="24"/>
          <w:szCs w:val="24"/>
        </w:rPr>
        <w:t>秒，人类驾驶员在突发情况下的反应时间通常需要</w:t>
      </w:r>
      <w:r>
        <w:rPr>
          <w:rFonts w:hint="default" w:ascii="Times New Roman" w:hAnsi="Times New Roman" w:eastAsia="宋体" w:cs="Times New Roman"/>
          <w:sz w:val="24"/>
          <w:szCs w:val="24"/>
        </w:rPr>
        <w:t>2</w:t>
      </w:r>
      <w:r>
        <w:rPr>
          <w:rFonts w:hint="eastAsia" w:ascii="宋体" w:hAnsi="宋体" w:eastAsia="宋体" w:cs="宋体"/>
          <w:sz w:val="24"/>
          <w:szCs w:val="24"/>
        </w:rPr>
        <w:t>.</w:t>
      </w:r>
      <w:r>
        <w:rPr>
          <w:rFonts w:hint="default" w:ascii="Times New Roman" w:hAnsi="Times New Roman" w:eastAsia="宋体" w:cs="Times New Roman"/>
          <w:sz w:val="24"/>
          <w:szCs w:val="24"/>
        </w:rPr>
        <w:t>5</w:t>
      </w:r>
      <w:r>
        <w:rPr>
          <w:rFonts w:hint="eastAsia" w:ascii="宋体" w:hAnsi="宋体" w:eastAsia="宋体" w:cs="宋体"/>
          <w:sz w:val="24"/>
          <w:szCs w:val="24"/>
        </w:rPr>
        <w:t>秒以上，时间窗口过短可能导致人工接管实质上不可行，形成“自动化悖论”——系统假设人类能够监督，但实际条件下人类无法有效监督。</w:t>
      </w:r>
    </w:p>
    <w:p w14:paraId="7440FA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【已识别风险】权责归属不清或失当（</w:t>
      </w:r>
      <w:r>
        <w:rPr>
          <w:rFonts w:hint="default" w:ascii="Times New Roman" w:hAnsi="Times New Roman" w:eastAsia="宋体" w:cs="Times New Roman"/>
          <w:sz w:val="24"/>
          <w:szCs w:val="24"/>
        </w:rPr>
        <w:t>ERS</w:t>
      </w:r>
      <w:r>
        <w:rPr>
          <w:rFonts w:hint="eastAsia" w:ascii="宋体" w:hAnsi="宋体" w:eastAsia="宋体" w:cs="宋体"/>
          <w:sz w:val="24"/>
          <w:szCs w:val="24"/>
        </w:rPr>
        <w:t>分数：</w:t>
      </w:r>
      <w:r>
        <w:rPr>
          <w:rFonts w:hint="default" w:ascii="Times New Roman" w:hAnsi="Times New Roman" w:eastAsia="宋体" w:cs="Times New Roman"/>
          <w:sz w:val="24"/>
          <w:szCs w:val="24"/>
        </w:rPr>
        <w:t>93</w:t>
      </w:r>
      <w:r>
        <w:rPr>
          <w:rFonts w:hint="eastAsia" w:ascii="宋体" w:hAnsi="宋体" w:eastAsia="宋体" w:cs="宋体"/>
          <w:sz w:val="24"/>
          <w:szCs w:val="24"/>
        </w:rPr>
        <w:t>.</w:t>
      </w:r>
      <w:r>
        <w:rPr>
          <w:rFonts w:hint="default" w:ascii="Times New Roman" w:hAnsi="Times New Roman" w:eastAsia="宋体" w:cs="Times New Roman"/>
          <w:sz w:val="24"/>
          <w:szCs w:val="24"/>
        </w:rPr>
        <w:t>98</w:t>
      </w:r>
      <w:r>
        <w:rPr>
          <w:rFonts w:hint="eastAsia" w:ascii="宋体" w:hAnsi="宋体" w:eastAsia="宋体" w:cs="宋体"/>
          <w:sz w:val="24"/>
          <w:szCs w:val="24"/>
        </w:rPr>
        <w:t>）：</w:t>
      </w:r>
      <w:r>
        <w:rPr>
          <w:rFonts w:hint="default" w:ascii="Times New Roman" w:hAnsi="Times New Roman" w:eastAsia="宋体" w:cs="Times New Roman"/>
          <w:sz w:val="24"/>
          <w:szCs w:val="24"/>
        </w:rPr>
        <w:t>L4</w:t>
      </w:r>
      <w:r>
        <w:rPr>
          <w:rFonts w:hint="eastAsia" w:ascii="宋体" w:hAnsi="宋体" w:eastAsia="宋体" w:cs="宋体"/>
          <w:sz w:val="24"/>
          <w:szCs w:val="24"/>
        </w:rPr>
        <w:t>级自动驾驶涉及车辆制造商、传感器供应商、算法开发商、地图数据提供商、测试运营方等多方主体，一旦发生事故，责任链条复杂；现行交通法规对自动驾驶事故的责任认定尚不明确。</w:t>
      </w:r>
    </w:p>
    <w:p w14:paraId="60EBE9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【当前未发现明显风险】侵犯隐私：测试车辆采集的道路环境数据主要涉及公共空间，不涉及个人隐私的集中处理，当前控制措施（已有第三方责任险）基本覆盖。</w:t>
      </w:r>
    </w:p>
    <w:p w14:paraId="4D51482D">
      <w:pPr>
        <w:pStyle w:val="6"/>
        <w:bidi w:val="0"/>
        <w:rPr>
          <w:rFonts w:hint="eastAsia"/>
        </w:rPr>
      </w:pPr>
      <w:r>
        <w:rPr>
          <w:rFonts w:hint="eastAsia"/>
        </w:rPr>
        <w:t>管理建议（摘要）</w:t>
      </w:r>
    </w:p>
    <w:p w14:paraId="72263A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针对决策不自主受控：建议将接管时间窗口从</w:t>
      </w:r>
      <w:r>
        <w:rPr>
          <w:rFonts w:hint="default" w:ascii="Times New Roman" w:hAnsi="Times New Roman" w:eastAsia="宋体" w:cs="Times New Roman"/>
          <w:sz w:val="24"/>
          <w:szCs w:val="24"/>
        </w:rPr>
        <w:t>2</w:t>
      </w:r>
      <w:r>
        <w:rPr>
          <w:rFonts w:hint="eastAsia" w:ascii="宋体" w:hAnsi="宋体" w:eastAsia="宋体" w:cs="宋体"/>
          <w:sz w:val="24"/>
          <w:szCs w:val="24"/>
        </w:rPr>
        <w:t>秒延长至</w:t>
      </w:r>
      <w:r>
        <w:rPr>
          <w:rFonts w:hint="default" w:ascii="Times New Roman" w:hAnsi="Times New Roman" w:eastAsia="宋体" w:cs="Times New Roman"/>
          <w:sz w:val="24"/>
          <w:szCs w:val="24"/>
        </w:rPr>
        <w:t>5</w:t>
      </w:r>
      <w:r>
        <w:rPr>
          <w:rFonts w:hint="eastAsia" w:ascii="宋体" w:hAnsi="宋体" w:eastAsia="宋体" w:cs="宋体"/>
          <w:sz w:val="24"/>
          <w:szCs w:val="24"/>
        </w:rPr>
        <w:t>秒以上，或在无法保证充足接管时间的情况下，将系统功能限定于有安全员随车监督的场景；建立接管失败的记录和分析机制。</w:t>
      </w:r>
    </w:p>
    <w:p w14:paraId="6F9B47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rPr>
      </w:pPr>
      <w:r>
        <w:rPr>
          <w:rFonts w:hint="eastAsia" w:ascii="宋体" w:hAnsi="宋体" w:eastAsia="宋体" w:cs="宋体"/>
          <w:sz w:val="24"/>
          <w:szCs w:val="24"/>
        </w:rPr>
        <w:t>针对权责归属不清：建议在测试前与各参与方签订明确的责任划分协议；保留完整的传感器数据、系统决策日志和接管记录，为事后责任分析提供证据基础。</w:t>
      </w:r>
    </w:p>
    <w:p w14:paraId="39B839E7">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eastAsia"/>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3．</w:t>
      </w:r>
      <w:r>
        <w:rPr>
          <w:rFonts w:hint="eastAsia"/>
        </w:rPr>
        <w:t>服务机器人公司的酒店配送机器人</w:t>
      </w:r>
    </w:p>
    <w:p w14:paraId="49DAF7B8">
      <w:pPr>
        <w:pStyle w:val="6"/>
        <w:keepNext/>
        <w:keepLines/>
        <w:pageBreakBefore w:val="0"/>
        <w:widowControl w:val="0"/>
        <w:numPr>
          <w:ilvl w:val="0"/>
          <w:numId w:val="20"/>
        </w:numPr>
        <w:kinsoku/>
        <w:wordWrap/>
        <w:overflowPunct/>
        <w:topLinePunct w:val="0"/>
        <w:autoSpaceDE/>
        <w:autoSpaceDN/>
        <w:bidi w:val="0"/>
        <w:adjustRightInd/>
        <w:snapToGrid/>
        <w:ind w:left="0"/>
        <w:textAlignment w:val="auto"/>
        <w:rPr>
          <w:rFonts w:hint="eastAsia"/>
        </w:rPr>
      </w:pPr>
      <w:r>
        <w:rPr>
          <w:rFonts w:hint="eastAsia"/>
        </w:rPr>
        <w:t>输入内容</w:t>
      </w:r>
    </w:p>
    <w:p w14:paraId="5AAC4D36">
      <w:pPr>
        <w:bidi w:val="0"/>
        <w:rPr>
          <w:rFonts w:hint="eastAsia" w:ascii="宋体" w:hAnsi="宋体" w:eastAsia="宋体" w:cs="宋体"/>
          <w:sz w:val="24"/>
          <w:szCs w:val="24"/>
        </w:rPr>
      </w:pPr>
      <w:r>
        <w:rPr>
          <w:rFonts w:hint="eastAsia"/>
        </w:rPr>
        <w:t>我公司研发的酒店服务机器人已在国内</w:t>
      </w:r>
      <w:r>
        <w:rPr>
          <w:rFonts w:hint="default"/>
        </w:rPr>
        <w:t>300</w:t>
      </w:r>
      <w:r>
        <w:rPr>
          <w:rFonts w:hint="eastAsia"/>
        </w:rPr>
        <w:t>余家酒店部署，主要负责客房物品配送、引导带路和简单问询应答。机器人通过激光雷达和视觉传感器进行自主导航，可自主乘坐电梯、避让行人和障碍物。机器人内置语音交互模块，可在服务过程中收集用户的语音指令和移动轨迹数据，用于后续算法优化。目前尚未发生重大安全事故，但偶有机器人迷路、碰撞障碍物或误送物品的情况。</w:t>
      </w:r>
      <w:r>
        <w:rPr>
          <w:rFonts w:hint="eastAsia" w:ascii="宋体" w:hAnsi="宋体" w:eastAsia="宋体" w:cs="宋体"/>
          <w:sz w:val="24"/>
          <w:szCs w:val="24"/>
          <w:lang w:val="en-US" w:eastAsia="zh-CN"/>
        </w:rPr>
        <w:t>领域选择</w:t>
      </w:r>
      <w:r>
        <w:rPr>
          <w:rFonts w:hint="eastAsia" w:ascii="宋体" w:hAnsi="宋体" w:cs="宋体"/>
          <w:sz w:val="24"/>
          <w:szCs w:val="24"/>
          <w:lang w:val="en-US" w:eastAsia="zh-CN"/>
        </w:rPr>
        <w:t>为</w:t>
      </w:r>
      <w:r>
        <w:rPr>
          <w:rFonts w:hint="eastAsia" w:ascii="宋体" w:hAnsi="宋体" w:eastAsia="宋体" w:cs="宋体"/>
          <w:sz w:val="24"/>
          <w:szCs w:val="24"/>
          <w:lang w:val="en-US" w:eastAsia="zh-CN"/>
        </w:rPr>
        <w:t>服务机器人</w:t>
      </w:r>
      <w:r>
        <w:rPr>
          <w:rFonts w:hint="eastAsia" w:ascii="宋体" w:hAnsi="宋体" w:cs="宋体"/>
          <w:sz w:val="24"/>
          <w:szCs w:val="24"/>
          <w:lang w:val="en-US" w:eastAsia="zh-CN"/>
        </w:rPr>
        <w:t>。</w:t>
      </w:r>
    </w:p>
    <w:p w14:paraId="453EF3FF">
      <w:pPr>
        <w:pStyle w:val="6"/>
        <w:bidi w:val="0"/>
        <w:rPr>
          <w:rFonts w:hint="eastAsia"/>
        </w:rPr>
      </w:pPr>
      <w:r>
        <w:rPr>
          <w:rFonts w:hint="eastAsia"/>
        </w:rPr>
        <w:t>平台识别结果（摘要）</w:t>
      </w:r>
    </w:p>
    <w:p w14:paraId="79D1A6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【已识别风险】决策不自主受控（</w:t>
      </w:r>
      <w:r>
        <w:rPr>
          <w:rFonts w:hint="default" w:ascii="Times New Roman" w:hAnsi="Times New Roman" w:eastAsia="宋体" w:cs="Times New Roman"/>
          <w:sz w:val="24"/>
          <w:szCs w:val="24"/>
        </w:rPr>
        <w:t>ERS</w:t>
      </w:r>
      <w:r>
        <w:rPr>
          <w:rFonts w:hint="eastAsia" w:ascii="宋体" w:hAnsi="宋体" w:eastAsia="宋体" w:cs="宋体"/>
          <w:sz w:val="24"/>
          <w:szCs w:val="24"/>
        </w:rPr>
        <w:t>分数：</w:t>
      </w:r>
      <w:r>
        <w:rPr>
          <w:rFonts w:hint="default" w:ascii="Times New Roman" w:hAnsi="Times New Roman" w:eastAsia="宋体" w:cs="Times New Roman"/>
          <w:sz w:val="24"/>
          <w:szCs w:val="24"/>
        </w:rPr>
        <w:t>84</w:t>
      </w:r>
      <w:r>
        <w:rPr>
          <w:rFonts w:hint="eastAsia" w:ascii="宋体" w:hAnsi="宋体" w:eastAsia="宋体" w:cs="宋体"/>
          <w:sz w:val="24"/>
          <w:szCs w:val="24"/>
        </w:rPr>
        <w:t>.</w:t>
      </w:r>
      <w:r>
        <w:rPr>
          <w:rFonts w:hint="default" w:ascii="Times New Roman" w:hAnsi="Times New Roman" w:eastAsia="宋体" w:cs="Times New Roman"/>
          <w:sz w:val="24"/>
          <w:szCs w:val="24"/>
        </w:rPr>
        <w:t>33</w:t>
      </w:r>
      <w:r>
        <w:rPr>
          <w:rFonts w:hint="eastAsia" w:ascii="宋体" w:hAnsi="宋体" w:eastAsia="宋体" w:cs="宋体"/>
          <w:sz w:val="24"/>
          <w:szCs w:val="24"/>
        </w:rPr>
        <w:t>）：机器人在公共空间自主行动，偶发的迷路和碰撞表明其自主决策能力存在局限；在人员密集的酒店环境中，机器人的异常行为可能对住客安全构成威胁。</w:t>
      </w:r>
    </w:p>
    <w:p w14:paraId="243D84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【潜在风险/待核验风险】侵犯隐私：机器人收集语音指令和移动轨迹数据用于算法优化，需核验数据采集是否获得住客的明确知情同意、数据是否经过脱敏处理、存储期限和用途是否受限。</w:t>
      </w:r>
    </w:p>
    <w:p w14:paraId="3C40DB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【潜在风险/待核验风险】权责归属不清或失当：机器人误送物品或碰撞造成的损失，涉及机器人制造商、酒店运营方和算法维护方之间的责任划分，现有合同安排是否清晰有待核验。</w:t>
      </w:r>
    </w:p>
    <w:p w14:paraId="6E63D652">
      <w:pPr>
        <w:pStyle w:val="6"/>
        <w:bidi w:val="0"/>
        <w:rPr>
          <w:rFonts w:hint="eastAsia"/>
        </w:rPr>
      </w:pPr>
      <w:r>
        <w:rPr>
          <w:rFonts w:hint="eastAsia"/>
        </w:rPr>
        <w:t>管理建议（摘要）</w:t>
      </w:r>
    </w:p>
    <w:p w14:paraId="4B5DB1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针对决策不自主受控：建议在人员密集区域设置低速运行模式和紧急停止机制；对迷路和碰撞事件建立系统性的记录和根因分析流程。</w:t>
      </w:r>
    </w:p>
    <w:p w14:paraId="54E012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针对待核验的隐私风险：建议核验用户告知和同意机制是否完善、数据脱敏措施是否到位、是否建立了数据最小化采集原则。</w:t>
      </w:r>
    </w:p>
    <w:p w14:paraId="365A48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针对待核验的权责风险：建议核验与酒店方的服务协议中是否明确了事故责任划分和赔偿机制。</w:t>
      </w:r>
    </w:p>
    <w:p w14:paraId="1E812518">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eastAsia"/>
          <w:sz w:val="24"/>
          <w:szCs w:val="24"/>
        </w:rPr>
      </w:pPr>
      <w:r>
        <w:rPr>
          <w:rFonts w:hint="default" w:ascii="Times New Roman" w:hAnsi="Times New Roman" w:eastAsia="宋体" w:cstheme="majorBidi"/>
          <w:b/>
          <w:color w:val="000000" w:themeColor="text1"/>
          <w:kern w:val="2"/>
          <w:sz w:val="24"/>
          <w:szCs w:val="24"/>
          <w:lang w:val="en-US" w:eastAsia="zh-CN" w:bidi="ar-SA"/>
          <w14:textFill>
            <w14:solidFill>
              <w14:schemeClr w14:val="tx1"/>
            </w14:solidFill>
          </w14:textFill>
        </w:rPr>
        <w:t>4．</w:t>
      </w:r>
      <w:r>
        <w:rPr>
          <w:rFonts w:hint="eastAsia" w:ascii="宋体" w:hAnsi="宋体" w:eastAsia="宋体" w:cs="宋体"/>
          <w:sz w:val="24"/>
          <w:szCs w:val="24"/>
        </w:rPr>
        <w:t>非重点领域的</w:t>
      </w:r>
      <w:r>
        <w:rPr>
          <w:rFonts w:hint="default" w:ascii="Times New Roman" w:hAnsi="Times New Roman" w:eastAsia="宋体" w:cs="Times New Roman"/>
          <w:sz w:val="24"/>
          <w:szCs w:val="24"/>
        </w:rPr>
        <w:t>AI</w:t>
      </w:r>
      <w:r>
        <w:rPr>
          <w:rFonts w:hint="eastAsia" w:ascii="宋体" w:hAnsi="宋体" w:eastAsia="宋体" w:cs="宋体"/>
          <w:sz w:val="24"/>
          <w:szCs w:val="24"/>
        </w:rPr>
        <w:t>应用——营销文案生成系统</w:t>
      </w:r>
    </w:p>
    <w:p w14:paraId="18107AE6">
      <w:pPr>
        <w:pStyle w:val="6"/>
        <w:keepNext/>
        <w:keepLines/>
        <w:pageBreakBefore w:val="0"/>
        <w:widowControl w:val="0"/>
        <w:numPr>
          <w:ilvl w:val="0"/>
          <w:numId w:val="21"/>
        </w:numPr>
        <w:kinsoku/>
        <w:wordWrap/>
        <w:overflowPunct/>
        <w:topLinePunct w:val="0"/>
        <w:autoSpaceDE/>
        <w:autoSpaceDN/>
        <w:bidi w:val="0"/>
        <w:adjustRightInd/>
        <w:snapToGrid/>
        <w:ind w:left="0"/>
        <w:textAlignment w:val="auto"/>
        <w:rPr>
          <w:rFonts w:hint="eastAsia"/>
        </w:rPr>
      </w:pPr>
      <w:r>
        <w:rPr>
          <w:rFonts w:hint="eastAsia"/>
        </w:rPr>
        <w:t>输入内容</w:t>
      </w:r>
    </w:p>
    <w:p w14:paraId="2AE0511A">
      <w:pPr>
        <w:bidi w:val="0"/>
        <w:rPr>
          <w:rFonts w:hint="eastAsia"/>
          <w:lang w:val="en-US" w:eastAsia="zh-CN"/>
        </w:rPr>
      </w:pPr>
      <w:r>
        <w:rPr>
          <w:rFonts w:hint="eastAsia"/>
        </w:rPr>
        <w:t>本公司推出了一款</w:t>
      </w:r>
      <w:r>
        <w:rPr>
          <w:rFonts w:hint="default"/>
        </w:rPr>
        <w:t>AI</w:t>
      </w:r>
      <w:r>
        <w:rPr>
          <w:rFonts w:hint="eastAsia"/>
        </w:rPr>
        <w:t>营销文案生成工具，主要面向中小电商企业。该工具基于大语言模型，用户输入商品名称和卖点关键词后，系统自动生成多版本的商品描述、广告语和社交媒体推文。系统内置了敏感词过滤和合规性检查功能，但生成内容仍可能包含夸大宣传或与事实不符的表述。系统在训练过程中使用了大量公开的网络文本数据，其中可能包含受版权保护的内容。目前该工具已服务超过</w:t>
      </w:r>
      <w:r>
        <w:rPr>
          <w:rFonts w:hint="default"/>
        </w:rPr>
        <w:t>2000</w:t>
      </w:r>
      <w:r>
        <w:rPr>
          <w:rFonts w:hint="eastAsia"/>
        </w:rPr>
        <w:t>家商户，日均生成文案约</w:t>
      </w:r>
      <w:r>
        <w:rPr>
          <w:rFonts w:hint="default"/>
        </w:rPr>
        <w:t>5</w:t>
      </w:r>
      <w:r>
        <w:rPr>
          <w:rFonts w:hint="eastAsia"/>
        </w:rPr>
        <w:t>万条，全部由</w:t>
      </w:r>
      <w:r>
        <w:rPr>
          <w:rFonts w:hint="default"/>
        </w:rPr>
        <w:t>AI</w:t>
      </w:r>
      <w:r>
        <w:rPr>
          <w:rFonts w:hint="eastAsia"/>
        </w:rPr>
        <w:t>自动完成，未经人工审核。</w:t>
      </w:r>
      <w:r>
        <w:rPr>
          <w:rFonts w:hint="eastAsia"/>
          <w:lang w:val="en-US" w:eastAsia="zh-CN"/>
        </w:rPr>
        <w:t>领域选择为其他通用领域。</w:t>
      </w:r>
    </w:p>
    <w:p w14:paraId="2CF09C9F">
      <w:pPr>
        <w:pStyle w:val="6"/>
        <w:bidi w:val="0"/>
        <w:rPr>
          <w:rFonts w:hint="eastAsia"/>
        </w:rPr>
      </w:pPr>
      <w:r>
        <w:rPr>
          <w:rFonts w:hint="eastAsia"/>
        </w:rPr>
        <w:t>平台识别结果（摘要）</w:t>
      </w:r>
    </w:p>
    <w:p w14:paraId="2967AD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【已识别风险】生成虚假或误导性信息：系统自动生成商品描述和广告语，可能包含夸大宣传、虚假功效或与事实不符的表述。内置的敏感词过滤仅能拦截明显违规词汇，无法判断语义层面的真实性，而“全部由</w:t>
      </w:r>
      <w:r>
        <w:rPr>
          <w:rFonts w:hint="default" w:ascii="Times New Roman" w:hAnsi="Times New Roman" w:eastAsia="宋体" w:cs="Times New Roman"/>
          <w:sz w:val="24"/>
          <w:szCs w:val="24"/>
        </w:rPr>
        <w:t>AI</w:t>
      </w:r>
      <w:r>
        <w:rPr>
          <w:rFonts w:hint="eastAsia" w:ascii="宋体" w:hAnsi="宋体" w:eastAsia="宋体" w:cs="宋体"/>
          <w:sz w:val="24"/>
          <w:szCs w:val="24"/>
        </w:rPr>
        <w:t>自动完成，未经人工审核”加剧了虚假信息直接传递给消费者的风险。</w:t>
      </w:r>
    </w:p>
    <w:p w14:paraId="5BBD57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已识别风险】侵犯知识产权：训练数据包含大量公开网络文本，其中可能含有受版权保护的文章、图片描述等。大语言模型具有记忆和复现训练数据的能力，生成的文案可能无意中复制了他人作品的独创性表达，引发著作权侵权纠纷。</w:t>
      </w:r>
    </w:p>
    <w:p w14:paraId="142723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【已识别风险】缺乏透明度与可解释性：商户和消费者无法区分文案是由</w:t>
      </w:r>
      <w:r>
        <w:rPr>
          <w:rFonts w:hint="default" w:ascii="Times New Roman" w:hAnsi="Times New Roman" w:eastAsia="宋体" w:cs="Times New Roman"/>
          <w:sz w:val="24"/>
          <w:szCs w:val="24"/>
        </w:rPr>
        <w:t>AI</w:t>
      </w:r>
      <w:r>
        <w:rPr>
          <w:rFonts w:hint="eastAsia" w:ascii="宋体" w:hAnsi="宋体" w:eastAsia="宋体" w:cs="宋体"/>
          <w:sz w:val="24"/>
          <w:szCs w:val="24"/>
        </w:rPr>
        <w:t>生成还是人工撰写，也未标注</w:t>
      </w:r>
      <w:r>
        <w:rPr>
          <w:rFonts w:hint="default" w:ascii="Times New Roman" w:hAnsi="Times New Roman" w:eastAsia="宋体" w:cs="Times New Roman"/>
          <w:sz w:val="24"/>
          <w:szCs w:val="24"/>
        </w:rPr>
        <w:t>AI</w:t>
      </w:r>
      <w:r>
        <w:rPr>
          <w:rFonts w:hint="eastAsia" w:ascii="宋体" w:hAnsi="宋体" w:eastAsia="宋体" w:cs="宋体"/>
          <w:sz w:val="24"/>
          <w:szCs w:val="24"/>
        </w:rPr>
        <w:t>生成标识。当消费者因虚假宣传遭受损失时，责任归属不清晰——是工具提供方、使用商户还是</w:t>
      </w:r>
      <w:r>
        <w:rPr>
          <w:rFonts w:hint="default" w:ascii="Times New Roman" w:hAnsi="Times New Roman" w:eastAsia="宋体" w:cs="Times New Roman"/>
          <w:sz w:val="24"/>
          <w:szCs w:val="24"/>
        </w:rPr>
        <w:t>AI</w:t>
      </w:r>
      <w:r>
        <w:rPr>
          <w:rFonts w:hint="eastAsia" w:ascii="宋体" w:hAnsi="宋体" w:eastAsia="宋体" w:cs="宋体"/>
          <w:sz w:val="24"/>
          <w:szCs w:val="24"/>
        </w:rPr>
        <w:t>系统本身的责任难以界定。</w:t>
      </w:r>
    </w:p>
    <w:p w14:paraId="7FB434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潜在风险/待核验风险】加剧社会偏见或歧视：训练数据来源于互联网，可能隐含性别、地域或文化偏见。系统生成的文案可能在商品推荐或描述中无意识地强化刻板印象，但由于缺乏对训练数据的偏见审计，该风险有待进一步核验。</w:t>
      </w:r>
    </w:p>
    <w:p w14:paraId="5DBF52A8">
      <w:pPr>
        <w:pStyle w:val="6"/>
        <w:bidi w:val="0"/>
        <w:rPr>
          <w:rFonts w:hint="eastAsia"/>
        </w:rPr>
      </w:pPr>
      <w:r>
        <w:rPr>
          <w:rFonts w:hint="eastAsia"/>
        </w:rPr>
        <w:t>管理建议（摘要）</w:t>
      </w:r>
    </w:p>
    <w:p w14:paraId="40B581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针对虚假信息：建议在生成流程中增加事实核查模块，对功效性描述进行交叉验证；对“全部自动完成”的现状，应增加人工抽审机制，特别是对医疗、食品等敏感品类的文案。</w:t>
      </w:r>
    </w:p>
    <w:p w14:paraId="07ACB3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针对知识产权：建议对训练数据来源进行合规性审查，剔除明显侵权内容；在生成端引入版权检测工具，对疑似复制的内容进行标记和替换。</w:t>
      </w:r>
    </w:p>
    <w:p w14:paraId="5C6D9C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针对透明度不足：建议参照《人工智能生成合成内容标识办法》要求，对生成的文案添加</w:t>
      </w:r>
      <w:r>
        <w:rPr>
          <w:rFonts w:hint="default" w:ascii="Times New Roman" w:hAnsi="Times New Roman" w:eastAsia="宋体" w:cs="Times New Roman"/>
          <w:sz w:val="24"/>
          <w:szCs w:val="24"/>
        </w:rPr>
        <w:t>AI</w:t>
      </w:r>
      <w:r>
        <w:rPr>
          <w:rFonts w:hint="eastAsia" w:ascii="宋体" w:hAnsi="宋体" w:eastAsia="宋体" w:cs="宋体"/>
          <w:sz w:val="24"/>
          <w:szCs w:val="24"/>
        </w:rPr>
        <w:t>标识，使下游商户和消费者能够知悉内容来源。</w:t>
      </w:r>
    </w:p>
    <w:p w14:paraId="42B55B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针对待核验的偏见：建议对训练数据进行偏见审计，评估生成文案在不同群体间的语言差异，并根据审计结果进行微调或过滤。</w:t>
      </w:r>
    </w:p>
    <w:p w14:paraId="37C30FB1">
      <w:pPr>
        <w:pStyle w:val="4"/>
        <w:numPr>
          <w:ilvl w:val="0"/>
          <w:numId w:val="0"/>
        </w:numPr>
        <w:bidi w:val="0"/>
        <w:ind w:left="0" w:leftChars="0" w:firstLine="562" w:firstLineChars="200"/>
        <w:rPr>
          <w:rFonts w:hint="eastAsia"/>
          <w:lang w:val="en-US" w:eastAsia="zh-CN"/>
        </w:rPr>
      </w:pPr>
      <w:bookmarkStart w:id="68" w:name="_Toc10383"/>
      <w:r>
        <w:rPr>
          <w:rFonts w:hint="eastAsia" w:ascii="Times New Roman" w:hAnsi="Times New Roman" w:eastAsia="宋体" w:cstheme="majorBidi"/>
          <w:b/>
          <w:color w:val="000000" w:themeColor="text1"/>
          <w:kern w:val="2"/>
          <w:sz w:val="28"/>
          <w:szCs w:val="40"/>
          <w:lang w:val="en-US" w:eastAsia="zh-CN" w:bidi="ar-SA"/>
          <w14:textFill>
            <w14:solidFill>
              <w14:schemeClr w14:val="tx1"/>
            </w14:solidFill>
          </w14:textFill>
        </w:rPr>
        <w:t>（</w:t>
      </w:r>
      <w:r>
        <w:rPr>
          <w:rFonts w:hint="eastAsia" w:cstheme="majorBidi"/>
          <w:b/>
          <w:color w:val="000000" w:themeColor="text1"/>
          <w:kern w:val="2"/>
          <w:sz w:val="28"/>
          <w:szCs w:val="40"/>
          <w:lang w:val="en-US" w:eastAsia="zh-CN" w:bidi="ar-SA"/>
          <w14:textFill>
            <w14:solidFill>
              <w14:schemeClr w14:val="tx1"/>
            </w14:solidFill>
          </w14:textFill>
        </w:rPr>
        <w:t>四</w:t>
      </w:r>
      <w:r>
        <w:rPr>
          <w:rFonts w:hint="eastAsia" w:ascii="Times New Roman" w:hAnsi="Times New Roman" w:eastAsia="宋体" w:cstheme="majorBidi"/>
          <w:b/>
          <w:color w:val="000000" w:themeColor="text1"/>
          <w:kern w:val="2"/>
          <w:sz w:val="28"/>
          <w:szCs w:val="40"/>
          <w:lang w:val="en-US" w:eastAsia="zh-CN" w:bidi="ar-SA"/>
          <w14:textFill>
            <w14:solidFill>
              <w14:schemeClr w14:val="tx1"/>
            </w14:solidFill>
          </w14:textFill>
        </w:rPr>
        <w:t>）</w:t>
      </w:r>
      <w:r>
        <w:rPr>
          <w:rFonts w:hint="eastAsia"/>
          <w:lang w:val="en-US" w:eastAsia="zh-CN"/>
        </w:rPr>
        <w:t>风险识别与管理输出的合理性分析</w:t>
      </w:r>
      <w:bookmarkEnd w:id="68"/>
    </w:p>
    <w:p w14:paraId="2A95737B">
      <w:pPr>
        <w:bidi w:val="0"/>
      </w:pPr>
      <w:r>
        <w:rPr>
          <w:rFonts w:hint="default"/>
        </w:rPr>
        <w:t>上述四个案例的识别结果与管理建议表明，平台输出的风险类型与对应ERS分数之间具有一致性。金融科技案例中，</w:t>
      </w:r>
      <w:r>
        <w:rPr>
          <w:rFonts w:hint="eastAsia"/>
          <w:lang w:eastAsia="zh-CN"/>
        </w:rPr>
        <w:t>“</w:t>
      </w:r>
      <w:r>
        <w:rPr>
          <w:rFonts w:hint="default"/>
        </w:rPr>
        <w:t>侵犯隐私</w:t>
      </w:r>
      <w:r>
        <w:rPr>
          <w:rFonts w:hint="eastAsia"/>
          <w:lang w:eastAsia="zh-CN"/>
        </w:rPr>
        <w:t>”</w:t>
      </w:r>
      <w:r>
        <w:rPr>
          <w:rFonts w:hint="default"/>
        </w:rPr>
        <w:t>（ERS 72.23）和</w:t>
      </w:r>
      <w:r>
        <w:rPr>
          <w:rFonts w:hint="eastAsia"/>
          <w:lang w:eastAsia="zh-CN"/>
        </w:rPr>
        <w:t>“</w:t>
      </w:r>
      <w:r>
        <w:rPr>
          <w:rFonts w:hint="default"/>
        </w:rPr>
        <w:t>加剧社会偏见或歧视</w:t>
      </w:r>
      <w:r>
        <w:rPr>
          <w:rFonts w:hint="eastAsia"/>
          <w:lang w:eastAsia="zh-CN"/>
        </w:rPr>
        <w:t>”</w:t>
      </w:r>
      <w:r>
        <w:rPr>
          <w:rFonts w:hint="default"/>
        </w:rPr>
        <w:t>（ERS 70.22）是个性化算法领域排名前两位的风险类型；自动驾驶案例中，</w:t>
      </w:r>
      <w:r>
        <w:rPr>
          <w:rFonts w:hint="eastAsia"/>
          <w:lang w:eastAsia="zh-CN"/>
        </w:rPr>
        <w:t>“</w:t>
      </w:r>
      <w:r>
        <w:rPr>
          <w:rFonts w:hint="default"/>
        </w:rPr>
        <w:t>决策不自主受控</w:t>
      </w:r>
      <w:r>
        <w:rPr>
          <w:rFonts w:hint="eastAsia"/>
          <w:lang w:eastAsia="zh-CN"/>
        </w:rPr>
        <w:t>”</w:t>
      </w:r>
      <w:r>
        <w:rPr>
          <w:rFonts w:hint="default"/>
        </w:rPr>
        <w:t>（ERS 94.73）和</w:t>
      </w:r>
      <w:r>
        <w:rPr>
          <w:rFonts w:hint="eastAsia"/>
          <w:lang w:eastAsia="zh-CN"/>
        </w:rPr>
        <w:t>“</w:t>
      </w:r>
      <w:r>
        <w:rPr>
          <w:rFonts w:hint="default"/>
        </w:rPr>
        <w:t>权责归属不清或失当</w:t>
      </w:r>
      <w:r>
        <w:rPr>
          <w:rFonts w:hint="eastAsia"/>
          <w:lang w:eastAsia="zh-CN"/>
        </w:rPr>
        <w:t>”</w:t>
      </w:r>
      <w:r>
        <w:rPr>
          <w:rFonts w:hint="default"/>
        </w:rPr>
        <w:t>（ERS 93.98）同样对应自动驾驶领域的最高优先级组合。平台的风险判定均有明确的输入证据支撑，如针对自动驾驶</w:t>
      </w:r>
      <w:r>
        <w:rPr>
          <w:rFonts w:hint="eastAsia"/>
          <w:lang w:eastAsia="zh-CN"/>
        </w:rPr>
        <w:t>“</w:t>
      </w:r>
      <w:r>
        <w:rPr>
          <w:rFonts w:hint="default"/>
        </w:rPr>
        <w:t>接管时间窗口2秒</w:t>
      </w:r>
      <w:r>
        <w:rPr>
          <w:rFonts w:hint="eastAsia"/>
          <w:lang w:eastAsia="zh-CN"/>
        </w:rPr>
        <w:t>”</w:t>
      </w:r>
      <w:r>
        <w:rPr>
          <w:rFonts w:hint="default"/>
        </w:rPr>
        <w:t>的问题，平台援引人类反应时间通常需要2.5秒以上的认知科学依据，判断人工接管实质上不可行，这种基于具体输入信息的推理方式增强了识别结果的可信度。</w:t>
      </w:r>
    </w:p>
    <w:p w14:paraId="725F0D9B">
      <w:pPr>
        <w:bidi w:val="0"/>
        <w:rPr>
          <w:rFonts w:hint="default"/>
          <w:lang w:val="en-US" w:eastAsia="zh-CN"/>
        </w:rPr>
      </w:pPr>
      <w:r>
        <w:rPr>
          <w:rFonts w:hint="default"/>
        </w:rPr>
        <w:t>管理建议方面，平台输出的每项建议均与识别出的风险形成清晰</w:t>
      </w:r>
      <w:r>
        <w:rPr>
          <w:rFonts w:hint="eastAsia"/>
          <w:lang w:val="en-US" w:eastAsia="zh-CN"/>
        </w:rPr>
        <w:t>的</w:t>
      </w:r>
      <w:r>
        <w:rPr>
          <w:rFonts w:hint="default"/>
        </w:rPr>
        <w:t>对应，且指向可执行的具体措施而非原则性表态。金融科技案例中，建议</w:t>
      </w:r>
      <w:r>
        <w:rPr>
          <w:rFonts w:hint="eastAsia"/>
          <w:lang w:eastAsia="zh-CN"/>
        </w:rPr>
        <w:t>“</w:t>
      </w:r>
      <w:r>
        <w:rPr>
          <w:rFonts w:hint="default"/>
        </w:rPr>
        <w:t>当某群体拒绝率显著高于其他群体时触发人工复核</w:t>
      </w:r>
      <w:r>
        <w:rPr>
          <w:rFonts w:hint="eastAsia"/>
          <w:lang w:eastAsia="zh-CN"/>
        </w:rPr>
        <w:t>”</w:t>
      </w:r>
      <w:r>
        <w:rPr>
          <w:rFonts w:hint="default"/>
        </w:rPr>
        <w:t>提供了明确的操作方向；营销文案案例中，引用《人工智能生成合成内容标识办法》要求添加AI标识，给出了具体的合规路径。对于证据不充分的情形，平台如实标注为</w:t>
      </w:r>
      <w:r>
        <w:rPr>
          <w:rFonts w:hint="eastAsia"/>
          <w:lang w:eastAsia="zh-CN"/>
        </w:rPr>
        <w:t>“</w:t>
      </w:r>
      <w:r>
        <w:rPr>
          <w:rFonts w:hint="default"/>
        </w:rPr>
        <w:t>待核验风险</w:t>
      </w:r>
      <w:r>
        <w:rPr>
          <w:rFonts w:hint="eastAsia"/>
          <w:lang w:eastAsia="zh-CN"/>
        </w:rPr>
        <w:t>”</w:t>
      </w:r>
      <w:r>
        <w:rPr>
          <w:rFonts w:hint="default"/>
        </w:rPr>
        <w:t>而非直接判定，如案例三服务机器人的隐私和权责问题，这种审慎的处理方式避免了在证据不足时做出过度或误导性的风险预警，有助于维护平台输出的可信度。</w:t>
      </w:r>
    </w:p>
    <w:p w14:paraId="3BD51CAF">
      <w:pPr>
        <w:pStyle w:val="3"/>
        <w:numPr>
          <w:ilvl w:val="0"/>
          <w:numId w:val="22"/>
        </w:numPr>
        <w:bidi w:val="0"/>
        <w:rPr>
          <w:rFonts w:hint="eastAsia"/>
          <w:lang w:val="en-US" w:eastAsia="zh-CN"/>
        </w:rPr>
      </w:pPr>
      <w:bookmarkStart w:id="69" w:name="_Toc16073"/>
      <w:r>
        <w:rPr>
          <w:rFonts w:hint="eastAsia"/>
          <w:lang w:val="en-US" w:eastAsia="zh-CN"/>
        </w:rPr>
        <w:t>研究结论、不足与展望</w:t>
      </w:r>
      <w:bookmarkEnd w:id="69"/>
    </w:p>
    <w:p w14:paraId="617942DE">
      <w:pPr>
        <w:pStyle w:val="4"/>
        <w:numPr>
          <w:ilvl w:val="0"/>
          <w:numId w:val="23"/>
        </w:numPr>
        <w:bidi w:val="0"/>
        <w:rPr>
          <w:rFonts w:hint="eastAsia"/>
          <w:lang w:val="en-US" w:eastAsia="zh-CN"/>
        </w:rPr>
      </w:pPr>
      <w:bookmarkStart w:id="70" w:name="_Toc12349"/>
      <w:r>
        <w:rPr>
          <w:rFonts w:hint="eastAsia"/>
          <w:lang w:val="en-US" w:eastAsia="zh-CN"/>
        </w:rPr>
        <w:t>研究结论</w:t>
      </w:r>
      <w:bookmarkEnd w:id="70"/>
    </w:p>
    <w:p w14:paraId="11CFB7CF">
      <w:pPr>
        <w:bidi w:val="0"/>
      </w:pPr>
      <w:r>
        <w:rPr>
          <w:rFonts w:hint="default"/>
        </w:rPr>
        <w:t>第一，AI伦理风险具有可测度性，模糊推理与层次分析法的结合能够有效处理伦理判断中的不确定性和价值分歧，使不同领域与风险类型之间形成可比较的优先级排序，为治理资源的精准投放提供了科学依据。</w:t>
      </w:r>
    </w:p>
    <w:p w14:paraId="002233E5">
      <w:pPr>
        <w:bidi w:val="0"/>
        <w:rPr>
          <w:rFonts w:hint="default"/>
        </w:rPr>
      </w:pPr>
      <w:r>
        <w:rPr>
          <w:rFonts w:hint="default"/>
        </w:rPr>
        <w:t>第二，科创企业AI伦理风险呈长尾分布特征，绝大多数企业风险可控，约57.5%处于低暴露低ERS象限，但尾部高风险群体高度集中于软件和信息技术服务业，且研发强度对风险的影响呈现门槛效应而非线性关系，意味着监管应聚焦于尾部群体，同时企业不能仅靠增加研发投入解决伦理问题，还需同步建设转化效率。</w:t>
      </w:r>
    </w:p>
    <w:p w14:paraId="798CD4F4">
      <w:pPr>
        <w:bidi w:val="0"/>
        <w:rPr>
          <w:rFonts w:hint="default"/>
        </w:rPr>
      </w:pPr>
      <w:r>
        <w:rPr>
          <w:rFonts w:hint="default"/>
        </w:rPr>
        <w:t>第三，风险管理的有效性取决于工具与风险特征的精确映射，低频低损风险匹配风险自留，高频低损风险由损失控制、风险分散与风险自留协同应对，低频高损风险由风险对冲与保险转移双重承接，高频高损或不可逆风险启动风险撤出。六种工具与四象限形成的分层递进结构，显著优于笼统</w:t>
      </w:r>
      <w:r>
        <w:rPr>
          <w:rFonts w:hint="eastAsia"/>
          <w:lang w:val="en-US" w:eastAsia="zh-CN"/>
        </w:rPr>
        <w:t>的</w:t>
      </w:r>
      <w:r>
        <w:rPr>
          <w:rFonts w:hint="default"/>
        </w:rPr>
        <w:t>建议。</w:t>
      </w:r>
    </w:p>
    <w:p w14:paraId="36FFB037">
      <w:pPr>
        <w:bidi w:val="0"/>
        <w:rPr>
          <w:rFonts w:hint="default"/>
        </w:rPr>
      </w:pPr>
      <w:r>
        <w:rPr>
          <w:rFonts w:hint="default"/>
        </w:rPr>
        <w:t>第四，中国AI伦理治理正处于从价值倡导向制度化约束加速转变的窗口期，但制度供给与企业实际管理能力之间存在显著落差。本研究搭建的数字化平台验证了理论模型向日常实践转化的可行性，其核心价值在于使风险识别和管理建议具备了可追溯、可验证、可修正的工程基础，表明仅有外部规范不足以实现有效治理，还需配套可落地的量化工具和管理方案。</w:t>
      </w:r>
    </w:p>
    <w:p w14:paraId="7B10E3C9">
      <w:pPr>
        <w:pStyle w:val="4"/>
        <w:bidi w:val="0"/>
        <w:rPr>
          <w:rFonts w:hint="default"/>
          <w:lang w:val="en-US" w:eastAsia="zh-CN"/>
        </w:rPr>
      </w:pPr>
      <w:bookmarkStart w:id="71" w:name="_Toc3565"/>
      <w:r>
        <w:rPr>
          <w:rFonts w:hint="eastAsia"/>
          <w:lang w:val="en-US" w:eastAsia="zh-CN"/>
        </w:rPr>
        <w:t>（二）研究不足</w:t>
      </w:r>
      <w:bookmarkEnd w:id="71"/>
    </w:p>
    <w:p w14:paraId="24F08AB3">
      <w:pPr>
        <w:bidi w:val="0"/>
        <w:rPr>
          <w:rFonts w:hint="eastAsia"/>
        </w:rPr>
      </w:pPr>
      <w:r>
        <w:rPr>
          <w:rFonts w:hint="eastAsia"/>
        </w:rPr>
        <w:t>本研究在理论框架构建、量化模型设计与数字化工具开发等方面形成了一定的研究积累，但仍存在以下局限。</w:t>
      </w:r>
    </w:p>
    <w:p w14:paraId="096B9D68">
      <w:pPr>
        <w:bidi w:val="0"/>
        <w:rPr>
          <w:rFonts w:hint="eastAsia"/>
        </w:rPr>
      </w:pPr>
      <w:r>
        <w:rPr>
          <w:rFonts w:hint="eastAsia"/>
          <w:lang w:val="en-US" w:eastAsia="zh-CN"/>
        </w:rPr>
        <w:t>在</w:t>
      </w:r>
      <w:r>
        <w:rPr>
          <w:rFonts w:hint="eastAsia"/>
        </w:rPr>
        <w:t>数据层面</w:t>
      </w:r>
      <w:r>
        <w:rPr>
          <w:rFonts w:hint="eastAsia"/>
          <w:lang w:eastAsia="zh-CN"/>
        </w:rPr>
        <w:t>，</w:t>
      </w:r>
      <w:r>
        <w:rPr>
          <w:rFonts w:hint="eastAsia"/>
        </w:rPr>
        <w:t> ERS模型的风险识别主要依赖五个公开平台的文本词频数据，公开舆情存在选择性偏差——倾向于关注已引发社会关注的伦理事件，而对尚未进入公共视野的“潜伏性”风险刻画不足。企业层面，专利数据只能反映技术研发方向、年报词频只能反映叙事策略，均无法精确反映企业的实际AI应用场景和伦理治理实践。此外，AI伦理风险领域尚未形成系统的事故统计和损失数据，使得本研究无法对ERS模型进行以真实损失结果为准则的外部效度检验。</w:t>
      </w:r>
    </w:p>
    <w:p w14:paraId="0DE244BC">
      <w:pPr>
        <w:bidi w:val="0"/>
        <w:rPr>
          <w:rFonts w:hint="eastAsia"/>
        </w:rPr>
      </w:pPr>
      <w:r>
        <w:rPr>
          <w:rFonts w:hint="eastAsia"/>
          <w:lang w:val="en-US" w:eastAsia="zh-CN"/>
        </w:rPr>
        <w:t>在</w:t>
      </w:r>
      <w:r>
        <w:rPr>
          <w:rFonts w:hint="eastAsia"/>
        </w:rPr>
        <w:t>方法层面</w:t>
      </w:r>
      <w:r>
        <w:rPr>
          <w:rFonts w:hint="eastAsia"/>
          <w:lang w:eastAsia="zh-CN"/>
        </w:rPr>
        <w:t>，</w:t>
      </w:r>
      <w:r>
        <w:rPr>
          <w:rFonts w:hint="eastAsia"/>
        </w:rPr>
        <w:t> ERS模型基于截面数据，反映的是特定时间窗口内的风险关注优先级，尚未纳入时间维度，难以反映风险的演化趋势。模型中的隶属函数边界、FAHP偏好强度等参数包含规范性设定，虽经敏感性检验，但缺乏客观校准依据。此外，“伦理风险事件—经济损失”的转化机制尚未量化，使得风险评估与管理决策之间的衔接仍存在缺口。</w:t>
      </w:r>
    </w:p>
    <w:p w14:paraId="563F95E9">
      <w:pPr>
        <w:bidi w:val="0"/>
        <w:rPr>
          <w:rFonts w:hint="eastAsia"/>
        </w:rPr>
      </w:pPr>
      <w:r>
        <w:rPr>
          <w:rFonts w:hint="eastAsia"/>
          <w:lang w:val="en-US" w:eastAsia="zh-CN"/>
        </w:rPr>
        <w:t>在</w:t>
      </w:r>
      <w:r>
        <w:rPr>
          <w:rFonts w:hint="eastAsia"/>
        </w:rPr>
        <w:t>研究范围</w:t>
      </w:r>
      <w:r>
        <w:rPr>
          <w:rFonts w:hint="eastAsia"/>
          <w:lang w:val="en-US" w:eastAsia="zh-CN"/>
        </w:rPr>
        <w:t>上，</w:t>
      </w:r>
      <w:r>
        <w:rPr>
          <w:rFonts w:hint="eastAsia"/>
        </w:rPr>
        <w:t> 受数据集结构限制，研究聚焦于个性化算法、机器视觉、自动驾驶和服务机器人四个领域，当前发展活跃的大语言模型和生成式AI未被充分覆盖，“破坏生态环境”亦未纳入量化计算。研究样本以科创板上市企业为主，结论对未上市科创企业、北交所上市企业等的适用性有待验证。</w:t>
      </w:r>
    </w:p>
    <w:p w14:paraId="6D0BEB6F">
      <w:pPr>
        <w:pStyle w:val="4"/>
        <w:bidi w:val="0"/>
        <w:rPr>
          <w:rFonts w:hint="default"/>
          <w:lang w:val="en-US" w:eastAsia="zh-CN"/>
        </w:rPr>
      </w:pPr>
      <w:bookmarkStart w:id="72" w:name="_Toc13156"/>
      <w:r>
        <w:rPr>
          <w:rFonts w:hint="eastAsia"/>
          <w:lang w:eastAsia="zh-CN"/>
        </w:rPr>
        <w:t>（</w:t>
      </w:r>
      <w:r>
        <w:rPr>
          <w:rFonts w:hint="eastAsia"/>
          <w:lang w:val="en-US" w:eastAsia="zh-CN"/>
        </w:rPr>
        <w:t>二</w:t>
      </w:r>
      <w:r>
        <w:rPr>
          <w:rFonts w:hint="eastAsia"/>
          <w:lang w:eastAsia="zh-CN"/>
        </w:rPr>
        <w:t>）</w:t>
      </w:r>
      <w:r>
        <w:rPr>
          <w:rFonts w:hint="eastAsia"/>
          <w:lang w:val="en-US" w:eastAsia="zh-CN"/>
        </w:rPr>
        <w:t>研究展望</w:t>
      </w:r>
      <w:bookmarkEnd w:id="72"/>
    </w:p>
    <w:p w14:paraId="4657C63D">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eastAsia"/>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1．</w:t>
      </w:r>
      <w:r>
        <w:rPr>
          <w:rFonts w:hint="eastAsia"/>
        </w:rPr>
        <w:t>扩展数据来源与动态化建模</w:t>
      </w:r>
    </w:p>
    <w:p w14:paraId="664B59A2">
      <w:pPr>
        <w:bidi w:val="0"/>
        <w:rPr>
          <w:rFonts w:hint="eastAsia"/>
        </w:rPr>
      </w:pPr>
      <w:r>
        <w:rPr>
          <w:rFonts w:hint="eastAsia"/>
        </w:rPr>
        <w:t>未来研究可纳入专利数据、企业内部治理报告、监管处罚记录和消费者投诉等多源信息，丰富风险识别的证据基础；构建动态ERS模型，引入时间序列分析追踪风险结构的演化趋势，使风险评估从静态快照升级为动态监测。</w:t>
      </w:r>
    </w:p>
    <w:p w14:paraId="78D98DFB">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eastAsia"/>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2．</w:t>
      </w:r>
      <w:r>
        <w:rPr>
          <w:rFonts w:hint="eastAsia"/>
        </w:rPr>
        <w:t>深化经济后果量化研究</w:t>
      </w:r>
    </w:p>
    <w:p w14:paraId="24E68C41">
      <w:pPr>
        <w:bidi w:val="0"/>
        <w:rPr>
          <w:rFonts w:hint="eastAsia"/>
        </w:rPr>
      </w:pPr>
      <w:r>
        <w:rPr>
          <w:rFonts w:hint="eastAsia"/>
        </w:rPr>
        <w:t>建立“伦理风险事件—经济损失”的量化转化模型，整合法学、风险管理与计算机科学等跨学科知识，估计不同类型伦理风险事件的发生概率、损失分布和传导路径，使评估结果能够直接服务于管理决策中的成本效益分析。</w:t>
      </w:r>
    </w:p>
    <w:p w14:paraId="35A23EF3">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eastAsia"/>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3．</w:t>
      </w:r>
      <w:r>
        <w:rPr>
          <w:rFonts w:hint="eastAsia"/>
        </w:rPr>
        <w:t>拓展研究范围</w:t>
      </w:r>
    </w:p>
    <w:p w14:paraId="0E877343">
      <w:pPr>
        <w:bidi w:val="0"/>
        <w:rPr>
          <w:rFonts w:hint="eastAsia"/>
        </w:rPr>
      </w:pPr>
      <w:r>
        <w:rPr>
          <w:rFonts w:hint="eastAsia"/>
        </w:rPr>
        <w:t>将生成式AI、大语言模型等新兴AI应用纳入研究框架，探索在统一框架下纳入生态环境维度的可行性；将分析框架拓展至北交所、创业板及其他科创企业群体，通过跨板块比较揭示不同制度环境和企业特征对AI伦理风险分布的影响。</w:t>
      </w:r>
    </w:p>
    <w:p w14:paraId="6668D92E">
      <w:pPr>
        <w:pStyle w:val="5"/>
        <w:keepNext/>
        <w:keepLines/>
        <w:pageBreakBefore w:val="0"/>
        <w:widowControl w:val="0"/>
        <w:numPr>
          <w:ilvl w:val="0"/>
          <w:numId w:val="0"/>
        </w:numPr>
        <w:kinsoku/>
        <w:wordWrap/>
        <w:overflowPunct/>
        <w:topLinePunct w:val="0"/>
        <w:autoSpaceDE/>
        <w:autoSpaceDN/>
        <w:bidi w:val="0"/>
        <w:adjustRightInd/>
        <w:snapToGrid/>
        <w:ind w:left="0" w:leftChars="0" w:firstLine="482" w:firstLineChars="200"/>
        <w:textAlignment w:val="auto"/>
        <w:rPr>
          <w:rFonts w:hint="eastAsia"/>
        </w:rPr>
      </w:pPr>
      <w:r>
        <w:rPr>
          <w:rFonts w:hint="default" w:ascii="Times New Roman" w:hAnsi="Times New Roman" w:eastAsia="宋体" w:cstheme="majorBidi"/>
          <w:b/>
          <w:color w:val="000000" w:themeColor="text1"/>
          <w:kern w:val="2"/>
          <w:sz w:val="24"/>
          <w:szCs w:val="32"/>
          <w:lang w:val="en-US" w:eastAsia="zh-CN" w:bidi="ar-SA"/>
          <w14:textFill>
            <w14:solidFill>
              <w14:schemeClr w14:val="tx1"/>
            </w14:solidFill>
          </w14:textFill>
        </w:rPr>
        <w:t>4．</w:t>
      </w:r>
      <w:r>
        <w:rPr>
          <w:rFonts w:hint="eastAsia"/>
        </w:rPr>
        <w:t>推动数字化平台的迭代与验证</w:t>
      </w:r>
    </w:p>
    <w:p w14:paraId="1ACBD16D">
      <w:pPr>
        <w:bidi w:val="0"/>
        <w:rPr>
          <w:rFonts w:hint="eastAsia"/>
        </w:rPr>
      </w:pPr>
      <w:r>
        <w:rPr>
          <w:rFonts w:hint="eastAsia"/>
        </w:rPr>
        <w:t>持续收集平台用户的使用数据和反馈信息，检验ERS模型在实际应用中的效度，优化风险识别链路和管理建议链路，推动平台从研究工具向行业基础设施演进，形成“研究—工具—应用—反馈—迭代”的完整闭环。</w:t>
      </w:r>
    </w:p>
    <w:p w14:paraId="6932B182">
      <w:pPr>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rPr>
      </w:pPr>
    </w:p>
    <w:sectPr>
      <w:pgSz w:w="11906" w:h="16838"/>
      <w:pgMar w:top="1304" w:right="1417" w:bottom="1304" w:left="1417"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re." w:date="2026-09-08T15:09:02Z" w:initials="">
    <w:p w14:paraId="566DA8DC">
      <w:pPr>
        <w:pStyle w:val="17"/>
        <w:numPr>
          <w:ilvl w:val="0"/>
          <w:numId w:val="9"/>
        </w:numPr>
        <w:ind w:left="0" w:leftChars="0" w:firstLine="0" w:firstLineChars="0"/>
        <w:rPr>
          <w:rFonts w:hint="eastAsia"/>
          <w:lang w:val="en-US" w:eastAsia="zh-CN"/>
        </w:rPr>
      </w:pPr>
      <w:r>
        <w:rPr>
          <w:rFonts w:hint="eastAsia"/>
          <w:lang w:val="en-US" w:eastAsia="zh-CN"/>
        </w:rPr>
        <w:t>在一页里面加摘要，目录到二级（已修改）</w:t>
      </w:r>
    </w:p>
    <w:p w14:paraId="326FB88C">
      <w:pPr>
        <w:pStyle w:val="17"/>
        <w:numPr>
          <w:ilvl w:val="0"/>
          <w:numId w:val="9"/>
        </w:numPr>
        <w:ind w:left="0" w:leftChars="0" w:firstLine="0" w:firstLineChars="0"/>
        <w:rPr>
          <w:rFonts w:hint="default"/>
          <w:lang w:val="en-US" w:eastAsia="zh-CN"/>
        </w:rPr>
      </w:pPr>
      <w:r>
        <w:rPr>
          <w:rFonts w:hint="eastAsia"/>
          <w:lang w:val="en-US" w:eastAsia="zh-CN"/>
        </w:rPr>
        <w:t>第七章，要有研究结论、不足和展望（已修改）</w:t>
      </w:r>
    </w:p>
    <w:p w14:paraId="336CCA3C">
      <w:pPr>
        <w:pStyle w:val="17"/>
        <w:numPr>
          <w:ilvl w:val="0"/>
          <w:numId w:val="9"/>
        </w:numPr>
        <w:ind w:left="0" w:leftChars="0" w:firstLine="0" w:firstLineChars="0"/>
        <w:rPr>
          <w:rFonts w:hint="default"/>
          <w:lang w:val="en-US" w:eastAsia="zh-CN"/>
        </w:rPr>
      </w:pPr>
      <w:r>
        <w:rPr>
          <w:rFonts w:hint="eastAsia"/>
          <w:lang w:val="en-US" w:eastAsia="zh-CN"/>
        </w:rPr>
        <w:t>第一章和第二章是否可以合并起来（暂时打算不合并）</w:t>
      </w:r>
    </w:p>
    <w:p w14:paraId="3DDE1F96">
      <w:pPr>
        <w:pStyle w:val="17"/>
        <w:numPr>
          <w:ilvl w:val="0"/>
          <w:numId w:val="9"/>
        </w:numPr>
        <w:ind w:left="0" w:leftChars="0" w:firstLine="0" w:firstLineChars="0"/>
        <w:rPr>
          <w:rFonts w:hint="default"/>
          <w:lang w:val="en-US" w:eastAsia="zh-CN"/>
        </w:rPr>
      </w:pPr>
      <w:r>
        <w:rPr>
          <w:rFonts w:hint="eastAsia"/>
          <w:lang w:val="en-US" w:eastAsia="zh-CN"/>
        </w:rPr>
        <w:t>研究成果的转化是否可以写平台+保险（暂时打算只呈现平台）</w:t>
      </w:r>
    </w:p>
    <w:p w14:paraId="413D03CD">
      <w:pPr>
        <w:pStyle w:val="17"/>
        <w:numPr>
          <w:ilvl w:val="0"/>
          <w:numId w:val="9"/>
        </w:numPr>
        <w:ind w:left="0" w:leftChars="0" w:firstLine="0" w:firstLineChars="0"/>
        <w:rPr>
          <w:rFonts w:hint="default"/>
          <w:lang w:val="en-US" w:eastAsia="zh-CN"/>
        </w:rPr>
      </w:pPr>
      <w:r>
        <w:rPr>
          <w:rFonts w:hint="eastAsia"/>
          <w:lang w:val="en-US" w:eastAsia="zh-CN"/>
        </w:rPr>
        <w:t>需要总结创新点和不足，写在第二章（王玺）</w:t>
      </w:r>
    </w:p>
    <w:p w14:paraId="6DB95F86">
      <w:pPr>
        <w:pStyle w:val="17"/>
        <w:numPr>
          <w:ilvl w:val="0"/>
          <w:numId w:val="9"/>
        </w:numPr>
        <w:ind w:left="0" w:leftChars="0" w:firstLine="0" w:firstLineChars="0"/>
        <w:rPr>
          <w:rFonts w:hint="default"/>
          <w:lang w:val="en-US" w:eastAsia="zh-CN"/>
        </w:rPr>
      </w:pPr>
      <w:r>
        <w:rPr>
          <w:rFonts w:hint="eastAsia"/>
          <w:lang w:val="en-US" w:eastAsia="zh-CN"/>
        </w:rPr>
        <w:t>把图目录和表目录加上（王玺）</w:t>
      </w:r>
    </w:p>
    <w:p w14:paraId="212D0583">
      <w:pPr>
        <w:pStyle w:val="17"/>
        <w:numPr>
          <w:ilvl w:val="0"/>
          <w:numId w:val="9"/>
        </w:numPr>
        <w:ind w:left="0" w:leftChars="0" w:firstLine="0" w:firstLineChars="0"/>
        <w:rPr>
          <w:rFonts w:hint="default"/>
          <w:lang w:val="en-US" w:eastAsia="zh-CN"/>
        </w:rPr>
      </w:pPr>
      <w:r>
        <w:rPr>
          <w:rFonts w:hint="eastAsia"/>
          <w:lang w:val="en-US" w:eastAsia="zh-CN"/>
        </w:rPr>
        <w:t>加页码，从正文开始（王玺）</w:t>
      </w:r>
    </w:p>
    <w:p w14:paraId="2A64F929">
      <w:pPr>
        <w:pStyle w:val="17"/>
        <w:numPr>
          <w:ilvl w:val="0"/>
          <w:numId w:val="9"/>
        </w:numPr>
        <w:ind w:left="0" w:leftChars="0" w:firstLine="0" w:firstLineChars="0"/>
        <w:rPr>
          <w:rFonts w:hint="default"/>
          <w:lang w:val="en-US" w:eastAsia="zh-CN"/>
        </w:rPr>
      </w:pPr>
      <w:r>
        <w:rPr>
          <w:rFonts w:hint="eastAsia"/>
          <w:lang w:val="en-US" w:eastAsia="zh-CN"/>
        </w:rPr>
        <w:t>第一章的标题改掉（已修改）</w:t>
      </w:r>
    </w:p>
    <w:p w14:paraId="5516915A">
      <w:pPr>
        <w:pStyle w:val="17"/>
        <w:numPr>
          <w:ilvl w:val="0"/>
          <w:numId w:val="9"/>
        </w:numPr>
        <w:ind w:left="0" w:leftChars="0" w:firstLine="0" w:firstLineChars="0"/>
        <w:rPr>
          <w:rFonts w:hint="default"/>
          <w:lang w:val="en-US" w:eastAsia="zh-CN"/>
        </w:rPr>
      </w:pPr>
      <w:r>
        <w:rPr>
          <w:rFonts w:hint="eastAsia"/>
          <w:lang w:val="en-US" w:eastAsia="zh-CN"/>
        </w:rPr>
        <w:t>前面有内容，后面有括号，这种AI明显的要改掉（王玺）</w:t>
      </w:r>
    </w:p>
    <w:p w14:paraId="53139FD9">
      <w:pPr>
        <w:pStyle w:val="17"/>
        <w:numPr>
          <w:ilvl w:val="0"/>
          <w:numId w:val="9"/>
        </w:numPr>
        <w:ind w:left="0" w:leftChars="0" w:firstLine="0" w:firstLineChars="0"/>
        <w:rPr>
          <w:rFonts w:hint="default"/>
          <w:lang w:val="en-US" w:eastAsia="zh-CN"/>
        </w:rPr>
      </w:pPr>
      <w:r>
        <w:rPr>
          <w:rFonts w:hint="eastAsia"/>
          <w:lang w:val="en-US" w:eastAsia="zh-CN"/>
        </w:rPr>
        <w:t>所有英文的缩写，在第一次出现的时候，要写全称（王玺）</w:t>
      </w:r>
    </w:p>
    <w:p w14:paraId="50F4C8EC">
      <w:pPr>
        <w:pStyle w:val="17"/>
        <w:numPr>
          <w:ilvl w:val="0"/>
          <w:numId w:val="9"/>
        </w:numPr>
        <w:ind w:left="0" w:leftChars="0" w:firstLine="0" w:firstLineChars="0"/>
        <w:rPr>
          <w:rFonts w:hint="default"/>
          <w:lang w:val="en-US" w:eastAsia="zh-CN"/>
        </w:rPr>
      </w:pPr>
      <w:r>
        <w:rPr>
          <w:rFonts w:hint="eastAsia"/>
          <w:lang w:val="en-US" w:eastAsia="zh-CN"/>
        </w:rPr>
        <w:t>公式要用公式编辑器，每一章要分别排号（王玺）</w:t>
      </w:r>
    </w:p>
    <w:p w14:paraId="799CCB4D">
      <w:pPr>
        <w:pStyle w:val="17"/>
        <w:numPr>
          <w:ilvl w:val="0"/>
          <w:numId w:val="9"/>
        </w:numPr>
        <w:ind w:left="0" w:leftChars="0" w:firstLine="0" w:firstLineChars="0"/>
        <w:rPr>
          <w:rFonts w:hint="default"/>
          <w:lang w:val="en-US" w:eastAsia="zh-CN"/>
        </w:rPr>
      </w:pPr>
      <w:r>
        <w:rPr>
          <w:rFonts w:hint="eastAsia"/>
          <w:lang w:val="en-US" w:eastAsia="zh-CN"/>
        </w:rPr>
        <w:t>脚注的字体、字号要统一（这部分都加到参考文献就可以，注意不要有重复，王玺）</w:t>
      </w:r>
    </w:p>
    <w:p w14:paraId="4A860294">
      <w:pPr>
        <w:pStyle w:val="17"/>
        <w:numPr>
          <w:ilvl w:val="0"/>
          <w:numId w:val="9"/>
        </w:numPr>
        <w:ind w:left="0" w:leftChars="0" w:firstLine="0" w:firstLineChars="0"/>
        <w:rPr>
          <w:rFonts w:hint="default"/>
          <w:lang w:val="en-US" w:eastAsia="zh-CN"/>
        </w:rPr>
      </w:pPr>
      <w:r>
        <w:rPr>
          <w:rFonts w:hint="eastAsia"/>
          <w:lang w:val="en-US" w:eastAsia="zh-CN"/>
        </w:rPr>
        <w:t>如果标脚注，要准确地标注（ok）</w:t>
      </w:r>
    </w:p>
    <w:p w14:paraId="2F3B7C07">
      <w:pPr>
        <w:pStyle w:val="17"/>
        <w:numPr>
          <w:ilvl w:val="0"/>
          <w:numId w:val="9"/>
        </w:numPr>
        <w:ind w:left="0" w:leftChars="0" w:firstLine="0" w:firstLineChars="0"/>
        <w:rPr>
          <w:rFonts w:hint="default"/>
          <w:lang w:val="en-US" w:eastAsia="zh-CN"/>
        </w:rPr>
      </w:pPr>
      <w:r>
        <w:rPr>
          <w:rFonts w:hint="eastAsia"/>
          <w:lang w:val="en-US" w:eastAsia="zh-CN"/>
        </w:rPr>
        <w:t>第六章，可以再改一下</w:t>
      </w:r>
    </w:p>
    <w:p w14:paraId="65BD6C61">
      <w:pPr>
        <w:pStyle w:val="17"/>
        <w:numPr>
          <w:ilvl w:val="0"/>
          <w:numId w:val="9"/>
        </w:numPr>
        <w:ind w:left="0" w:leftChars="0" w:firstLine="0" w:firstLineChars="0"/>
        <w:rPr>
          <w:rFonts w:hint="default"/>
          <w:lang w:val="en-US" w:eastAsia="zh-CN"/>
        </w:rPr>
      </w:pPr>
      <w:r>
        <w:rPr>
          <w:rFonts w:hint="eastAsia"/>
          <w:lang w:val="en-US" w:eastAsia="zh-CN"/>
        </w:rPr>
        <w:t>整个部分会不会有查重的需求？</w:t>
      </w:r>
    </w:p>
  </w:comment>
  <w:comment w:id="1" w:author="Dre." w:date="2026-09-08T15:11:41Z" w:initials="">
    <w:p w14:paraId="01AF216C">
      <w:pPr>
        <w:pStyle w:val="17"/>
        <w:numPr>
          <w:ilvl w:val="0"/>
          <w:numId w:val="10"/>
        </w:numPr>
        <w:rPr>
          <w:rFonts w:hint="eastAsia"/>
          <w:lang w:val="en-US" w:eastAsia="zh-CN"/>
        </w:rPr>
      </w:pPr>
      <w:r>
        <w:rPr>
          <w:rFonts w:hint="eastAsia"/>
          <w:lang w:val="en-US" w:eastAsia="zh-CN"/>
        </w:rPr>
        <w:t>研究主线拉长到下面的内容</w:t>
      </w:r>
    </w:p>
    <w:p w14:paraId="6F918672">
      <w:pPr>
        <w:pStyle w:val="17"/>
        <w:numPr>
          <w:ilvl w:val="0"/>
          <w:numId w:val="10"/>
        </w:numPr>
        <w:rPr>
          <w:rFonts w:hint="default"/>
          <w:lang w:val="en-US" w:eastAsia="zh-CN"/>
        </w:rPr>
      </w:pPr>
      <w:r>
        <w:rPr>
          <w:rFonts w:hint="eastAsia"/>
          <w:lang w:val="en-US" w:eastAsia="zh-CN"/>
        </w:rPr>
        <w:t>研究主线都改一下（改成</w:t>
      </w:r>
      <w:r>
        <w:rPr>
          <w:rFonts w:hint="default"/>
        </w:rPr>
        <w:t>风险识别—风险评估—风险管理—数字化转化</w:t>
      </w:r>
      <w:r>
        <w:rPr>
          <w:rFonts w:hint="eastAsia"/>
          <w:lang w:eastAsia="zh-CN"/>
        </w:rPr>
        <w:t>）</w:t>
      </w:r>
    </w:p>
    <w:p w14:paraId="0D966E70">
      <w:pPr>
        <w:pStyle w:val="17"/>
        <w:numPr>
          <w:ilvl w:val="0"/>
          <w:numId w:val="10"/>
        </w:numPr>
        <w:rPr>
          <w:rFonts w:hint="default"/>
          <w:lang w:val="en-US" w:eastAsia="zh-CN"/>
        </w:rPr>
      </w:pPr>
      <w:r>
        <w:rPr>
          <w:rFonts w:hint="eastAsia"/>
          <w:lang w:val="en-US" w:eastAsia="zh-CN"/>
        </w:rPr>
        <w:t>把下面的四个模块删掉（意思是模块一、模块二、、、、、这些字删掉）</w:t>
      </w:r>
    </w:p>
    <w:p w14:paraId="619D8628">
      <w:pPr>
        <w:pStyle w:val="17"/>
        <w:numPr>
          <w:ilvl w:val="0"/>
          <w:numId w:val="10"/>
        </w:numPr>
        <w:rPr>
          <w:rFonts w:hint="default"/>
          <w:lang w:val="en-US" w:eastAsia="zh-CN"/>
        </w:rPr>
      </w:pPr>
      <w:r>
        <w:rPr>
          <w:rFonts w:hint="eastAsia"/>
          <w:lang w:val="en-US" w:eastAsia="zh-CN"/>
        </w:rPr>
        <w:t>在模块1的最左面写上提出问题- - -最后的展望</w:t>
      </w:r>
    </w:p>
    <w:p w14:paraId="4235A04E">
      <w:pPr>
        <w:pStyle w:val="17"/>
        <w:numPr>
          <w:ilvl w:val="0"/>
          <w:numId w:val="10"/>
        </w:numPr>
        <w:rPr>
          <w:rFonts w:hint="default"/>
          <w:lang w:val="en-US" w:eastAsia="zh-CN"/>
        </w:rPr>
      </w:pPr>
      <w:r>
        <w:rPr>
          <w:rFonts w:hint="eastAsia"/>
          <w:lang w:val="en-US" w:eastAsia="zh-CN"/>
        </w:rPr>
        <w:t>把几个标题和图片里面的字写成一样的</w:t>
      </w:r>
    </w:p>
  </w:comment>
  <w:comment w:id="2" w:author="Dre." w:date="2026-09-08T22:19:08Z" w:initials="">
    <w:p w14:paraId="4B4EF860">
      <w:pPr>
        <w:pStyle w:val="17"/>
        <w:rPr>
          <w:rFonts w:hint="default" w:eastAsia="宋体"/>
          <w:lang w:val="en-US" w:eastAsia="zh-CN"/>
        </w:rPr>
      </w:pPr>
      <w:r>
        <w:rPr>
          <w:rFonts w:hint="eastAsia"/>
          <w:lang w:val="en-US" w:eastAsia="zh-CN"/>
        </w:rPr>
        <w:t>这个可以画个图。</w:t>
      </w:r>
    </w:p>
  </w:comment>
  <w:comment w:id="3" w:author="Dre." w:date="2026-09-08T15:36:45Z" w:initials="">
    <w:p w14:paraId="39265C54">
      <w:pPr>
        <w:pStyle w:val="17"/>
        <w:rPr>
          <w:rFonts w:hint="default" w:eastAsia="宋体"/>
          <w:lang w:val="en-US" w:eastAsia="zh-CN"/>
        </w:rPr>
      </w:pPr>
      <w:r>
        <w:rPr>
          <w:rFonts w:hint="eastAsia"/>
          <w:lang w:val="en-US" w:eastAsia="zh-CN"/>
        </w:rPr>
        <w:t>整个平台的内容可以分开截图，一步一步说。把平台的题目修改一下。加在（二）里（秦红）</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5BD6C61" w15:done="0"/>
  <w15:commentEx w15:paraId="4235A04E" w15:done="0"/>
  <w15:commentEx w15:paraId="4B4EF860" w15:done="0"/>
  <w15:commentEx w15:paraId="39265C5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urier">
    <w:altName w:val="Courier New"/>
    <w:panose1 w:val="02070309020205020404"/>
    <w:charset w:val="00"/>
    <w:family w:val="modern"/>
    <w:pitch w:val="default"/>
    <w:sig w:usb0="00000000" w:usb1="00000000" w:usb2="00000009" w:usb3="00000000" w:csb0="000001FF" w:csb1="00000000"/>
  </w:font>
  <w:font w:name="等线">
    <w:panose1 w:val="02010600030101010101"/>
    <w:charset w:val="86"/>
    <w:family w:val="auto"/>
    <w:pitch w:val="default"/>
    <w:sig w:usb0="A00002BF" w:usb1="38CF7CFA" w:usb2="00000016" w:usb3="00000000" w:csb0="0004000F" w:csb1="00000000"/>
  </w:font>
  <w:font w:name="Liberation Sans">
    <w:altName w:val="Arial"/>
    <w:panose1 w:val="020B0604020202020204"/>
    <w:charset w:val="01"/>
    <w:family w:val="swiss"/>
    <w:pitch w:val="default"/>
    <w:sig w:usb0="00000000" w:usb1="00000000" w:usb2="00000000" w:usb3="00000000" w:csb0="00000000" w:csb1="00000000"/>
  </w:font>
  <w:font w:name="Linux Libertine G">
    <w:altName w:val="Segoe Print"/>
    <w:panose1 w:val="020B0604020202020204"/>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 Sans">
    <w:altName w:val="Noto Sans SC"/>
    <w:panose1 w:val="020B0502040504020204"/>
    <w:charset w:val="00"/>
    <w:family w:val="swiss"/>
    <w:pitch w:val="default"/>
    <w:sig w:usb0="00000000" w:usb1="00000000" w:usb2="00000021" w:usb3="00000000" w:csb0="0000019F" w:csb1="00000000"/>
  </w:font>
  <w:font w:name="Noto Sans SC">
    <w:panose1 w:val="020B0200000000000000"/>
    <w:charset w:val="86"/>
    <w:family w:val="auto"/>
    <w:pitch w:val="default"/>
    <w:sig w:usb0="20000083" w:usb1="2ADF3C10" w:usb2="00000016" w:usb3="00000000" w:csb0="60060107"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Heiti SC">
    <w:altName w:val="Verdana"/>
    <w:panose1 w:val="02000000000000000000"/>
    <w:charset w:val="00"/>
    <w:family w:val="roman"/>
    <w:pitch w:val="default"/>
    <w:sig w:usb0="00000000" w:usb1="00000000" w:usb2="00000000" w:usb3="00000000" w:csb0="00000000" w:csb1="00000000"/>
  </w:font>
  <w:font w:name="Wide Latin">
    <w:altName w:val="Segoe Print"/>
    <w:panose1 w:val="020A0A07050505020404"/>
    <w:charset w:val="00"/>
    <w:family w:val="auto"/>
    <w:pitch w:val="default"/>
    <w:sig w:usb0="00000000" w:usb1="00000000" w:usb2="00000000" w:usb3="00000000" w:csb0="20000001" w:csb1="00000000"/>
  </w:font>
  <w:font w:name="Songti SC">
    <w:altName w:val="宋体"/>
    <w:panose1 w:val="02010600040101010101"/>
    <w:charset w:val="86"/>
    <w:family w:val="auto"/>
    <w:pitch w:val="default"/>
    <w:sig w:usb0="00000000" w:usb1="00000000" w:usb2="00000010" w:usb3="00000000" w:csb0="0004009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0">
    <w:p>
      <w:pPr>
        <w:spacing w:line="360" w:lineRule="auto"/>
        <w:ind w:firstLine="480"/>
      </w:pPr>
      <w:r>
        <w:separator/>
      </w:r>
    </w:p>
  </w:footnote>
  <w:footnote w:type="continuationSeparator" w:id="81">
    <w:p>
      <w:pPr>
        <w:spacing w:line="360" w:lineRule="auto"/>
        <w:ind w:firstLine="480"/>
      </w:pPr>
      <w:r>
        <w:continuationSeparator/>
      </w:r>
    </w:p>
  </w:footnote>
  <w:footnote w:id="0">
    <w:p w14:paraId="05816CB5">
      <w:pPr>
        <w:pStyle w:val="35"/>
        <w:snapToGrid w:val="0"/>
        <w:rPr>
          <w:rFonts w:hint="eastAsia" w:eastAsia="宋体"/>
          <w:lang w:val="en-US" w:eastAsia="zh-CN"/>
        </w:rPr>
      </w:pPr>
      <w:r>
        <w:rPr>
          <w:rStyle w:val="150"/>
        </w:rPr>
        <w:footnoteRef/>
      </w:r>
      <w:r>
        <w:t xml:space="preserve"> </w:t>
      </w:r>
      <w:r>
        <w:rPr>
          <w:rFonts w:hint="eastAsia"/>
        </w:rPr>
        <w:t>科技部, 中国人民银行, 国家金融监督管理总局, 中国证券监督管理委员会, 国家发展和改革委员会, 财政部, 国务院国有资产监督管理委员会. 加快构建科技金融体制 有力支撑高水平科技自立自强的若干政策举措[EB/OL]. (2025-05-13)[2026-09-05]. https://www.most.gov.cn/xxgk/xinxifenlei/fdzdgknr/fgzc/gfxwj/gfxwj2025/202505/t20250513_196348.html</w:t>
      </w:r>
      <w:r>
        <w:rPr>
          <w:rFonts w:hint="eastAsia"/>
          <w:lang w:val="en-US" w:eastAsia="zh-CN"/>
        </w:rPr>
        <w:t>.</w:t>
      </w:r>
    </w:p>
  </w:footnote>
  <w:footnote w:id="1">
    <w:p w14:paraId="115083B9">
      <w:pPr>
        <w:pStyle w:val="35"/>
        <w:snapToGrid w:val="0"/>
      </w:pPr>
      <w:r>
        <w:rPr>
          <w:rStyle w:val="150"/>
        </w:rPr>
        <w:footnoteRef/>
      </w:r>
      <w:r>
        <w:t xml:space="preserve"> </w:t>
      </w:r>
      <w:r>
        <w:rPr>
          <w:rFonts w:hint="eastAsia"/>
        </w:rPr>
        <w:t>工业和信息化部. 优质中小企业梯度培育管理办法[EB/OL]. (2026-01-16)[2026-09-05]. https://www.miit.gov.cn/zwgk/zcwj/wjfb/tz/art/2026/art_5546b1a622ea4d73bd2ca395b73bd4eb.html</w:t>
      </w:r>
    </w:p>
  </w:footnote>
  <w:footnote w:id="2">
    <w:p w14:paraId="75FD4623">
      <w:pPr>
        <w:pStyle w:val="35"/>
        <w:snapToGrid w:val="0"/>
      </w:pPr>
      <w:r>
        <w:rPr>
          <w:rStyle w:val="150"/>
        </w:rPr>
        <w:footnoteRef/>
      </w:r>
      <w:r>
        <w:t xml:space="preserve"> </w:t>
      </w:r>
      <w:r>
        <w:rPr>
          <w:rFonts w:hint="eastAsia"/>
        </w:rPr>
        <w:t>中国证券监督管理委员会. 关于在科创板设置科创成长层 增强制度包容性适应性的意见[EB/OL]. (2025-06-18)[2026-09-05]. https://www.csrc.gov.cn/csrc/c100028/c7565137/content.shtml</w:t>
      </w:r>
    </w:p>
  </w:footnote>
  <w:footnote w:id="3">
    <w:p w14:paraId="2F2823BC">
      <w:pPr>
        <w:pStyle w:val="35"/>
        <w:snapToGrid w:val="0"/>
      </w:pPr>
      <w:r>
        <w:rPr>
          <w:rStyle w:val="150"/>
        </w:rPr>
        <w:footnoteRef/>
      </w:r>
      <w:r>
        <w:t xml:space="preserve"> </w:t>
      </w:r>
      <w:r>
        <w:rPr>
          <w:rFonts w:hint="eastAsia"/>
        </w:rPr>
        <w:t>European Parliament, Council of the European Union. Regulation (EU) 2024/1689 laying down harmonised rules on artificial intelligence (Artificial Intelligence Act)[EB/OL]. (2024-07-12)[2026-09-05].https://eur-lex.europa.eu/legal-content/EN/TXT/?uri=CELEX:32024R1689.</w:t>
      </w:r>
    </w:p>
  </w:footnote>
  <w:footnote w:id="4">
    <w:p w14:paraId="79A405AA">
      <w:pPr>
        <w:pStyle w:val="35"/>
        <w:snapToGrid w:val="0"/>
      </w:pPr>
      <w:r>
        <w:rPr>
          <w:rStyle w:val="150"/>
        </w:rPr>
        <w:footnoteRef/>
      </w:r>
      <w:r>
        <w:t xml:space="preserve"> </w:t>
      </w:r>
      <w:r>
        <w:rPr>
          <w:rFonts w:hint="eastAsia"/>
        </w:rPr>
        <w:t>https://www.courthousenews.com/waymo-sued-over-discriminatory-ai-identity-verification/#1</w:t>
      </w:r>
    </w:p>
  </w:footnote>
  <w:footnote w:id="5">
    <w:p w14:paraId="3C8CB502">
      <w:pPr>
        <w:pStyle w:val="35"/>
        <w:snapToGrid w:val="0"/>
      </w:pPr>
      <w:r>
        <w:rPr>
          <w:rStyle w:val="150"/>
        </w:rPr>
        <w:footnoteRef/>
      </w:r>
      <w:r>
        <w:t xml:space="preserve"> </w:t>
      </w:r>
      <w:r>
        <w:rPr>
          <w:rFonts w:hint="eastAsia"/>
        </w:rPr>
        <w:t>https://m.163.com/dy/article/KJ51IVL50512D3VJ.html?spss=adap_pc#1#1</w:t>
      </w:r>
    </w:p>
  </w:footnote>
  <w:footnote w:id="6">
    <w:p w14:paraId="1FC33208">
      <w:pPr>
        <w:pStyle w:val="35"/>
        <w:snapToGrid w:val="0"/>
      </w:pPr>
      <w:r>
        <w:rPr>
          <w:rStyle w:val="150"/>
        </w:rPr>
        <w:footnoteRef/>
      </w:r>
      <w:r>
        <w:rPr>
          <w:rFonts w:hint="eastAsia"/>
          <w:lang w:val="en-US" w:eastAsia="zh-CN"/>
        </w:rPr>
        <w:t xml:space="preserve"> </w:t>
      </w:r>
      <w:r>
        <w:rPr>
          <w:rFonts w:hint="eastAsia"/>
        </w:rPr>
        <w:t>https://www.sohu.com/a/950711974_123753?scm=10001.325_13-325_13.0.0.5_32&amp;spm=smpc.channel_248.block3_308_NDdFbm_1_fd.19.176222731817044CXjJ8_324#1</w:t>
      </w:r>
    </w:p>
  </w:footnote>
  <w:footnote w:id="7">
    <w:p w14:paraId="7275D37C">
      <w:pPr>
        <w:pStyle w:val="35"/>
        <w:snapToGrid w:val="0"/>
      </w:pPr>
      <w:r>
        <w:rPr>
          <w:rStyle w:val="150"/>
        </w:rPr>
        <w:footnoteRef/>
      </w:r>
      <w:r>
        <w:t xml:space="preserve"> </w:t>
      </w:r>
      <w:r>
        <w:rPr>
          <w:rFonts w:hint="eastAsia"/>
        </w:rPr>
        <w:t>https://finance.sina.cn/2025-11-12/detail-infxcura4852702.d.html</w:t>
      </w:r>
    </w:p>
  </w:footnote>
  <w:footnote w:id="8">
    <w:p w14:paraId="1FE38BEC">
      <w:pPr>
        <w:pStyle w:val="35"/>
        <w:snapToGrid w:val="0"/>
        <w:rPr>
          <w:rFonts w:hint="eastAsia"/>
        </w:rPr>
      </w:pPr>
      <w:r>
        <w:rPr>
          <w:rStyle w:val="150"/>
        </w:rPr>
        <w:footnoteRef/>
      </w:r>
      <w:r>
        <w:t xml:space="preserve"> </w:t>
      </w:r>
      <w:r>
        <w:rPr>
          <w:rFonts w:hint="eastAsia"/>
        </w:rPr>
        <w:t>Organisation for Economic Co-operation and Development (OECD). Recommendation of the Council on Artificial Intelligence (OECD AI Principles)[EB/OL]. (2019-05-22)[2026-09-05].</w:t>
      </w:r>
      <w:r>
        <w:rPr>
          <w:rFonts w:hint="eastAsia"/>
        </w:rPr>
        <w:br w:type="textWrapping"/>
      </w:r>
      <w:r>
        <w:rPr>
          <w:rFonts w:hint="eastAsia"/>
        </w:rPr>
        <w:fldChar w:fldCharType="begin"/>
      </w:r>
      <w:r>
        <w:rPr>
          <w:rFonts w:hint="eastAsia"/>
        </w:rPr>
        <w:instrText xml:space="preserve"> HYPERLINK "https://legalinstruments.oecd.org/en/instruments/OECD-LEGAL-0449?utm_source=chatgpt.com" \t "_new" </w:instrText>
      </w:r>
      <w:r>
        <w:rPr>
          <w:rFonts w:hint="eastAsia"/>
        </w:rPr>
        <w:fldChar w:fldCharType="separate"/>
      </w:r>
      <w:r>
        <w:rPr>
          <w:rFonts w:hint="eastAsia"/>
        </w:rPr>
        <w:t>https://legalinstruments.oecd.org/en/instruments/OECD-LEGAL-0449</w:t>
      </w:r>
      <w:r>
        <w:rPr>
          <w:rFonts w:hint="eastAsia"/>
        </w:rPr>
        <w:fldChar w:fldCharType="end"/>
      </w:r>
      <w:r>
        <w:rPr>
          <w:rFonts w:hint="eastAsia"/>
        </w:rPr>
        <w:t>.</w:t>
      </w:r>
    </w:p>
  </w:footnote>
  <w:footnote w:id="9">
    <w:p w14:paraId="4AE20AD0">
      <w:pPr>
        <w:pStyle w:val="35"/>
        <w:rPr>
          <w:rFonts w:hint="eastAsia"/>
        </w:rPr>
      </w:pPr>
      <w:r>
        <w:rPr>
          <w:rStyle w:val="150"/>
        </w:rPr>
        <w:footnoteRef/>
      </w:r>
      <w:r>
        <w:t xml:space="preserve"> </w:t>
      </w:r>
      <w:r>
        <w:rPr>
          <w:rFonts w:hint="eastAsia"/>
        </w:rPr>
        <w:t>United Nations Educational, Scientific and Cultural Organization (UNESCO). Recommendation on the Ethics of Artificial Intelligence[EB/OL]. (2021-11-23)[2026-09-05].</w:t>
      </w:r>
    </w:p>
    <w:p w14:paraId="287987B5">
      <w:pPr>
        <w:pStyle w:val="35"/>
      </w:pPr>
      <w:r>
        <w:rPr>
          <w:rFonts w:hint="eastAsia"/>
        </w:rPr>
        <w:t>https://unesdoc.unesco.org/ark:/48223/pf0000381137</w:t>
      </w:r>
    </w:p>
  </w:footnote>
  <w:footnote w:id="10">
    <w:p w14:paraId="5F3F524F">
      <w:pPr>
        <w:pStyle w:val="35"/>
        <w:rPr>
          <w:rFonts w:hint="eastAsia" w:ascii="Times New Roman" w:hAnsi="Times New Roman" w:eastAsia="宋体" w:cs="Times New Roman"/>
          <w:szCs w:val="18"/>
        </w:rPr>
      </w:pPr>
      <w:r>
        <w:rPr>
          <w:rStyle w:val="150"/>
        </w:rPr>
        <w:footnoteRef/>
      </w:r>
      <w:r>
        <w:t xml:space="preserve"> </w:t>
      </w:r>
      <w:r>
        <w:rPr>
          <w:rFonts w:hint="eastAsia" w:ascii="Times New Roman" w:hAnsi="Times New Roman" w:eastAsia="宋体" w:cs="Times New Roman"/>
          <w:szCs w:val="18"/>
        </w:rPr>
        <w:t>National Institute of Standards and Technology (NIST). AI Risk Management Framework (AI RMF 1.0)[EB/OL]. (2023-01)[2026-09-05]. https://nvlpubs.nist.gov/nistpubs/ai/NIST.AI.100-1.pdf.</w:t>
      </w:r>
    </w:p>
  </w:footnote>
  <w:footnote w:id="11">
    <w:p w14:paraId="125FAC5A">
      <w:pPr>
        <w:pStyle w:val="35"/>
      </w:pPr>
      <w:r>
        <w:rPr>
          <w:rStyle w:val="150"/>
        </w:rPr>
        <w:footnoteRef/>
      </w:r>
      <w:r>
        <w:t xml:space="preserve"> </w:t>
      </w:r>
      <w:r>
        <w:rPr>
          <w:rFonts w:hint="eastAsia" w:ascii="Times New Roman" w:hAnsi="Times New Roman" w:eastAsia="宋体" w:cs="Times New Roman"/>
          <w:szCs w:val="18"/>
        </w:rPr>
        <w:t>国务院关于印发新一代</w:t>
      </w:r>
      <w:r>
        <w:rPr>
          <w:rFonts w:hint="eastAsia" w:cs="Times New Roman"/>
          <w:szCs w:val="18"/>
          <w:lang w:val="en-US" w:eastAsia="zh-CN"/>
        </w:rPr>
        <w:t>人工智能</w:t>
      </w:r>
      <w:r>
        <w:rPr>
          <w:rFonts w:hint="eastAsia" w:ascii="Times New Roman" w:hAnsi="Times New Roman" w:eastAsia="宋体" w:cs="Times New Roman"/>
          <w:szCs w:val="18"/>
        </w:rPr>
        <w:t>发展规划的通知 https://app.www.gov.cn/govdata/gov/201707/20/408540/article.html</w:t>
      </w:r>
    </w:p>
  </w:footnote>
  <w:footnote w:id="12">
    <w:p w14:paraId="619B01FE">
      <w:pPr>
        <w:pStyle w:val="35"/>
        <w:snapToGrid w:val="0"/>
        <w:rPr>
          <w:rStyle w:val="148"/>
          <w:rFonts w:hint="eastAsia" w:ascii="Times New Roman" w:hAnsi="Times New Roman" w:eastAsia="宋体" w:cs="Times New Roman"/>
          <w:szCs w:val="18"/>
        </w:rPr>
      </w:pPr>
      <w:r>
        <w:rPr>
          <w:rStyle w:val="150"/>
        </w:rPr>
        <w:footnoteRef/>
      </w:r>
      <w:r>
        <w:t xml:space="preserve"> </w:t>
      </w:r>
      <w:r>
        <w:rPr>
          <w:rFonts w:hint="eastAsia" w:ascii="Times New Roman" w:hAnsi="Times New Roman" w:eastAsia="宋体" w:cs="Times New Roman"/>
          <w:szCs w:val="18"/>
        </w:rPr>
        <w:t>国家互联网信息办公室, 中华人民共和国工业和信息化部, 中华人民共和国公安部, 国家市场监督管理总局. 互联网信息服务算法推荐管理规定[EB/OL]. (2021-12-31)[2026-09-05]. https://www.cac.gov.cn/2022-01/04/c_1642894606364259.htm.</w:t>
      </w:r>
    </w:p>
  </w:footnote>
  <w:footnote w:id="13">
    <w:p w14:paraId="22F884AB">
      <w:pPr>
        <w:pStyle w:val="35"/>
      </w:pPr>
      <w:r>
        <w:rPr>
          <w:rStyle w:val="150"/>
        </w:rPr>
        <w:footnoteRef/>
      </w:r>
      <w:r>
        <w:t xml:space="preserve"> </w:t>
      </w:r>
      <w:r>
        <w:rPr>
          <w:rFonts w:hint="eastAsia" w:ascii="Times New Roman" w:hAnsi="Times New Roman" w:eastAsia="宋体" w:cs="Times New Roman"/>
          <w:szCs w:val="18"/>
        </w:rPr>
        <w:t>国家互联网信息办公室, 中华人民共和国国家发展和改革委员会, 中华人民共和国教育部, 中华人民共和国科学技术部, 中华人民共和国工业和信息化部, 中华人民共和国公安部, 国家广播电视总局. 生成式人工智能服务管理暂行办法[EB/OL]. (2023-07-10)[2026-09-05]. https://www.cac.gov.cn/2023-07/13/c_1690898327029107.htm.</w:t>
      </w:r>
    </w:p>
  </w:footnote>
  <w:footnote w:id="14">
    <w:p w14:paraId="0FE10D0C">
      <w:pPr>
        <w:pStyle w:val="35"/>
        <w:snapToGrid w:val="0"/>
        <w:rPr>
          <w:rFonts w:hint="eastAsia"/>
        </w:rPr>
      </w:pPr>
      <w:r>
        <w:rPr>
          <w:rStyle w:val="150"/>
        </w:rPr>
        <w:footnoteRef/>
      </w:r>
      <w:r>
        <w:t xml:space="preserve"> </w:t>
      </w:r>
      <w:r>
        <w:rPr>
          <w:rFonts w:hint="eastAsia"/>
        </w:rPr>
        <w:t>全国网络安全标准化技术委员会. 人工智能安全治理框架1.0版[EB/OL]. (2024-09-09)[2026-09-05].</w:t>
      </w:r>
    </w:p>
    <w:p w14:paraId="2816B5D0">
      <w:pPr>
        <w:pStyle w:val="35"/>
        <w:snapToGrid w:val="0"/>
        <w:rPr>
          <w:rFonts w:hint="eastAsia"/>
        </w:rPr>
      </w:pPr>
      <w:r>
        <w:rPr>
          <w:rFonts w:hint="eastAsia"/>
        </w:rPr>
        <w:fldChar w:fldCharType="begin"/>
      </w:r>
      <w:r>
        <w:rPr>
          <w:rFonts w:hint="eastAsia"/>
        </w:rPr>
        <w:instrText xml:space="preserve"> HYPERLINK "https://www.cac.gov.cn/rootimages/uploadimg/1727568303900999/1727568303900999.pdf" </w:instrText>
      </w:r>
      <w:r>
        <w:rPr>
          <w:rFonts w:hint="eastAsia"/>
        </w:rPr>
        <w:fldChar w:fldCharType="separate"/>
      </w:r>
      <w:r>
        <w:rPr>
          <w:rStyle w:val="148"/>
          <w:rFonts w:hint="eastAsia"/>
        </w:rPr>
        <w:t>https://www.cac.gov.cn/rootimages/uploadimg/1727568303900999/1727568303900999.pdf</w:t>
      </w:r>
      <w:r>
        <w:rPr>
          <w:rFonts w:hint="eastAsia"/>
        </w:rPr>
        <w:fldChar w:fldCharType="end"/>
      </w:r>
    </w:p>
    <w:p w14:paraId="624AC61C">
      <w:pPr>
        <w:pStyle w:val="35"/>
        <w:snapToGrid w:val="0"/>
        <w:rPr>
          <w:rFonts w:hint="eastAsia"/>
        </w:rPr>
      </w:pPr>
      <w:r>
        <w:rPr>
          <w:rFonts w:hint="eastAsia"/>
        </w:rPr>
        <w:t>全国网络安全标准化技术委员会. 人工智能安全治理框架2.0版[EB/OL]. (2025-09-15)[2026-09-05].</w:t>
      </w:r>
    </w:p>
    <w:p w14:paraId="048D1734">
      <w:pPr>
        <w:pStyle w:val="35"/>
        <w:snapToGrid w:val="0"/>
        <w:rPr>
          <w:rFonts w:hint="eastAsia"/>
        </w:rPr>
      </w:pPr>
      <w:r>
        <w:rPr>
          <w:rFonts w:hint="eastAsia"/>
        </w:rPr>
        <w:t>https://www.cac.gov.cn/rootimages/uploadimg/1759653474200838/1759653474200838.pdf</w:t>
      </w:r>
    </w:p>
  </w:footnote>
  <w:footnote w:id="15">
    <w:p w14:paraId="35C9A074">
      <w:pPr>
        <w:pStyle w:val="35"/>
        <w:snapToGrid w:val="0"/>
        <w:rPr>
          <w:rFonts w:hint="eastAsia"/>
        </w:rPr>
      </w:pPr>
      <w:r>
        <w:rPr>
          <w:rStyle w:val="150"/>
        </w:rPr>
        <w:footnoteRef/>
      </w:r>
      <w:r>
        <w:t xml:space="preserve"> </w:t>
      </w:r>
      <w:r>
        <w:rPr>
          <w:rFonts w:hint="eastAsia"/>
        </w:rPr>
        <w:t>国务院. 关于深入实施“人工智能+”行动的意见（国发〔2025〕11号）[EB/OL]. (2025-08-26)[2026-09-05].</w:t>
      </w:r>
    </w:p>
    <w:p w14:paraId="6EA097CF">
      <w:pPr>
        <w:pStyle w:val="35"/>
        <w:snapToGrid w:val="0"/>
      </w:pPr>
      <w:r>
        <w:rPr>
          <w:rFonts w:hint="eastAsia"/>
        </w:rPr>
        <w:t>https://www.gov.cn/zhengce/content/202508/content_7037861</w:t>
      </w:r>
    </w:p>
  </w:footnote>
  <w:footnote w:id="16">
    <w:p w14:paraId="74CB9C9C">
      <w:pPr>
        <w:pStyle w:val="35"/>
        <w:snapToGrid w:val="0"/>
        <w:rPr>
          <w:rFonts w:hint="eastAsia"/>
        </w:rPr>
      </w:pPr>
      <w:r>
        <w:rPr>
          <w:rStyle w:val="150"/>
        </w:rPr>
        <w:footnoteRef/>
      </w:r>
      <w:r>
        <w:t xml:space="preserve"> </w:t>
      </w:r>
      <w:r>
        <w:rPr>
          <w:rFonts w:hint="eastAsia"/>
        </w:rPr>
        <w:t>工业和信息化部, 国家发展和改革委员会, 教育部, 科技部, 农业农村部, 国家卫生健康委员会, 中国人民银行, 国家互联网信息办公室, 中国科学院, 中国科学技术协会. 人工智能科技伦理审查与服务办法（试行）（工信部联科〔2026〕75号）[EB/OL]. (2026-0</w:t>
      </w:r>
      <w:r>
        <w:rPr>
          <w:rFonts w:hint="eastAsia"/>
          <w:lang w:val="en-US" w:eastAsia="zh-CN"/>
        </w:rPr>
        <w:t>3</w:t>
      </w:r>
      <w:r>
        <w:rPr>
          <w:rFonts w:hint="eastAsia"/>
        </w:rPr>
        <w:t>-</w:t>
      </w:r>
      <w:r>
        <w:rPr>
          <w:rFonts w:hint="eastAsia"/>
          <w:lang w:val="en-US" w:eastAsia="zh-CN"/>
        </w:rPr>
        <w:t>20</w:t>
      </w:r>
      <w:r>
        <w:rPr>
          <w:rFonts w:hint="eastAsia"/>
        </w:rPr>
        <w:t>)[2026-09-05].</w:t>
      </w:r>
    </w:p>
    <w:p w14:paraId="3626195D">
      <w:pPr>
        <w:pStyle w:val="35"/>
        <w:snapToGrid w:val="0"/>
      </w:pPr>
      <w:r>
        <w:rPr>
          <w:rFonts w:hint="eastAsia"/>
        </w:rPr>
        <w:t>https://www.miit.gov.cn/cms_files/filemanager/1226211233/attach/20263/a532ba50febb46c9b5424d436e63de81.pdf.</w:t>
      </w:r>
    </w:p>
  </w:footnote>
  <w:footnote w:id="17">
    <w:p w14:paraId="721D5150">
      <w:pPr>
        <w:pStyle w:val="35"/>
        <w:snapToGrid w:val="0"/>
        <w:rPr>
          <w:rFonts w:hint="eastAsia"/>
        </w:rPr>
      </w:pPr>
      <w:r>
        <w:rPr>
          <w:rStyle w:val="150"/>
        </w:rPr>
        <w:footnoteRef/>
      </w:r>
      <w:r>
        <w:t xml:space="preserve"> </w:t>
      </w:r>
      <w:r>
        <w:rPr>
          <w:rFonts w:hint="eastAsia"/>
        </w:rPr>
        <w:t>全国网络安全标准化技术委员会. 人工智能应用伦理安全指引1.0（TC260-005）[EB/OL]. (2026-05-19)[2026-09-05].</w:t>
      </w:r>
    </w:p>
    <w:p w14:paraId="75B9C7B7">
      <w:pPr>
        <w:pStyle w:val="35"/>
        <w:snapToGrid w:val="0"/>
      </w:pPr>
      <w:r>
        <w:rPr>
          <w:rFonts w:hint="eastAsia"/>
        </w:rPr>
        <w:t>https://www.cac.gov.cn/rootimages/uploadimg/1781191242772713/1781191242772713.pdf.</w:t>
      </w:r>
    </w:p>
  </w:footnote>
  <w:footnote w:id="18">
    <w:p w14:paraId="779B3F0E">
      <w:pPr>
        <w:pStyle w:val="35"/>
        <w:snapToGrid w:val="0"/>
      </w:pPr>
      <w:r>
        <w:rPr>
          <w:rStyle w:val="150"/>
        </w:rPr>
        <w:footnoteRef/>
      </w:r>
      <w:r>
        <w:t xml:space="preserve"> </w:t>
      </w:r>
      <w:r>
        <w:rPr>
          <w:rFonts w:ascii="Segoe UI" w:hAnsi="Segoe UI" w:eastAsia="Segoe UI" w:cs="Segoe UI"/>
          <w:i w:val="0"/>
          <w:iCs w:val="0"/>
          <w:caps w:val="0"/>
          <w:color w:val="0F1115"/>
          <w:spacing w:val="0"/>
          <w:sz w:val="12"/>
          <w:szCs w:val="12"/>
          <w:shd w:val="clear" w:fill="FFFFFF"/>
        </w:rPr>
        <w:t>Dyoub, A., Letteri, I., &amp; Lisi, F. A. (2025). ff4ERA: A new Fuzzy Framework for Ethical Risk Assessment in AI.</w:t>
      </w:r>
      <w:r>
        <w:rPr>
          <w:rFonts w:hint="default" w:ascii="Segoe UI" w:hAnsi="Segoe UI" w:eastAsia="Segoe UI" w:cs="Segoe UI"/>
          <w:i w:val="0"/>
          <w:iCs w:val="0"/>
          <w:caps w:val="0"/>
          <w:color w:val="0F1115"/>
          <w:spacing w:val="0"/>
          <w:sz w:val="12"/>
          <w:szCs w:val="12"/>
          <w:shd w:val="clear" w:fill="FFFFFF"/>
        </w:rPr>
        <w:t> </w:t>
      </w:r>
      <w:r>
        <w:rPr>
          <w:rFonts w:hint="default" w:ascii="Segoe UI" w:hAnsi="Segoe UI" w:eastAsia="Segoe UI" w:cs="Segoe UI"/>
          <w:caps w:val="0"/>
          <w:color w:val="0F1115"/>
          <w:spacing w:val="0"/>
          <w:sz w:val="12"/>
          <w:szCs w:val="12"/>
          <w:shd w:val="clear" w:fill="FFFFFF"/>
        </w:rPr>
        <w:t>arXiv preprint arXiv:2508.00899</w:t>
      </w:r>
      <w:r>
        <w:rPr>
          <w:rFonts w:hint="default" w:ascii="Segoe UI" w:hAnsi="Segoe UI" w:eastAsia="Segoe UI" w:cs="Segoe UI"/>
          <w:i w:val="0"/>
          <w:iCs w:val="0"/>
          <w:caps w:val="0"/>
          <w:color w:val="0F1115"/>
          <w:spacing w:val="0"/>
          <w:sz w:val="12"/>
          <w:szCs w:val="12"/>
          <w:shd w:val="clear" w:fill="FFFFFF"/>
        </w:rPr>
        <w:t>.</w:t>
      </w:r>
    </w:p>
  </w:footnote>
  <w:footnote w:id="19">
    <w:p w14:paraId="36621A34">
      <w:pPr>
        <w:pStyle w:val="35"/>
        <w:snapToGrid w:val="0"/>
      </w:pPr>
      <w:r>
        <w:rPr>
          <w:rStyle w:val="150"/>
        </w:rPr>
        <w:footnoteRef/>
      </w:r>
      <w:r>
        <w:t xml:space="preserve"> ⊗表示三角模糊数之间的乘法运算</w:t>
      </w:r>
      <w:r>
        <w:rPr>
          <w:rFonts w:hint="eastAsia"/>
        </w:rPr>
        <w:t>，</w:t>
      </w:r>
      <w:r>
        <w:t>它的作用相当于用第a项的模糊几何平均值，除以所有项目的模糊几何平均值之和，从而得到第a项的归一化模糊权重</w:t>
      </w:r>
    </w:p>
  </w:footnote>
  <w:footnote w:id="20">
    <w:p w14:paraId="08396AE9">
      <w:pPr>
        <w:pStyle w:val="35"/>
        <w:ind w:firstLine="360"/>
      </w:pPr>
      <w:r>
        <w:rPr>
          <w:rStyle w:val="150"/>
        </w:rPr>
        <w:footnoteRef/>
      </w:r>
      <w:r>
        <w:t xml:space="preserve"> </w:t>
      </w:r>
      <w:r>
        <w:rPr>
          <w:rFonts w:ascii="Segoe UI" w:hAnsi="Segoe UI" w:eastAsia="Segoe UI" w:cs="Segoe UI"/>
          <w:color w:val="0F1115"/>
          <w:sz w:val="16"/>
          <w:szCs w:val="16"/>
          <w:shd w:val="clear" w:color="auto" w:fill="FFFFFF"/>
        </w:rPr>
        <w:t>Banks E. Alternative risk transfer: integrated risk management through insurance, reinsurance, and the capital markets[M]. Chichester, England ; Hoboken, NJ: Wiley, 2004.</w:t>
      </w:r>
    </w:p>
  </w:footnote>
  <w:footnote w:id="21">
    <w:p w14:paraId="2E8CA815">
      <w:pPr>
        <w:pStyle w:val="35"/>
        <w:ind w:firstLine="360"/>
      </w:pPr>
      <w:r>
        <w:rPr>
          <w:rStyle w:val="150"/>
          <w:rFonts w:cs="Times New Roman"/>
          <w:szCs w:val="18"/>
        </w:rPr>
        <w:footnoteRef/>
      </w:r>
      <w:r>
        <w:t xml:space="preserve"> </w:t>
      </w:r>
      <w:r>
        <w:rPr>
          <w:rFonts w:hint="eastAsia" w:cs="Times New Roman"/>
          <w:szCs w:val="18"/>
        </w:rPr>
        <w:t>WILLIAMS C A, SMITH M L, YOUNG P C. Risk management and insurance[M]. 8th ed. Boston: Irwin/McGraw-Hill, 1998.</w:t>
      </w:r>
    </w:p>
    <w:p w14:paraId="469A47A5">
      <w:pPr>
        <w:pStyle w:val="35"/>
        <w:ind w:firstLine="360"/>
      </w:pPr>
      <w:r>
        <w:rPr>
          <w:rFonts w:hint="eastAsia" w:cs="Times New Roman"/>
          <w:szCs w:val="18"/>
        </w:rPr>
        <w:t>REJDA G E, MCNAMARA M J. Principles of risk management and insurance[M]. 14th ed. Harlow: Pearson, 2021.</w:t>
      </w:r>
    </w:p>
  </w:footnote>
  <w:footnote w:id="22">
    <w:p w14:paraId="3751050E">
      <w:pPr>
        <w:pStyle w:val="35"/>
        <w:ind w:firstLine="360"/>
      </w:pPr>
      <w:r>
        <w:rPr>
          <w:rStyle w:val="150"/>
          <w:rFonts w:cs="Times New Roman"/>
          <w:szCs w:val="18"/>
        </w:rPr>
        <w:footnoteRef/>
      </w:r>
      <w:r>
        <w:t xml:space="preserve"> </w:t>
      </w:r>
      <w:r>
        <w:rPr>
          <w:rFonts w:hint="eastAsia" w:cs="Times New Roman"/>
          <w:szCs w:val="18"/>
        </w:rPr>
        <w:t>RIBEIRO M T, SINGH S, GUESTRIN C. “Why should I trust you?”: Explaining the predictions of any classifier[C]//Proceedings of the 22nd ACM SIGKDD International Conference on Knowledge Discovery and Data Mining. New York: ACM, 2016: 1135-1144.</w:t>
      </w:r>
    </w:p>
  </w:footnote>
  <w:footnote w:id="23">
    <w:p w14:paraId="7B51C6E4">
      <w:pPr>
        <w:pStyle w:val="35"/>
        <w:ind w:firstLine="360"/>
      </w:pPr>
      <w:r>
        <w:rPr>
          <w:rStyle w:val="150"/>
          <w:rFonts w:cs="Times New Roman"/>
          <w:szCs w:val="18"/>
        </w:rPr>
        <w:footnoteRef/>
      </w:r>
      <w:r>
        <w:t xml:space="preserve"> BELLAMY R K E, MOJSILOVIC A, NAGAR S, et al. AI Fairness 360: An extensible toolkit for detecting and mitigating algorithmic bias[J]. IBM Journal of Research and Development, 2019, 63(4/5): 4:1-4:9.</w:t>
      </w:r>
    </w:p>
  </w:footnote>
  <w:footnote w:id="24">
    <w:p w14:paraId="6F2868FF">
      <w:pPr>
        <w:pStyle w:val="35"/>
        <w:ind w:firstLine="360"/>
      </w:pPr>
      <w:r>
        <w:rPr>
          <w:rStyle w:val="150"/>
          <w:rFonts w:cs="Times New Roman"/>
          <w:szCs w:val="18"/>
        </w:rPr>
        <w:footnoteRef/>
      </w:r>
      <w:r>
        <w:t xml:space="preserve"> </w:t>
      </w:r>
      <w:r>
        <w:rPr>
          <w:rFonts w:hint="eastAsia" w:cs="Times New Roman"/>
          <w:szCs w:val="18"/>
        </w:rPr>
        <w:t>AHMAD L, AGARWAL S, LAMPE M, et al. OpenAI's approach to external red teaming for AI models and systems[EB/OL]. 2025.</w:t>
      </w:r>
    </w:p>
  </w:footnote>
  <w:footnote w:id="25">
    <w:p w14:paraId="27DFD927">
      <w:pPr>
        <w:pStyle w:val="35"/>
        <w:ind w:firstLine="360"/>
      </w:pPr>
      <w:r>
        <w:rPr>
          <w:rStyle w:val="150"/>
          <w:rFonts w:cs="Times New Roman"/>
          <w:szCs w:val="18"/>
        </w:rPr>
        <w:footnoteRef/>
      </w:r>
      <w:r>
        <w:t xml:space="preserve"> PEREZ E, HUANG S, SONG F, et al. Red teaming language models with language models[EB/OL]. Google DeepMind, 2022.</w:t>
      </w:r>
    </w:p>
  </w:footnote>
  <w:footnote w:id="26">
    <w:p w14:paraId="45013540">
      <w:pPr>
        <w:pStyle w:val="35"/>
        <w:ind w:firstLine="360"/>
      </w:pPr>
      <w:r>
        <w:rPr>
          <w:rStyle w:val="150"/>
        </w:rPr>
        <w:footnoteRef/>
      </w:r>
      <w:r>
        <w:t xml:space="preserve"> </w:t>
      </w:r>
      <w:r>
        <w:rPr>
          <w:rFonts w:hint="eastAsia"/>
        </w:rPr>
        <w:t>高影响场景指AI系统的输出结果直接或间接影响个人重大权益、社会公共利益或企业核心法律责任的业务场景。</w:t>
      </w:r>
    </w:p>
  </w:footnote>
  <w:footnote w:id="27">
    <w:p w14:paraId="4156E132">
      <w:pPr>
        <w:pStyle w:val="35"/>
        <w:ind w:firstLine="360"/>
      </w:pPr>
      <w:r>
        <w:rPr>
          <w:rStyle w:val="150"/>
          <w:rFonts w:cs="Times New Roman"/>
          <w:szCs w:val="18"/>
        </w:rPr>
        <w:footnoteRef/>
      </w:r>
      <w:r>
        <w:t xml:space="preserve"> </w:t>
      </w:r>
      <w:r>
        <w:rPr>
          <w:rFonts w:hint="eastAsia" w:cs="Times New Roman"/>
          <w:color w:val="0F1115"/>
          <w:szCs w:val="18"/>
          <w:shd w:val="clear" w:color="auto" w:fill="FFFFFF"/>
        </w:rPr>
        <w:t>国家互联网信息办公室, 国家发展和改革委员会, 教育部, 等. 生成式AI服务管理暂行办法[EB/OL]. 2023-07-10</w:t>
      </w:r>
    </w:p>
  </w:footnote>
  <w:footnote w:id="28">
    <w:p w14:paraId="6111E0C6">
      <w:pPr>
        <w:pStyle w:val="35"/>
        <w:ind w:firstLine="360"/>
      </w:pPr>
      <w:r>
        <w:rPr>
          <w:rStyle w:val="150"/>
          <w:rFonts w:cs="Times New Roman"/>
          <w:szCs w:val="18"/>
        </w:rPr>
        <w:footnoteRef/>
      </w:r>
      <w:r>
        <w:t xml:space="preserve"> </w:t>
      </w:r>
      <w:r>
        <w:rPr>
          <w:rFonts w:hint="eastAsia" w:cs="Times New Roman"/>
          <w:szCs w:val="18"/>
        </w:rPr>
        <w:t>EUROPEAN CENTRAL BANK. The rise of artificial intelligence: benefits and risks for financial stability[R]. Frankfurt am Main: European Central Bank, 2024.</w:t>
      </w:r>
    </w:p>
    <w:p w14:paraId="66B32DC5">
      <w:pPr>
        <w:pStyle w:val="35"/>
        <w:ind w:firstLine="360"/>
      </w:pPr>
      <w:r>
        <w:rPr>
          <w:rFonts w:hint="eastAsia" w:cs="Times New Roman"/>
          <w:szCs w:val="18"/>
        </w:rPr>
        <w:t>BANK OF ENGLAND. Financial Stability in Focus: Artificial intelligence in the financial system[R]. London: Bank of England, 2025.</w:t>
      </w:r>
    </w:p>
  </w:footnote>
  <w:footnote w:id="29">
    <w:p w14:paraId="75DDB2C4">
      <w:pPr>
        <w:pStyle w:val="35"/>
        <w:ind w:firstLine="360"/>
      </w:pPr>
      <w:r>
        <w:rPr>
          <w:rStyle w:val="150"/>
          <w:rFonts w:cs="Times New Roman"/>
          <w:szCs w:val="18"/>
        </w:rPr>
        <w:footnoteRef/>
      </w:r>
      <w:r>
        <w:t xml:space="preserve"> </w:t>
      </w:r>
      <w:r>
        <w:rPr>
          <w:rFonts w:hint="eastAsia" w:cs="Times New Roman"/>
          <w:szCs w:val="18"/>
        </w:rPr>
        <w:t>Basel Committee on Banking Supervision. Principles for the sound management of third-party risk[R]. Basel: Bank for International Settlements, 2025.</w:t>
      </w:r>
    </w:p>
  </w:footnote>
  <w:footnote w:id="30">
    <w:p w14:paraId="3A0B47C4">
      <w:pPr>
        <w:pStyle w:val="35"/>
        <w:ind w:firstLine="360"/>
      </w:pPr>
      <w:r>
        <w:rPr>
          <w:rStyle w:val="150"/>
        </w:rPr>
        <w:footnoteRef/>
      </w:r>
      <w:r>
        <w:t xml:space="preserve"> </w:t>
      </w:r>
      <w:r>
        <w:rPr>
          <w:rFonts w:hint="eastAsia"/>
        </w:rPr>
        <w:t>https://www.oecd.org/en/topics/ai-principles.html</w:t>
      </w:r>
    </w:p>
  </w:footnote>
  <w:footnote w:id="31">
    <w:p w14:paraId="60F21CBC">
      <w:pPr>
        <w:pStyle w:val="35"/>
        <w:ind w:firstLine="360"/>
      </w:pPr>
      <w:r>
        <w:rPr>
          <w:rStyle w:val="150"/>
        </w:rPr>
        <w:footnoteRef/>
      </w:r>
      <w:r>
        <w:t xml:space="preserve"> </w:t>
      </w:r>
      <w:r>
        <w:rPr>
          <w:rFonts w:ascii="Segoe UI" w:hAnsi="Segoe UI" w:eastAsia="Segoe UI" w:cs="Segoe UI"/>
          <w:color w:val="0F1115"/>
          <w:sz w:val="16"/>
          <w:szCs w:val="16"/>
          <w:shd w:val="clear" w:color="auto" w:fill="FFFFFF"/>
        </w:rPr>
        <w:t>Ni K J, Zhang R, Tan L, et al. How ESG enhances corporate competitiveness: Mechanisms and Evidence[J]. Finance Research Letters, 2024, 69(Part B): 106249.</w:t>
      </w:r>
    </w:p>
  </w:footnote>
  <w:footnote w:id="32">
    <w:p w14:paraId="64CCB4B4">
      <w:pPr>
        <w:pStyle w:val="35"/>
        <w:ind w:firstLine="360"/>
      </w:pPr>
      <w:r>
        <w:rPr>
          <w:rStyle w:val="150"/>
        </w:rPr>
        <w:footnoteRef/>
      </w:r>
      <w:r>
        <w:t xml:space="preserve"> </w:t>
      </w:r>
      <w:r>
        <w:rPr>
          <w:rFonts w:hint="eastAsia"/>
        </w:rPr>
        <w:t>https://www.ifrs.org/issued-standards/ifrs-sustainability-standards-navigator/ifrs-s1-general-requirements</w:t>
      </w:r>
    </w:p>
  </w:footnote>
  <w:footnote w:id="33">
    <w:p w14:paraId="675F5AFB">
      <w:pPr>
        <w:pStyle w:val="35"/>
        <w:ind w:firstLine="360"/>
      </w:pPr>
      <w:r>
        <w:rPr>
          <w:rStyle w:val="150"/>
          <w:rFonts w:cs="Times New Roman"/>
          <w:szCs w:val="18"/>
        </w:rPr>
        <w:footnoteRef/>
      </w:r>
      <w:r>
        <w:t xml:space="preserve"> </w:t>
      </w:r>
      <w:r>
        <w:rPr>
          <w:rFonts w:hint="eastAsia" w:cs="Times New Roman"/>
          <w:szCs w:val="18"/>
        </w:rPr>
        <w:t>EUROPEAN PARLIAMENT, COUNCIL OF THE EUROPEAN UNION. Regulation (EU) 2024/1689 laying down harmonised rules on artificial intelligence (Artificial Intelligence Act)[Z]. 2024-06-13.</w:t>
      </w:r>
    </w:p>
  </w:footnote>
  <w:footnote w:id="34">
    <w:p w14:paraId="4E1A1D60">
      <w:pPr>
        <w:pStyle w:val="35"/>
        <w:ind w:firstLine="360"/>
        <w:rPr>
          <w:rFonts w:cs="Times New Roman"/>
        </w:rPr>
      </w:pPr>
      <w:r>
        <w:rPr>
          <w:rStyle w:val="150"/>
          <w:rFonts w:cs="Times New Roman"/>
        </w:rPr>
        <w:footnoteRef/>
      </w:r>
      <w:r>
        <w:rPr>
          <w:rFonts w:cs="Times New Roman"/>
        </w:rPr>
        <w:t xml:space="preserve"> Actuarial Standards Board, ASOP No. 53: Estimating Future Costs for Prospective Property/Casualty Risk Transfer and Risk Retention, 2017</w:t>
      </w:r>
    </w:p>
  </w:footnote>
  <w:footnote w:id="35">
    <w:p w14:paraId="64E13941">
      <w:pPr>
        <w:pStyle w:val="35"/>
        <w:ind w:firstLine="360"/>
        <w:rPr>
          <w:rFonts w:cs="Times New Roman"/>
        </w:rPr>
      </w:pPr>
      <w:r>
        <w:rPr>
          <w:rStyle w:val="150"/>
          <w:rFonts w:cs="Times New Roman"/>
        </w:rPr>
        <w:footnoteRef/>
      </w:r>
      <w:r>
        <w:rPr>
          <w:rFonts w:cs="Times New Roman"/>
        </w:rPr>
        <w:t xml:space="preserve"> Aon, U.S. Cyber Market Update: 2024 U.S. Cyber Insurance Profits and Performance, 2025.</w:t>
      </w:r>
    </w:p>
  </w:footnote>
  <w:footnote w:id="36">
    <w:p w14:paraId="1ED88745">
      <w:pPr>
        <w:pStyle w:val="35"/>
        <w:ind w:firstLine="360"/>
        <w:rPr>
          <w:rFonts w:cs="Times New Roman"/>
        </w:rPr>
      </w:pPr>
      <w:r>
        <w:rPr>
          <w:rStyle w:val="150"/>
          <w:rFonts w:cs="Times New Roman"/>
        </w:rPr>
        <w:footnoteRef/>
      </w:r>
      <w:r>
        <w:rPr>
          <w:rFonts w:cs="Times New Roman"/>
        </w:rPr>
        <w:t xml:space="preserve"> NetDiligence, Cyber Claims Study 2024 Report, 2024.</w:t>
      </w:r>
    </w:p>
  </w:footnote>
  <w:footnote w:id="37">
    <w:p w14:paraId="7BB8B492">
      <w:pPr>
        <w:pStyle w:val="35"/>
        <w:ind w:firstLine="360"/>
      </w:pPr>
      <w:r>
        <w:rPr>
          <w:rStyle w:val="150"/>
          <w:rFonts w:cs="Times New Roman"/>
        </w:rPr>
        <w:footnoteRef/>
      </w:r>
      <w:r>
        <w:rPr>
          <w:rFonts w:cs="Times New Roman"/>
        </w:rPr>
        <w:t xml:space="preserve"> Coalition, 2025 Cyber Claims Report, 2025.</w:t>
      </w:r>
    </w:p>
  </w:footnote>
  <w:footnote w:id="38">
    <w:p w14:paraId="1368A1C3">
      <w:pPr>
        <w:pStyle w:val="35"/>
        <w:ind w:firstLine="360"/>
        <w:rPr>
          <w:rFonts w:cs="Times New Roman"/>
        </w:rPr>
      </w:pPr>
      <w:r>
        <w:rPr>
          <w:rStyle w:val="150"/>
          <w:rFonts w:cs="Times New Roman"/>
        </w:rPr>
        <w:footnoteRef/>
      </w:r>
      <w:r>
        <w:rPr>
          <w:rFonts w:cs="Times New Roman"/>
        </w:rPr>
        <w:t xml:space="preserve"> Lloyd’s, Cloud Down: Impacts on the US Economy of a Major Cloud Outage, 2018</w:t>
      </w:r>
    </w:p>
  </w:footnote>
  <w:footnote w:id="39">
    <w:p w14:paraId="19BDDF2E">
      <w:pPr>
        <w:pStyle w:val="35"/>
        <w:ind w:firstLine="360"/>
      </w:pPr>
      <w:r>
        <w:rPr>
          <w:rStyle w:val="150"/>
          <w:rFonts w:cs="Times New Roman"/>
        </w:rPr>
        <w:footnoteRef/>
      </w:r>
      <w:r>
        <w:rPr>
          <w:rFonts w:cs="Times New Roman"/>
        </w:rPr>
        <w:t xml:space="preserve"> The Geneva Association, Cyber Risk Accumulation: Fully Tackling the Insurability Challenge, 2023</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D36E7E"/>
    <w:multiLevelType w:val="singleLevel"/>
    <w:tmpl w:val="94D36E7E"/>
    <w:lvl w:ilvl="0" w:tentative="0">
      <w:start w:val="1"/>
      <w:numFmt w:val="chineseCounting"/>
      <w:suff w:val="nothing"/>
      <w:lvlText w:val="（%1）"/>
      <w:lvlJc w:val="left"/>
      <w:rPr>
        <w:rFonts w:hint="eastAsia"/>
      </w:rPr>
    </w:lvl>
  </w:abstractNum>
  <w:abstractNum w:abstractNumId="1">
    <w:nsid w:val="A5A14C34"/>
    <w:multiLevelType w:val="singleLevel"/>
    <w:tmpl w:val="A5A14C34"/>
    <w:lvl w:ilvl="0" w:tentative="0">
      <w:start w:val="5"/>
      <w:numFmt w:val="chineseCounting"/>
      <w:suff w:val="nothing"/>
      <w:lvlText w:val="（%1）"/>
      <w:lvlJc w:val="left"/>
      <w:rPr>
        <w:rFonts w:hint="eastAsia"/>
      </w:rPr>
    </w:lvl>
  </w:abstractNum>
  <w:abstractNum w:abstractNumId="2">
    <w:nsid w:val="AE871410"/>
    <w:multiLevelType w:val="singleLevel"/>
    <w:tmpl w:val="AE871410"/>
    <w:lvl w:ilvl="0" w:tentative="0">
      <w:start w:val="1"/>
      <w:numFmt w:val="chineseCounting"/>
      <w:suff w:val="nothing"/>
      <w:lvlText w:val="第%1，"/>
      <w:lvlJc w:val="left"/>
      <w:rPr>
        <w:rFonts w:hint="eastAsia"/>
        <w:sz w:val="24"/>
        <w:szCs w:val="24"/>
      </w:rPr>
    </w:lvl>
  </w:abstractNum>
  <w:abstractNum w:abstractNumId="3">
    <w:nsid w:val="B458A617"/>
    <w:multiLevelType w:val="singleLevel"/>
    <w:tmpl w:val="B458A617"/>
    <w:lvl w:ilvl="0" w:tentative="0">
      <w:start w:val="1"/>
      <w:numFmt w:val="decimal"/>
      <w:suff w:val="nothing"/>
      <w:lvlText w:val="%1，"/>
      <w:lvlJc w:val="left"/>
    </w:lvl>
  </w:abstractNum>
  <w:abstractNum w:abstractNumId="4">
    <w:nsid w:val="D4C9131B"/>
    <w:multiLevelType w:val="singleLevel"/>
    <w:tmpl w:val="D4C9131B"/>
    <w:lvl w:ilvl="0" w:tentative="0">
      <w:start w:val="2"/>
      <w:numFmt w:val="chineseCounting"/>
      <w:suff w:val="nothing"/>
      <w:lvlText w:val="%1、"/>
      <w:lvlJc w:val="left"/>
      <w:rPr>
        <w:rFonts w:hint="eastAsia"/>
      </w:rPr>
    </w:lvl>
  </w:abstractNum>
  <w:abstractNum w:abstractNumId="5">
    <w:nsid w:val="04B96FC7"/>
    <w:multiLevelType w:val="singleLevel"/>
    <w:tmpl w:val="04B96FC7"/>
    <w:lvl w:ilvl="0" w:tentative="0">
      <w:start w:val="1"/>
      <w:numFmt w:val="decimal"/>
      <w:suff w:val="nothing"/>
      <w:lvlText w:val="%1．"/>
      <w:lvlJc w:val="left"/>
      <w:pPr>
        <w:ind w:left="0" w:firstLine="400"/>
      </w:pPr>
      <w:rPr>
        <w:rFonts w:hint="default"/>
      </w:rPr>
    </w:lvl>
  </w:abstractNum>
  <w:abstractNum w:abstractNumId="6">
    <w:nsid w:val="06FAD85B"/>
    <w:multiLevelType w:val="singleLevel"/>
    <w:tmpl w:val="06FAD85B"/>
    <w:lvl w:ilvl="0" w:tentative="0">
      <w:start w:val="1"/>
      <w:numFmt w:val="decimal"/>
      <w:pStyle w:val="6"/>
      <w:lvlText w:val="(%1)"/>
      <w:lvlJc w:val="left"/>
      <w:pPr>
        <w:ind w:left="425" w:hanging="425"/>
      </w:pPr>
      <w:rPr>
        <w:rFonts w:hint="default"/>
      </w:rPr>
    </w:lvl>
  </w:abstractNum>
  <w:abstractNum w:abstractNumId="7">
    <w:nsid w:val="226770C4"/>
    <w:multiLevelType w:val="singleLevel"/>
    <w:tmpl w:val="226770C4"/>
    <w:lvl w:ilvl="0" w:tentative="0">
      <w:start w:val="1"/>
      <w:numFmt w:val="decimal"/>
      <w:suff w:val="nothing"/>
      <w:lvlText w:val="%1．"/>
      <w:lvlJc w:val="left"/>
      <w:pPr>
        <w:ind w:left="0" w:firstLine="400"/>
      </w:pPr>
      <w:rPr>
        <w:rFonts w:hint="default"/>
      </w:rPr>
    </w:lvl>
  </w:abstractNum>
  <w:abstractNum w:abstractNumId="8">
    <w:nsid w:val="4BF962C2"/>
    <w:multiLevelType w:val="singleLevel"/>
    <w:tmpl w:val="4BF962C2"/>
    <w:lvl w:ilvl="0" w:tentative="0">
      <w:start w:val="1"/>
      <w:numFmt w:val="decimal"/>
      <w:suff w:val="nothing"/>
      <w:lvlText w:val="%1，"/>
      <w:lvlJc w:val="left"/>
    </w:lvl>
  </w:abstractNum>
  <w:abstractNum w:abstractNumId="9">
    <w:nsid w:val="4E50234D"/>
    <w:multiLevelType w:val="multilevel"/>
    <w:tmpl w:val="4E50234D"/>
    <w:lvl w:ilvl="0" w:tentative="0">
      <w:start w:val="1"/>
      <w:numFmt w:val="bullet"/>
      <w:pStyle w:val="24"/>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0">
    <w:nsid w:val="563740A6"/>
    <w:multiLevelType w:val="multilevel"/>
    <w:tmpl w:val="563740A6"/>
    <w:lvl w:ilvl="0" w:tentative="0">
      <w:start w:val="1"/>
      <w:numFmt w:val="decimal"/>
      <w:pStyle w:val="21"/>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1">
    <w:nsid w:val="59776571"/>
    <w:multiLevelType w:val="multilevel"/>
    <w:tmpl w:val="59776571"/>
    <w:lvl w:ilvl="0" w:tentative="0">
      <w:start w:val="1"/>
      <w:numFmt w:val="bullet"/>
      <w:pStyle w:val="19"/>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2">
    <w:nsid w:val="5E396EBA"/>
    <w:multiLevelType w:val="multilevel"/>
    <w:tmpl w:val="5E396EBA"/>
    <w:lvl w:ilvl="0" w:tentative="0">
      <w:start w:val="1"/>
      <w:numFmt w:val="decimal"/>
      <w:pStyle w:val="14"/>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3">
    <w:nsid w:val="624F37E6"/>
    <w:multiLevelType w:val="multilevel"/>
    <w:tmpl w:val="624F37E6"/>
    <w:lvl w:ilvl="0" w:tentative="0">
      <w:start w:val="1"/>
      <w:numFmt w:val="bullet"/>
      <w:pStyle w:val="1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4">
    <w:nsid w:val="65CD79F5"/>
    <w:multiLevelType w:val="singleLevel"/>
    <w:tmpl w:val="65CD79F5"/>
    <w:lvl w:ilvl="0" w:tentative="0">
      <w:start w:val="4"/>
      <w:numFmt w:val="chineseCounting"/>
      <w:suff w:val="nothing"/>
      <w:lvlText w:val="（%1）"/>
      <w:lvlJc w:val="left"/>
      <w:rPr>
        <w:rFonts w:hint="eastAsia"/>
      </w:rPr>
    </w:lvl>
  </w:abstractNum>
  <w:abstractNum w:abstractNumId="15">
    <w:nsid w:val="703F9860"/>
    <w:multiLevelType w:val="singleLevel"/>
    <w:tmpl w:val="703F9860"/>
    <w:lvl w:ilvl="0" w:tentative="0">
      <w:start w:val="1"/>
      <w:numFmt w:val="bullet"/>
      <w:lvlText w:val=""/>
      <w:lvlJc w:val="left"/>
      <w:pPr>
        <w:ind w:left="420" w:hanging="420"/>
      </w:pPr>
      <w:rPr>
        <w:rFonts w:hint="default" w:ascii="Wingdings" w:hAnsi="Wingdings"/>
        <w:sz w:val="13"/>
        <w:szCs w:val="13"/>
      </w:rPr>
    </w:lvl>
  </w:abstractNum>
  <w:abstractNum w:abstractNumId="16">
    <w:nsid w:val="791149FE"/>
    <w:multiLevelType w:val="multilevel"/>
    <w:tmpl w:val="791149FE"/>
    <w:lvl w:ilvl="0" w:tentative="0">
      <w:start w:val="1"/>
      <w:numFmt w:val="decimal"/>
      <w:pStyle w:val="1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7">
    <w:nsid w:val="7B45F195"/>
    <w:multiLevelType w:val="singleLevel"/>
    <w:tmpl w:val="7B45F195"/>
    <w:lvl w:ilvl="0" w:tentative="0">
      <w:start w:val="7"/>
      <w:numFmt w:val="chineseCounting"/>
      <w:suff w:val="nothing"/>
      <w:lvlText w:val="%1、"/>
      <w:lvlJc w:val="left"/>
      <w:rPr>
        <w:rFonts w:hint="eastAsia"/>
      </w:rPr>
    </w:lvl>
  </w:abstractNum>
  <w:abstractNum w:abstractNumId="18">
    <w:nsid w:val="7B89575A"/>
    <w:multiLevelType w:val="singleLevel"/>
    <w:tmpl w:val="7B89575A"/>
    <w:lvl w:ilvl="0" w:tentative="0">
      <w:start w:val="1"/>
      <w:numFmt w:val="decimal"/>
      <w:pStyle w:val="5"/>
      <w:suff w:val="nothing"/>
      <w:lvlText w:val="%1．"/>
      <w:lvlJc w:val="left"/>
      <w:pPr>
        <w:ind w:left="-723" w:firstLine="400"/>
      </w:pPr>
      <w:rPr>
        <w:rFonts w:hint="default"/>
      </w:rPr>
    </w:lvl>
  </w:abstractNum>
  <w:abstractNum w:abstractNumId="19">
    <w:nsid w:val="7E5C6FB8"/>
    <w:multiLevelType w:val="singleLevel"/>
    <w:tmpl w:val="7E5C6FB8"/>
    <w:lvl w:ilvl="0" w:tentative="0">
      <w:start w:val="1"/>
      <w:numFmt w:val="decimal"/>
      <w:suff w:val="nothing"/>
      <w:lvlText w:val="%1．"/>
      <w:lvlJc w:val="left"/>
      <w:pPr>
        <w:ind w:left="-2" w:firstLine="400"/>
      </w:pPr>
      <w:rPr>
        <w:rFonts w:hint="default"/>
      </w:rPr>
    </w:lvl>
  </w:abstractNum>
  <w:num w:numId="1">
    <w:abstractNumId w:val="18"/>
  </w:num>
  <w:num w:numId="2">
    <w:abstractNumId w:val="6"/>
  </w:num>
  <w:num w:numId="3">
    <w:abstractNumId w:val="16"/>
  </w:num>
  <w:num w:numId="4">
    <w:abstractNumId w:val="12"/>
  </w:num>
  <w:num w:numId="5">
    <w:abstractNumId w:val="13"/>
  </w:num>
  <w:num w:numId="6">
    <w:abstractNumId w:val="11"/>
  </w:num>
  <w:num w:numId="7">
    <w:abstractNumId w:val="10"/>
  </w:num>
  <w:num w:numId="8">
    <w:abstractNumId w:val="9"/>
  </w:num>
  <w:num w:numId="9">
    <w:abstractNumId w:val="3"/>
  </w:num>
  <w:num w:numId="10">
    <w:abstractNumId w:val="8"/>
  </w:num>
  <w:num w:numId="11">
    <w:abstractNumId w:val="4"/>
  </w:num>
  <w:num w:numId="12">
    <w:abstractNumId w:val="14"/>
  </w:num>
  <w:num w:numId="13">
    <w:abstractNumId w:val="1"/>
  </w:num>
  <w:num w:numId="14">
    <w:abstractNumId w:val="15"/>
  </w:num>
  <w:num w:numId="15">
    <w:abstractNumId w:val="5"/>
  </w:num>
  <w:num w:numId="16">
    <w:abstractNumId w:val="7"/>
  </w:num>
  <w:num w:numId="17">
    <w:abstractNumId w:val="19"/>
    <w:lvlOverride w:ilvl="0">
      <w:startOverride w:val="2"/>
    </w:lvlOverride>
  </w:num>
  <w:num w:numId="18">
    <w:abstractNumId w:val="2"/>
  </w:num>
  <w:num w:numId="19">
    <w:abstractNumId w:val="6"/>
    <w:lvlOverride w:ilvl="0">
      <w:startOverride w:val="1"/>
    </w:lvlOverride>
  </w:num>
  <w:num w:numId="20">
    <w:abstractNumId w:val="6"/>
    <w:lvlOverride w:ilvl="0">
      <w:startOverride w:val="1"/>
    </w:lvlOverride>
  </w:num>
  <w:num w:numId="21">
    <w:abstractNumId w:val="6"/>
    <w:lvlOverride w:ilvl="0">
      <w:startOverride w:val="1"/>
    </w:lvlOverride>
  </w:num>
  <w:num w:numId="22">
    <w:abstractNumId w:val="17"/>
  </w:num>
  <w:num w:numId="2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re.">
    <w15:presenceInfo w15:providerId="WPS Office" w15:userId="673055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80"/>
    <w:footnote w:id="8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FkMTgzZDhkN2I1NTU0YTUwYTM2YmY5YTRiNDIzYWEifQ=="/>
  </w:docVars>
  <w:rsids>
    <w:rsidRoot w:val="005127E9"/>
    <w:rsid w:val="0002256D"/>
    <w:rsid w:val="000B3C48"/>
    <w:rsid w:val="000D438A"/>
    <w:rsid w:val="00105D5F"/>
    <w:rsid w:val="00171DFF"/>
    <w:rsid w:val="00237F29"/>
    <w:rsid w:val="00242A33"/>
    <w:rsid w:val="00301DB2"/>
    <w:rsid w:val="00307139"/>
    <w:rsid w:val="003B2DA3"/>
    <w:rsid w:val="004847F5"/>
    <w:rsid w:val="005127E9"/>
    <w:rsid w:val="00591A26"/>
    <w:rsid w:val="005D1349"/>
    <w:rsid w:val="005E665B"/>
    <w:rsid w:val="00651EA2"/>
    <w:rsid w:val="00737131"/>
    <w:rsid w:val="00793537"/>
    <w:rsid w:val="007C7D77"/>
    <w:rsid w:val="007F007F"/>
    <w:rsid w:val="007F6098"/>
    <w:rsid w:val="00843502"/>
    <w:rsid w:val="00861E2D"/>
    <w:rsid w:val="00903E54"/>
    <w:rsid w:val="00A00FC9"/>
    <w:rsid w:val="00AB56C5"/>
    <w:rsid w:val="00AC44EB"/>
    <w:rsid w:val="00AE62C4"/>
    <w:rsid w:val="00B4031E"/>
    <w:rsid w:val="00B85CE6"/>
    <w:rsid w:val="00CB686B"/>
    <w:rsid w:val="00CD2372"/>
    <w:rsid w:val="00D2561C"/>
    <w:rsid w:val="00D5481C"/>
    <w:rsid w:val="00D85C21"/>
    <w:rsid w:val="00E41740"/>
    <w:rsid w:val="00EA4312"/>
    <w:rsid w:val="00EB5FE6"/>
    <w:rsid w:val="00EC1E5E"/>
    <w:rsid w:val="00F51881"/>
    <w:rsid w:val="00F91E9D"/>
    <w:rsid w:val="016410C2"/>
    <w:rsid w:val="021C5CC3"/>
    <w:rsid w:val="03AA4EA2"/>
    <w:rsid w:val="04152DD1"/>
    <w:rsid w:val="042711AF"/>
    <w:rsid w:val="05DE61E6"/>
    <w:rsid w:val="071E562E"/>
    <w:rsid w:val="09ED69F7"/>
    <w:rsid w:val="0B537D5B"/>
    <w:rsid w:val="0CB56D3B"/>
    <w:rsid w:val="0D044982"/>
    <w:rsid w:val="0D5D3E94"/>
    <w:rsid w:val="0EEF3EB1"/>
    <w:rsid w:val="0F895414"/>
    <w:rsid w:val="0FD137F7"/>
    <w:rsid w:val="0FEA05A8"/>
    <w:rsid w:val="120B0362"/>
    <w:rsid w:val="15B75420"/>
    <w:rsid w:val="16C52CC0"/>
    <w:rsid w:val="17562F6D"/>
    <w:rsid w:val="17822E75"/>
    <w:rsid w:val="17CE7E68"/>
    <w:rsid w:val="19BE1C35"/>
    <w:rsid w:val="1BA1111C"/>
    <w:rsid w:val="1BA710FC"/>
    <w:rsid w:val="1C5A485C"/>
    <w:rsid w:val="1C7362A0"/>
    <w:rsid w:val="1C8A35B1"/>
    <w:rsid w:val="1CEB757C"/>
    <w:rsid w:val="1CF814E3"/>
    <w:rsid w:val="20B075E7"/>
    <w:rsid w:val="256B1942"/>
    <w:rsid w:val="25E40942"/>
    <w:rsid w:val="265005E2"/>
    <w:rsid w:val="271433BD"/>
    <w:rsid w:val="28F45190"/>
    <w:rsid w:val="299D58EC"/>
    <w:rsid w:val="29F3375E"/>
    <w:rsid w:val="2A1A11E7"/>
    <w:rsid w:val="2C172670"/>
    <w:rsid w:val="2C3741E2"/>
    <w:rsid w:val="2E5D564A"/>
    <w:rsid w:val="2E8928E3"/>
    <w:rsid w:val="2F6D214D"/>
    <w:rsid w:val="31464ABB"/>
    <w:rsid w:val="324855BC"/>
    <w:rsid w:val="33DB598F"/>
    <w:rsid w:val="351066B1"/>
    <w:rsid w:val="358D4C51"/>
    <w:rsid w:val="376901C3"/>
    <w:rsid w:val="38F57EE6"/>
    <w:rsid w:val="39036BAD"/>
    <w:rsid w:val="39130493"/>
    <w:rsid w:val="393A3B1B"/>
    <w:rsid w:val="3AC70A1B"/>
    <w:rsid w:val="3B7D37CF"/>
    <w:rsid w:val="3CED4ADC"/>
    <w:rsid w:val="3CF780A3"/>
    <w:rsid w:val="3D834439"/>
    <w:rsid w:val="3EFC2C5D"/>
    <w:rsid w:val="3F187B77"/>
    <w:rsid w:val="3FBD3F4D"/>
    <w:rsid w:val="414E6054"/>
    <w:rsid w:val="419761C7"/>
    <w:rsid w:val="42BD444E"/>
    <w:rsid w:val="43282273"/>
    <w:rsid w:val="43683E67"/>
    <w:rsid w:val="43DE667E"/>
    <w:rsid w:val="44806D52"/>
    <w:rsid w:val="44996E96"/>
    <w:rsid w:val="44C61D43"/>
    <w:rsid w:val="450B1E4C"/>
    <w:rsid w:val="45617CBE"/>
    <w:rsid w:val="46565349"/>
    <w:rsid w:val="47961EA1"/>
    <w:rsid w:val="48601116"/>
    <w:rsid w:val="487B4BF3"/>
    <w:rsid w:val="48895562"/>
    <w:rsid w:val="4925451E"/>
    <w:rsid w:val="49411F3C"/>
    <w:rsid w:val="4A77763C"/>
    <w:rsid w:val="4B38326F"/>
    <w:rsid w:val="4D3B0DF4"/>
    <w:rsid w:val="4E0E044C"/>
    <w:rsid w:val="4EDE5EDB"/>
    <w:rsid w:val="4FF359B6"/>
    <w:rsid w:val="501C4CD9"/>
    <w:rsid w:val="50926F7D"/>
    <w:rsid w:val="53EE3868"/>
    <w:rsid w:val="54330A77"/>
    <w:rsid w:val="548E7BE3"/>
    <w:rsid w:val="54AA46C3"/>
    <w:rsid w:val="55DF347C"/>
    <w:rsid w:val="57016825"/>
    <w:rsid w:val="57177107"/>
    <w:rsid w:val="576C0528"/>
    <w:rsid w:val="580A7D41"/>
    <w:rsid w:val="59BA7D46"/>
    <w:rsid w:val="5A7F0B1A"/>
    <w:rsid w:val="5A8603A4"/>
    <w:rsid w:val="5AFE1DDF"/>
    <w:rsid w:val="5BBA2790"/>
    <w:rsid w:val="60F263A9"/>
    <w:rsid w:val="63312626"/>
    <w:rsid w:val="63AE1EC8"/>
    <w:rsid w:val="63B76A1A"/>
    <w:rsid w:val="65A74E21"/>
    <w:rsid w:val="66805D9E"/>
    <w:rsid w:val="67FA1187"/>
    <w:rsid w:val="68774F7F"/>
    <w:rsid w:val="687F3E33"/>
    <w:rsid w:val="6C9836C1"/>
    <w:rsid w:val="6D0F39D8"/>
    <w:rsid w:val="6D2A25C0"/>
    <w:rsid w:val="6D6F26C8"/>
    <w:rsid w:val="6DE210EC"/>
    <w:rsid w:val="6E5A5127"/>
    <w:rsid w:val="6FED5B27"/>
    <w:rsid w:val="71175551"/>
    <w:rsid w:val="73027872"/>
    <w:rsid w:val="73F6144E"/>
    <w:rsid w:val="748C0F46"/>
    <w:rsid w:val="748F0C3B"/>
    <w:rsid w:val="7576527C"/>
    <w:rsid w:val="7A5E1AFB"/>
    <w:rsid w:val="7A8028AB"/>
    <w:rsid w:val="7A896E37"/>
    <w:rsid w:val="7C2E19A1"/>
    <w:rsid w:val="7DB36601"/>
    <w:rsid w:val="7E3F2791"/>
    <w:rsid w:val="7E6B47E6"/>
    <w:rsid w:val="7FFE6FA8"/>
    <w:rsid w:val="AB5F48C7"/>
    <w:rsid w:val="FEFE6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0" w:semiHidden="0" w:name="footnote text"/>
    <w:lsdException w:qFormat="1" w:uiPriority="99" w:semiHidden="0" w:name="annotation text"/>
    <w:lsdException w:qFormat="1" w:uiPriority="99" w:semiHidden="0" w:name="header"/>
    <w:lsdException w:qFormat="1"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iPriority="99" w:semiHidden="0" w:name="Placeholder Text"/>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spacing w:line="360" w:lineRule="auto"/>
      <w:ind w:firstLine="723" w:firstLineChars="200"/>
      <w:jc w:val="both"/>
    </w:pPr>
    <w:rPr>
      <w:rFonts w:ascii="Times New Roman" w:hAnsi="Times New Roman" w:eastAsia="宋体" w:cstheme="minorBidi"/>
      <w:kern w:val="2"/>
      <w:sz w:val="24"/>
      <w:szCs w:val="22"/>
      <w:lang w:val="en-US" w:eastAsia="zh-CN" w:bidi="ar-SA"/>
    </w:rPr>
  </w:style>
  <w:style w:type="paragraph" w:styleId="3">
    <w:name w:val="heading 1"/>
    <w:basedOn w:val="1"/>
    <w:next w:val="1"/>
    <w:link w:val="151"/>
    <w:qFormat/>
    <w:uiPriority w:val="9"/>
    <w:pPr>
      <w:keepNext/>
      <w:keepLines/>
      <w:ind w:firstLine="0" w:firstLineChars="0"/>
      <w:jc w:val="center"/>
      <w:outlineLvl w:val="0"/>
    </w:pPr>
    <w:rPr>
      <w:rFonts w:cstheme="majorBidi"/>
      <w:b/>
      <w:color w:val="000000" w:themeColor="text1"/>
      <w:sz w:val="30"/>
      <w:szCs w:val="48"/>
      <w14:textFill>
        <w14:solidFill>
          <w14:schemeClr w14:val="tx1"/>
        </w14:solidFill>
      </w14:textFill>
    </w:rPr>
  </w:style>
  <w:style w:type="paragraph" w:styleId="4">
    <w:name w:val="heading 2"/>
    <w:basedOn w:val="1"/>
    <w:next w:val="1"/>
    <w:link w:val="152"/>
    <w:unhideWhenUsed/>
    <w:qFormat/>
    <w:uiPriority w:val="0"/>
    <w:pPr>
      <w:keepNext/>
      <w:keepLines/>
      <w:spacing w:line="360" w:lineRule="auto"/>
      <w:ind w:firstLine="723" w:firstLineChars="200"/>
      <w:outlineLvl w:val="1"/>
    </w:pPr>
    <w:rPr>
      <w:rFonts w:ascii="Times New Roman" w:hAnsi="Times New Roman" w:eastAsia="宋体" w:cstheme="majorBidi"/>
      <w:b/>
      <w:color w:val="000000" w:themeColor="text1"/>
      <w:sz w:val="28"/>
      <w:szCs w:val="40"/>
      <w14:textFill>
        <w14:solidFill>
          <w14:schemeClr w14:val="tx1"/>
        </w14:solidFill>
      </w14:textFill>
    </w:rPr>
  </w:style>
  <w:style w:type="paragraph" w:styleId="5">
    <w:name w:val="heading 3"/>
    <w:basedOn w:val="1"/>
    <w:next w:val="1"/>
    <w:link w:val="153"/>
    <w:unhideWhenUsed/>
    <w:qFormat/>
    <w:uiPriority w:val="0"/>
    <w:pPr>
      <w:keepNext/>
      <w:keepLines/>
      <w:numPr>
        <w:ilvl w:val="0"/>
        <w:numId w:val="1"/>
      </w:numPr>
      <w:spacing w:line="360" w:lineRule="auto"/>
      <w:ind w:left="0" w:firstLine="723" w:firstLineChars="200"/>
      <w:outlineLvl w:val="2"/>
    </w:pPr>
    <w:rPr>
      <w:rFonts w:cstheme="majorBidi"/>
      <w:b/>
      <w:color w:val="000000" w:themeColor="text1"/>
      <w:szCs w:val="32"/>
      <w14:textFill>
        <w14:solidFill>
          <w14:schemeClr w14:val="tx1"/>
        </w14:solidFill>
      </w14:textFill>
    </w:rPr>
  </w:style>
  <w:style w:type="paragraph" w:styleId="6">
    <w:name w:val="heading 4"/>
    <w:basedOn w:val="1"/>
    <w:next w:val="1"/>
    <w:link w:val="154"/>
    <w:unhideWhenUsed/>
    <w:qFormat/>
    <w:uiPriority w:val="9"/>
    <w:pPr>
      <w:keepNext/>
      <w:keepLines/>
      <w:numPr>
        <w:ilvl w:val="0"/>
        <w:numId w:val="2"/>
      </w:numPr>
      <w:ind w:left="0"/>
      <w:outlineLvl w:val="3"/>
    </w:pPr>
    <w:rPr>
      <w:rFonts w:cstheme="majorBidi"/>
      <w:color w:val="000000" w:themeColor="text1"/>
      <w:szCs w:val="28"/>
      <w14:textFill>
        <w14:solidFill>
          <w14:schemeClr w14:val="tx1"/>
        </w14:solidFill>
      </w14:textFill>
    </w:rPr>
  </w:style>
  <w:style w:type="paragraph" w:styleId="7">
    <w:name w:val="heading 5"/>
    <w:basedOn w:val="1"/>
    <w:next w:val="1"/>
    <w:link w:val="155"/>
    <w:semiHidden/>
    <w:unhideWhenUsed/>
    <w:qFormat/>
    <w:uiPriority w:val="9"/>
    <w:pPr>
      <w:keepNext/>
      <w:keepLines/>
      <w:spacing w:before="80" w:after="40"/>
      <w:outlineLvl w:val="4"/>
    </w:pPr>
    <w:rPr>
      <w:rFonts w:cstheme="majorBidi"/>
      <w:color w:val="104862" w:themeColor="accent1" w:themeShade="BF"/>
      <w:sz w:val="24"/>
    </w:rPr>
  </w:style>
  <w:style w:type="paragraph" w:styleId="8">
    <w:name w:val="heading 6"/>
    <w:basedOn w:val="1"/>
    <w:next w:val="1"/>
    <w:link w:val="156"/>
    <w:semiHidden/>
    <w:unhideWhenUsed/>
    <w:qFormat/>
    <w:uiPriority w:val="9"/>
    <w:pPr>
      <w:keepNext/>
      <w:keepLines/>
      <w:spacing w:before="40"/>
      <w:outlineLvl w:val="5"/>
    </w:pPr>
    <w:rPr>
      <w:rFonts w:cstheme="majorBidi"/>
      <w:b/>
      <w:bCs/>
      <w:color w:val="104862" w:themeColor="accent1" w:themeShade="BF"/>
    </w:rPr>
  </w:style>
  <w:style w:type="paragraph" w:styleId="9">
    <w:name w:val="heading 7"/>
    <w:basedOn w:val="1"/>
    <w:next w:val="1"/>
    <w:link w:val="15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15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15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3">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macro"/>
    <w:link w:val="176"/>
    <w:unhideWhenUsed/>
    <w:qFormat/>
    <w:uiPriority w:val="99"/>
    <w:pPr>
      <w:tabs>
        <w:tab w:val="left" w:pos="576"/>
        <w:tab w:val="left" w:pos="1152"/>
        <w:tab w:val="left" w:pos="1728"/>
        <w:tab w:val="left" w:pos="2304"/>
        <w:tab w:val="left" w:pos="2880"/>
        <w:tab w:val="left" w:pos="3456"/>
        <w:tab w:val="left" w:pos="4032"/>
      </w:tabs>
      <w:suppressAutoHyphen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widowControl/>
      <w:suppressAutoHyphens/>
      <w:spacing w:after="200" w:line="276" w:lineRule="auto"/>
      <w:ind w:left="1080" w:hanging="360"/>
      <w:contextualSpacing/>
      <w:jc w:val="left"/>
    </w:pPr>
    <w:rPr>
      <w:rFonts w:ascii="Arial" w:hAnsi="Arial"/>
      <w:kern w:val="0"/>
      <w:lang w:eastAsia="en-US"/>
    </w:rPr>
  </w:style>
  <w:style w:type="paragraph" w:styleId="13">
    <w:name w:val="List Number 2"/>
    <w:basedOn w:val="1"/>
    <w:unhideWhenUsed/>
    <w:qFormat/>
    <w:uiPriority w:val="99"/>
    <w:pPr>
      <w:widowControl/>
      <w:numPr>
        <w:ilvl w:val="0"/>
        <w:numId w:val="3"/>
      </w:numPr>
      <w:suppressAutoHyphens/>
      <w:spacing w:after="200" w:line="276" w:lineRule="auto"/>
      <w:contextualSpacing/>
      <w:jc w:val="left"/>
    </w:pPr>
    <w:rPr>
      <w:rFonts w:ascii="Arial" w:hAnsi="Arial"/>
      <w:kern w:val="0"/>
      <w:lang w:eastAsia="en-US"/>
    </w:rPr>
  </w:style>
  <w:style w:type="paragraph" w:styleId="14">
    <w:name w:val="List Number"/>
    <w:basedOn w:val="1"/>
    <w:unhideWhenUsed/>
    <w:qFormat/>
    <w:uiPriority w:val="99"/>
    <w:pPr>
      <w:widowControl/>
      <w:numPr>
        <w:ilvl w:val="0"/>
        <w:numId w:val="4"/>
      </w:numPr>
      <w:suppressAutoHyphens/>
      <w:spacing w:after="200" w:line="276" w:lineRule="auto"/>
      <w:contextualSpacing/>
      <w:jc w:val="left"/>
    </w:pPr>
    <w:rPr>
      <w:rFonts w:ascii="Arial" w:hAnsi="Arial"/>
      <w:kern w:val="0"/>
      <w:lang w:eastAsia="en-US"/>
    </w:rPr>
  </w:style>
  <w:style w:type="paragraph" w:styleId="15">
    <w:name w:val="caption"/>
    <w:basedOn w:val="1"/>
    <w:next w:val="1"/>
    <w:semiHidden/>
    <w:unhideWhenUsed/>
    <w:qFormat/>
    <w:uiPriority w:val="35"/>
    <w:pPr>
      <w:widowControl/>
      <w:suppressAutoHyphens/>
      <w:spacing w:after="200"/>
      <w:jc w:val="left"/>
    </w:pPr>
    <w:rPr>
      <w:rFonts w:ascii="Arial" w:hAnsi="Arial"/>
      <w:b/>
      <w:bCs/>
      <w:color w:val="156082" w:themeColor="accent1"/>
      <w:kern w:val="0"/>
      <w:sz w:val="18"/>
      <w:szCs w:val="18"/>
      <w:lang w:eastAsia="en-US"/>
      <w14:textFill>
        <w14:solidFill>
          <w14:schemeClr w14:val="accent1"/>
        </w14:solidFill>
      </w14:textFill>
    </w:rPr>
  </w:style>
  <w:style w:type="paragraph" w:styleId="16">
    <w:name w:val="List Bullet"/>
    <w:basedOn w:val="1"/>
    <w:unhideWhenUsed/>
    <w:qFormat/>
    <w:uiPriority w:val="99"/>
    <w:pPr>
      <w:widowControl/>
      <w:numPr>
        <w:ilvl w:val="0"/>
        <w:numId w:val="5"/>
      </w:numPr>
      <w:suppressAutoHyphens/>
      <w:spacing w:after="200" w:line="276" w:lineRule="auto"/>
      <w:contextualSpacing/>
      <w:jc w:val="left"/>
    </w:pPr>
    <w:rPr>
      <w:rFonts w:ascii="Arial" w:hAnsi="Arial"/>
      <w:kern w:val="0"/>
      <w:lang w:eastAsia="en-US"/>
    </w:rPr>
  </w:style>
  <w:style w:type="paragraph" w:styleId="17">
    <w:name w:val="annotation text"/>
    <w:basedOn w:val="1"/>
    <w:link w:val="170"/>
    <w:unhideWhenUsed/>
    <w:qFormat/>
    <w:uiPriority w:val="99"/>
    <w:pPr>
      <w:widowControl/>
      <w:suppressAutoHyphens/>
      <w:spacing w:after="200" w:line="276" w:lineRule="auto"/>
      <w:jc w:val="left"/>
    </w:pPr>
    <w:rPr>
      <w:rFonts w:ascii="Arial" w:hAnsi="Arial"/>
      <w:kern w:val="0"/>
      <w:lang w:eastAsia="en-US"/>
    </w:rPr>
  </w:style>
  <w:style w:type="paragraph" w:styleId="18">
    <w:name w:val="Body Text 3"/>
    <w:basedOn w:val="1"/>
    <w:link w:val="177"/>
    <w:unhideWhenUsed/>
    <w:qFormat/>
    <w:uiPriority w:val="99"/>
    <w:pPr>
      <w:widowControl/>
      <w:suppressAutoHyphens/>
      <w:spacing w:after="120" w:line="276" w:lineRule="auto"/>
      <w:jc w:val="left"/>
    </w:pPr>
    <w:rPr>
      <w:rFonts w:ascii="Arial" w:hAnsi="Arial"/>
      <w:kern w:val="0"/>
      <w:sz w:val="16"/>
      <w:szCs w:val="16"/>
      <w:lang w:eastAsia="en-US"/>
    </w:rPr>
  </w:style>
  <w:style w:type="paragraph" w:styleId="19">
    <w:name w:val="List Bullet 3"/>
    <w:basedOn w:val="1"/>
    <w:unhideWhenUsed/>
    <w:qFormat/>
    <w:uiPriority w:val="99"/>
    <w:pPr>
      <w:widowControl/>
      <w:numPr>
        <w:ilvl w:val="0"/>
        <w:numId w:val="6"/>
      </w:numPr>
      <w:suppressAutoHyphens/>
      <w:spacing w:after="200" w:line="276" w:lineRule="auto"/>
      <w:contextualSpacing/>
      <w:jc w:val="left"/>
    </w:pPr>
    <w:rPr>
      <w:rFonts w:ascii="Arial" w:hAnsi="Arial"/>
      <w:kern w:val="0"/>
      <w:lang w:eastAsia="en-US"/>
    </w:rPr>
  </w:style>
  <w:style w:type="paragraph" w:styleId="20">
    <w:name w:val="Body Text"/>
    <w:basedOn w:val="1"/>
    <w:link w:val="178"/>
    <w:unhideWhenUsed/>
    <w:qFormat/>
    <w:uiPriority w:val="99"/>
    <w:pPr>
      <w:widowControl/>
      <w:suppressAutoHyphens/>
      <w:spacing w:after="120" w:line="276" w:lineRule="auto"/>
      <w:jc w:val="left"/>
    </w:pPr>
    <w:rPr>
      <w:rFonts w:ascii="Arial" w:hAnsi="Arial"/>
      <w:kern w:val="0"/>
      <w:lang w:eastAsia="en-US"/>
    </w:rPr>
  </w:style>
  <w:style w:type="paragraph" w:styleId="21">
    <w:name w:val="List Number 3"/>
    <w:basedOn w:val="1"/>
    <w:unhideWhenUsed/>
    <w:qFormat/>
    <w:uiPriority w:val="99"/>
    <w:pPr>
      <w:widowControl/>
      <w:numPr>
        <w:ilvl w:val="0"/>
        <w:numId w:val="7"/>
      </w:numPr>
      <w:suppressAutoHyphens/>
      <w:spacing w:after="200" w:line="276" w:lineRule="auto"/>
      <w:contextualSpacing/>
      <w:jc w:val="left"/>
    </w:pPr>
    <w:rPr>
      <w:rFonts w:ascii="Arial" w:hAnsi="Arial"/>
      <w:kern w:val="0"/>
      <w:lang w:eastAsia="en-US"/>
    </w:rPr>
  </w:style>
  <w:style w:type="paragraph" w:styleId="22">
    <w:name w:val="List 2"/>
    <w:basedOn w:val="1"/>
    <w:unhideWhenUsed/>
    <w:qFormat/>
    <w:uiPriority w:val="99"/>
    <w:pPr>
      <w:widowControl/>
      <w:suppressAutoHyphens/>
      <w:spacing w:after="200" w:line="276" w:lineRule="auto"/>
      <w:ind w:left="720" w:hanging="360"/>
      <w:contextualSpacing/>
      <w:jc w:val="left"/>
    </w:pPr>
    <w:rPr>
      <w:rFonts w:ascii="Arial" w:hAnsi="Arial"/>
      <w:kern w:val="0"/>
      <w:lang w:eastAsia="en-US"/>
    </w:rPr>
  </w:style>
  <w:style w:type="paragraph" w:styleId="23">
    <w:name w:val="List Continue"/>
    <w:basedOn w:val="1"/>
    <w:unhideWhenUsed/>
    <w:qFormat/>
    <w:uiPriority w:val="99"/>
    <w:pPr>
      <w:widowControl/>
      <w:suppressAutoHyphens/>
      <w:spacing w:after="120" w:line="276" w:lineRule="auto"/>
      <w:ind w:left="360"/>
      <w:contextualSpacing/>
      <w:jc w:val="left"/>
    </w:pPr>
    <w:rPr>
      <w:rFonts w:ascii="Arial" w:hAnsi="Arial"/>
      <w:kern w:val="0"/>
      <w:lang w:eastAsia="en-US"/>
    </w:rPr>
  </w:style>
  <w:style w:type="paragraph" w:styleId="24">
    <w:name w:val="List Bullet 2"/>
    <w:basedOn w:val="1"/>
    <w:unhideWhenUsed/>
    <w:qFormat/>
    <w:uiPriority w:val="99"/>
    <w:pPr>
      <w:widowControl/>
      <w:numPr>
        <w:ilvl w:val="0"/>
        <w:numId w:val="8"/>
      </w:numPr>
      <w:suppressAutoHyphens/>
      <w:spacing w:after="200" w:line="276" w:lineRule="auto"/>
      <w:contextualSpacing/>
      <w:jc w:val="left"/>
    </w:pPr>
    <w:rPr>
      <w:rFonts w:ascii="Arial" w:hAnsi="Arial"/>
      <w:kern w:val="0"/>
      <w:lang w:eastAsia="en-US"/>
    </w:rPr>
  </w:style>
  <w:style w:type="paragraph" w:styleId="25">
    <w:name w:val="toc 3"/>
    <w:basedOn w:val="1"/>
    <w:next w:val="1"/>
    <w:semiHidden/>
    <w:unhideWhenUsed/>
    <w:qFormat/>
    <w:uiPriority w:val="39"/>
    <w:pPr>
      <w:ind w:left="840" w:leftChars="400"/>
    </w:pPr>
  </w:style>
  <w:style w:type="paragraph" w:styleId="26">
    <w:name w:val="endnote text"/>
    <w:basedOn w:val="1"/>
    <w:link w:val="171"/>
    <w:semiHidden/>
    <w:unhideWhenUsed/>
    <w:qFormat/>
    <w:uiPriority w:val="99"/>
    <w:pPr>
      <w:widowControl/>
      <w:snapToGrid w:val="0"/>
      <w:spacing w:after="120" w:line="276" w:lineRule="auto"/>
      <w:jc w:val="left"/>
    </w:pPr>
    <w:rPr>
      <w:rFonts w:ascii="宋体" w:hAnsi="宋体" w:eastAsia="宋体"/>
      <w:kern w:val="0"/>
      <w:sz w:val="22"/>
      <w:lang w:eastAsia="en-US"/>
    </w:rPr>
  </w:style>
  <w:style w:type="paragraph" w:styleId="27">
    <w:name w:val="footer"/>
    <w:basedOn w:val="1"/>
    <w:link w:val="175"/>
    <w:unhideWhenUsed/>
    <w:qFormat/>
    <w:uiPriority w:val="99"/>
    <w:pPr>
      <w:tabs>
        <w:tab w:val="center" w:pos="4153"/>
        <w:tab w:val="right" w:pos="8306"/>
      </w:tabs>
      <w:snapToGrid w:val="0"/>
      <w:jc w:val="left"/>
    </w:pPr>
    <w:rPr>
      <w:sz w:val="18"/>
      <w:szCs w:val="18"/>
    </w:rPr>
  </w:style>
  <w:style w:type="paragraph" w:styleId="28">
    <w:name w:val="header"/>
    <w:basedOn w:val="1"/>
    <w:link w:val="174"/>
    <w:unhideWhenUsed/>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semiHidden/>
    <w:unhideWhenUsed/>
    <w:qFormat/>
    <w:uiPriority w:val="39"/>
  </w:style>
  <w:style w:type="paragraph" w:styleId="30">
    <w:name w:val="index heading"/>
    <w:basedOn w:val="31"/>
    <w:next w:val="32"/>
    <w:qFormat/>
    <w:uiPriority w:val="0"/>
  </w:style>
  <w:style w:type="paragraph" w:customStyle="1" w:styleId="31">
    <w:name w:val="Heading"/>
    <w:basedOn w:val="1"/>
    <w:next w:val="20"/>
    <w:qFormat/>
    <w:uiPriority w:val="0"/>
    <w:pPr>
      <w:keepNext/>
      <w:widowControl/>
      <w:suppressAutoHyphens/>
      <w:spacing w:before="240" w:after="120" w:line="276" w:lineRule="auto"/>
      <w:jc w:val="left"/>
    </w:pPr>
    <w:rPr>
      <w:rFonts w:ascii="Liberation Sans" w:hAnsi="Liberation Sans" w:eastAsia="Linux Libertine G" w:cs="Noto Sans"/>
      <w:kern w:val="0"/>
      <w:sz w:val="28"/>
      <w:szCs w:val="28"/>
      <w:lang w:eastAsia="en-US"/>
    </w:rPr>
  </w:style>
  <w:style w:type="paragraph" w:styleId="32">
    <w:name w:val="index 1"/>
    <w:basedOn w:val="1"/>
    <w:next w:val="1"/>
    <w:semiHidden/>
    <w:unhideWhenUsed/>
    <w:qFormat/>
    <w:uiPriority w:val="99"/>
  </w:style>
  <w:style w:type="paragraph" w:styleId="33">
    <w:name w:val="Subtitle"/>
    <w:basedOn w:val="1"/>
    <w:next w:val="1"/>
    <w:link w:val="161"/>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List"/>
    <w:basedOn w:val="1"/>
    <w:unhideWhenUsed/>
    <w:qFormat/>
    <w:uiPriority w:val="99"/>
    <w:pPr>
      <w:widowControl/>
      <w:suppressAutoHyphens/>
      <w:spacing w:after="200" w:line="276" w:lineRule="auto"/>
      <w:ind w:left="360" w:hanging="360"/>
      <w:contextualSpacing/>
      <w:jc w:val="left"/>
    </w:pPr>
    <w:rPr>
      <w:rFonts w:ascii="Arial" w:hAnsi="Arial"/>
      <w:kern w:val="0"/>
      <w:lang w:eastAsia="en-US"/>
    </w:rPr>
  </w:style>
  <w:style w:type="paragraph" w:styleId="35">
    <w:name w:val="footnote text"/>
    <w:basedOn w:val="1"/>
    <w:link w:val="169"/>
    <w:unhideWhenUsed/>
    <w:qFormat/>
    <w:uiPriority w:val="0"/>
    <w:pPr>
      <w:snapToGrid w:val="0"/>
      <w:jc w:val="left"/>
    </w:pPr>
    <w:rPr>
      <w:sz w:val="18"/>
    </w:rPr>
  </w:style>
  <w:style w:type="paragraph" w:styleId="36">
    <w:name w:val="toc 2"/>
    <w:basedOn w:val="1"/>
    <w:next w:val="1"/>
    <w:semiHidden/>
    <w:unhideWhenUsed/>
    <w:qFormat/>
    <w:uiPriority w:val="39"/>
    <w:pPr>
      <w:ind w:left="420" w:leftChars="200"/>
    </w:pPr>
  </w:style>
  <w:style w:type="paragraph" w:styleId="37">
    <w:name w:val="Body Text 2"/>
    <w:basedOn w:val="1"/>
    <w:link w:val="179"/>
    <w:unhideWhenUsed/>
    <w:qFormat/>
    <w:uiPriority w:val="99"/>
    <w:pPr>
      <w:widowControl/>
      <w:suppressAutoHyphens/>
      <w:spacing w:after="120" w:line="480" w:lineRule="auto"/>
      <w:jc w:val="left"/>
    </w:pPr>
    <w:rPr>
      <w:rFonts w:ascii="Arial" w:hAnsi="Arial"/>
      <w:kern w:val="0"/>
      <w:lang w:eastAsia="en-US"/>
    </w:rPr>
  </w:style>
  <w:style w:type="paragraph" w:styleId="38">
    <w:name w:val="List Continue 2"/>
    <w:basedOn w:val="1"/>
    <w:unhideWhenUsed/>
    <w:qFormat/>
    <w:uiPriority w:val="99"/>
    <w:pPr>
      <w:widowControl/>
      <w:suppressAutoHyphens/>
      <w:spacing w:after="120" w:line="276" w:lineRule="auto"/>
      <w:ind w:left="720"/>
      <w:contextualSpacing/>
      <w:jc w:val="left"/>
    </w:pPr>
    <w:rPr>
      <w:rFonts w:ascii="Arial" w:hAnsi="Arial"/>
      <w:kern w:val="0"/>
      <w:lang w:eastAsia="en-US"/>
    </w:rPr>
  </w:style>
  <w:style w:type="paragraph" w:styleId="39">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paragraph" w:styleId="40">
    <w:name w:val="List Continue 3"/>
    <w:basedOn w:val="1"/>
    <w:unhideWhenUsed/>
    <w:qFormat/>
    <w:uiPriority w:val="99"/>
    <w:pPr>
      <w:widowControl/>
      <w:suppressAutoHyphens/>
      <w:spacing w:after="120" w:line="276" w:lineRule="auto"/>
      <w:ind w:left="1080"/>
      <w:contextualSpacing/>
      <w:jc w:val="left"/>
    </w:pPr>
    <w:rPr>
      <w:rFonts w:ascii="Arial" w:hAnsi="Arial"/>
      <w:kern w:val="0"/>
      <w:lang w:eastAsia="en-US"/>
    </w:rPr>
  </w:style>
  <w:style w:type="paragraph" w:styleId="41">
    <w:name w:val="Title"/>
    <w:basedOn w:val="1"/>
    <w:next w:val="1"/>
    <w:link w:val="160"/>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42">
    <w:name w:val="annotation subject"/>
    <w:basedOn w:val="17"/>
    <w:next w:val="17"/>
    <w:link w:val="173"/>
    <w:semiHidden/>
    <w:unhideWhenUsed/>
    <w:qFormat/>
    <w:uiPriority w:val="99"/>
    <w:pPr>
      <w:widowControl w:val="0"/>
      <w:suppressAutoHyphens w:val="0"/>
      <w:spacing w:after="0" w:line="240" w:lineRule="auto"/>
    </w:pPr>
    <w:rPr>
      <w:rFonts w:asciiTheme="minorHAnsi" w:hAnsiTheme="minorHAnsi"/>
      <w:b/>
      <w:bCs/>
      <w:kern w:val="2"/>
      <w:lang w:eastAsia="zh-CN"/>
    </w:rPr>
  </w:style>
  <w:style w:type="table" w:styleId="44">
    <w:name w:val="Table Grid"/>
    <w:basedOn w:val="4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Light Shading"/>
    <w:basedOn w:val="43"/>
    <w:qFormat/>
    <w:uiPriority w:val="60"/>
    <w:rPr>
      <w:rFonts w:asciiTheme="minorHAnsi" w:hAnsiTheme="minorHAnsi" w:eastAsiaTheme="minorEastAsia" w:cstheme="minorBidi"/>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6">
    <w:name w:val="Light Shading Accent 1"/>
    <w:basedOn w:val="43"/>
    <w:qFormat/>
    <w:uiPriority w:val="60"/>
    <w:rPr>
      <w:rFonts w:asciiTheme="minorHAnsi" w:hAnsiTheme="minorHAnsi" w:eastAsiaTheme="minorEastAsia" w:cstheme="minorBidi"/>
      <w:color w:val="104862" w:themeColor="accent1" w:themeShade="BF"/>
    </w:rPr>
    <w:tblPr>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47">
    <w:name w:val="Light Shading Accent 2"/>
    <w:basedOn w:val="43"/>
    <w:qFormat/>
    <w:uiPriority w:val="60"/>
    <w:rPr>
      <w:rFonts w:asciiTheme="minorHAnsi" w:hAnsiTheme="minorHAnsi" w:eastAsiaTheme="minorEastAsia" w:cstheme="minorBidi"/>
      <w:color w:val="C04F15" w:themeColor="accent2" w:themeShade="BF"/>
    </w:rPr>
    <w:tblPr>
      <w:tblBorders>
        <w:top w:val="single" w:color="E97132" w:themeColor="accent2" w:sz="8" w:space="0"/>
        <w:bottom w:val="single" w:color="E97132" w:themeColor="accent2" w:sz="8" w:space="0"/>
      </w:tblBorders>
    </w:tblPr>
    <w:tblStylePr w:type="fir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la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48">
    <w:name w:val="Light Shading Accent 3"/>
    <w:basedOn w:val="43"/>
    <w:qFormat/>
    <w:uiPriority w:val="60"/>
    <w:rPr>
      <w:rFonts w:asciiTheme="minorHAnsi" w:hAnsiTheme="minorHAnsi" w:eastAsiaTheme="minorEastAsia" w:cstheme="minorBidi"/>
      <w:color w:val="13501B" w:themeColor="accent3" w:themeShade="BF"/>
    </w:rPr>
    <w:tblPr>
      <w:tblBorders>
        <w:top w:val="single" w:color="196B24" w:themeColor="accent3" w:sz="8" w:space="0"/>
        <w:bottom w:val="single" w:color="196B24" w:themeColor="accent3" w:sz="8" w:space="0"/>
      </w:tblBorders>
    </w:tblPr>
    <w:tblStylePr w:type="fir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la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left w:val="nil"/>
          <w:right w:val="nil"/>
          <w:insideH w:val="nil"/>
          <w:insideV w:val="nil"/>
        </w:tcBorders>
        <w:shd w:val="clear" w:color="auto" w:fill="B3EDBB" w:themeFill="accent3" w:themeFillTint="3F"/>
      </w:tcPr>
    </w:tblStylePr>
  </w:style>
  <w:style w:type="table" w:styleId="49">
    <w:name w:val="Light Shading Accent 4"/>
    <w:basedOn w:val="43"/>
    <w:qFormat/>
    <w:uiPriority w:val="60"/>
    <w:rPr>
      <w:rFonts w:asciiTheme="minorHAnsi" w:hAnsiTheme="minorHAnsi" w:eastAsiaTheme="minorEastAsia" w:cstheme="minorBidi"/>
      <w:color w:val="0B77A0" w:themeColor="accent4" w:themeShade="BF"/>
    </w:rPr>
    <w:tblPr>
      <w:tblBorders>
        <w:top w:val="single" w:color="0F9ED5" w:themeColor="accent4" w:sz="8" w:space="0"/>
        <w:bottom w:val="single" w:color="0F9ED5" w:themeColor="accent4" w:sz="8" w:space="0"/>
      </w:tblBorders>
    </w:tblPr>
    <w:tblStylePr w:type="fir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la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0">
    <w:name w:val="Light Shading Accent 5"/>
    <w:basedOn w:val="43"/>
    <w:qFormat/>
    <w:uiPriority w:val="60"/>
    <w:rPr>
      <w:rFonts w:asciiTheme="minorHAnsi" w:hAnsiTheme="minorHAnsi" w:eastAsiaTheme="minorEastAsia" w:cstheme="minorBidi"/>
      <w:color w:val="78206E" w:themeColor="accent5" w:themeShade="BF"/>
    </w:rPr>
    <w:tblPr>
      <w:tblBorders>
        <w:top w:val="single" w:color="A02B93" w:themeColor="accent5" w:sz="8" w:space="0"/>
        <w:bottom w:val="single" w:color="A02B93" w:themeColor="accent5" w:sz="8" w:space="0"/>
      </w:tblBorders>
    </w:tblPr>
    <w:tblStylePr w:type="fir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la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left w:val="nil"/>
          <w:right w:val="nil"/>
          <w:insideH w:val="nil"/>
          <w:insideV w:val="nil"/>
        </w:tcBorders>
        <w:shd w:val="clear" w:color="auto" w:fill="EEC3EA" w:themeFill="accent5" w:themeFillTint="3F"/>
      </w:tcPr>
    </w:tblStylePr>
  </w:style>
  <w:style w:type="table" w:styleId="51">
    <w:name w:val="Light Shading Accent 6"/>
    <w:basedOn w:val="43"/>
    <w:qFormat/>
    <w:uiPriority w:val="60"/>
    <w:rPr>
      <w:rFonts w:asciiTheme="minorHAnsi" w:hAnsiTheme="minorHAnsi" w:eastAsiaTheme="minorEastAsia" w:cstheme="minorBidi"/>
      <w:color w:val="3B7D23" w:themeColor="accent6" w:themeShade="BF"/>
    </w:rPr>
    <w:tblPr>
      <w:tblBorders>
        <w:top w:val="single" w:color="4EA72E" w:themeColor="accent6" w:sz="8" w:space="0"/>
        <w:bottom w:val="single" w:color="4EA72E" w:themeColor="accent6" w:sz="8" w:space="0"/>
      </w:tblBorders>
    </w:tblPr>
    <w:tblStylePr w:type="fir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la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52">
    <w:name w:val="Light List"/>
    <w:basedOn w:val="43"/>
    <w:qFormat/>
    <w:uiPriority w:val="61"/>
    <w:rPr>
      <w:rFonts w:asciiTheme="minorHAnsi" w:hAnsiTheme="minorHAnsi" w:eastAsiaTheme="minorEastAsia" w:cstheme="minorBidi"/>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3">
    <w:name w:val="Light List Accent 1"/>
    <w:basedOn w:val="43"/>
    <w:qFormat/>
    <w:uiPriority w:val="61"/>
    <w:rPr>
      <w:rFonts w:asciiTheme="minorHAnsi" w:hAnsiTheme="minorHAnsi" w:eastAsiaTheme="minorEastAsia" w:cstheme="minorBidi"/>
    </w:r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firstCol">
      <w:rPr>
        <w:b/>
        <w:bCs/>
      </w:rPr>
    </w:tblStylePr>
    <w:tblStylePr w:type="lastCol">
      <w:rPr>
        <w:b/>
        <w:bCs/>
      </w:r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style>
  <w:style w:type="table" w:styleId="54">
    <w:name w:val="Light List Accent 2"/>
    <w:basedOn w:val="43"/>
    <w:qFormat/>
    <w:uiPriority w:val="61"/>
    <w:rPr>
      <w:rFonts w:asciiTheme="minorHAnsi" w:hAnsiTheme="minorHAnsi" w:eastAsiaTheme="minorEastAsia" w:cstheme="minorBidi"/>
    </w:r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97132" w:themeFill="accent2"/>
      </w:tcPr>
    </w:tblStylePr>
    <w:tblStylePr w:type="lastRow">
      <w:pPr>
        <w:spacing w:before="0" w:after="0" w:line="240" w:lineRule="auto"/>
      </w:pPr>
      <w:rPr>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firstCol">
      <w:rPr>
        <w:b/>
        <w:bCs/>
      </w:rPr>
    </w:tblStylePr>
    <w:tblStylePr w:type="lastCol">
      <w:rPr>
        <w:b/>
        <w:bCs/>
      </w:r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style>
  <w:style w:type="table" w:styleId="55">
    <w:name w:val="Light List Accent 3"/>
    <w:basedOn w:val="43"/>
    <w:qFormat/>
    <w:uiPriority w:val="61"/>
    <w:rPr>
      <w:rFonts w:asciiTheme="minorHAnsi" w:hAnsiTheme="minorHAnsi" w:eastAsiaTheme="minorEastAsia" w:cstheme="minorBidi"/>
    </w:r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96B24" w:themeFill="accent3"/>
      </w:tcPr>
    </w:tblStylePr>
    <w:tblStylePr w:type="lastRow">
      <w:pPr>
        <w:spacing w:before="0" w:after="0" w:line="240" w:lineRule="auto"/>
      </w:pPr>
      <w:rPr>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firstCol">
      <w:rPr>
        <w:b/>
        <w:bCs/>
      </w:rPr>
    </w:tblStylePr>
    <w:tblStylePr w:type="lastCol">
      <w:rPr>
        <w:b/>
        <w:bCs/>
      </w:r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style>
  <w:style w:type="table" w:styleId="56">
    <w:name w:val="Light List Accent 4"/>
    <w:basedOn w:val="43"/>
    <w:qFormat/>
    <w:uiPriority w:val="61"/>
    <w:rPr>
      <w:rFonts w:asciiTheme="minorHAnsi" w:hAnsiTheme="minorHAnsi" w:eastAsiaTheme="minorEastAsia" w:cstheme="minorBidi"/>
    </w:r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F9ED5" w:themeFill="accent4"/>
      </w:tcPr>
    </w:tblStylePr>
    <w:tblStylePr w:type="lastRow">
      <w:pPr>
        <w:spacing w:before="0" w:after="0" w:line="240" w:lineRule="auto"/>
      </w:pPr>
      <w:rPr>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tcBorders>
      </w:tcPr>
    </w:tblStylePr>
    <w:tblStylePr w:type="firstCol">
      <w:rPr>
        <w:b/>
        <w:bCs/>
      </w:rPr>
    </w:tblStylePr>
    <w:tblStylePr w:type="lastCol">
      <w:rPr>
        <w:b/>
        <w:bCs/>
      </w:r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style>
  <w:style w:type="table" w:styleId="57">
    <w:name w:val="Light List Accent 5"/>
    <w:basedOn w:val="43"/>
    <w:qFormat/>
    <w:uiPriority w:val="61"/>
    <w:rPr>
      <w:rFonts w:asciiTheme="minorHAnsi" w:hAnsiTheme="minorHAnsi" w:eastAsiaTheme="minorEastAsia" w:cstheme="minorBidi"/>
    </w:r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2B93" w:themeFill="accent5"/>
      </w:tcPr>
    </w:tblStylePr>
    <w:tblStylePr w:type="lastRow">
      <w:pPr>
        <w:spacing w:before="0" w:after="0" w:line="240" w:lineRule="auto"/>
      </w:pPr>
      <w:rPr>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tcBorders>
      </w:tcPr>
    </w:tblStylePr>
    <w:tblStylePr w:type="firstCol">
      <w:rPr>
        <w:b/>
        <w:bCs/>
      </w:rPr>
    </w:tblStylePr>
    <w:tblStylePr w:type="lastCol">
      <w:rPr>
        <w:b/>
        <w:bCs/>
      </w:r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style>
  <w:style w:type="table" w:styleId="58">
    <w:name w:val="Light List Accent 6"/>
    <w:basedOn w:val="43"/>
    <w:qFormat/>
    <w:uiPriority w:val="61"/>
    <w:rPr>
      <w:rFonts w:asciiTheme="minorHAnsi" w:hAnsiTheme="minorHAnsi" w:eastAsiaTheme="minorEastAsia" w:cstheme="minorBidi"/>
    </w:r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EA72E" w:themeFill="accent6"/>
      </w:tcPr>
    </w:tblStylePr>
    <w:tblStylePr w:type="lastRow">
      <w:pPr>
        <w:spacing w:before="0" w:after="0" w:line="240" w:lineRule="auto"/>
      </w:pPr>
      <w:rPr>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tcBorders>
      </w:tcPr>
    </w:tblStylePr>
    <w:tblStylePr w:type="firstCol">
      <w:rPr>
        <w:b/>
        <w:bCs/>
      </w:rPr>
    </w:tblStylePr>
    <w:tblStylePr w:type="lastCol">
      <w:rPr>
        <w:b/>
        <w:bCs/>
      </w:r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style>
  <w:style w:type="table" w:styleId="59">
    <w:name w:val="Light Grid"/>
    <w:basedOn w:val="43"/>
    <w:qFormat/>
    <w:uiPriority w:val="62"/>
    <w:rPr>
      <w:rFonts w:asciiTheme="minorHAnsi" w:hAnsiTheme="minorHAnsi" w:eastAsiaTheme="minorEastAsia" w:cstheme="minorBidi"/>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0">
    <w:name w:val="Light Grid Accent 1"/>
    <w:basedOn w:val="43"/>
    <w:qFormat/>
    <w:uiPriority w:val="62"/>
    <w:rPr>
      <w:rFonts w:asciiTheme="minorHAnsi" w:hAnsiTheme="minorHAnsi" w:eastAsiaTheme="minorEastAsia" w:cstheme="minorBidi"/>
    </w:r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tcPr>
    </w:tblStylePr>
  </w:style>
  <w:style w:type="table" w:styleId="61">
    <w:name w:val="Light Grid Accent 2"/>
    <w:basedOn w:val="43"/>
    <w:qFormat/>
    <w:uiPriority w:val="62"/>
    <w:rPr>
      <w:rFonts w:asciiTheme="minorHAnsi" w:hAnsiTheme="minorHAnsi" w:eastAsiaTheme="minorEastAsia" w:cstheme="minorBidi"/>
    </w:r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18" w:space="0"/>
          <w:right w:val="single" w:color="E97132"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shd w:val="clear" w:color="auto" w:fill="F9DBCC" w:themeFill="accent2" w:themeFillTint="3F"/>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shd w:val="clear" w:color="auto" w:fill="F9DBCC" w:themeFill="accent2" w:themeFillTint="3F"/>
      </w:tcPr>
    </w:tblStylePr>
    <w:tblStylePr w:type="band2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tcPr>
    </w:tblStylePr>
  </w:style>
  <w:style w:type="table" w:styleId="62">
    <w:name w:val="Light Grid Accent 3"/>
    <w:basedOn w:val="43"/>
    <w:qFormat/>
    <w:uiPriority w:val="62"/>
    <w:rPr>
      <w:rFonts w:asciiTheme="minorHAnsi" w:hAnsiTheme="minorHAnsi" w:eastAsiaTheme="minorEastAsia" w:cstheme="minorBidi"/>
    </w:r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18" w:space="0"/>
          <w:right w:val="single" w:color="196B24"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shd w:val="clear" w:color="auto" w:fill="B3EDBB" w:themeFill="accent3" w:themeFillTint="3F"/>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shd w:val="clear" w:color="auto" w:fill="B3EDBB" w:themeFill="accent3" w:themeFillTint="3F"/>
      </w:tcPr>
    </w:tblStylePr>
    <w:tblStylePr w:type="band2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tcPr>
    </w:tblStylePr>
  </w:style>
  <w:style w:type="table" w:styleId="63">
    <w:name w:val="Light Grid Accent 4"/>
    <w:basedOn w:val="43"/>
    <w:qFormat/>
    <w:uiPriority w:val="62"/>
    <w:rPr>
      <w:rFonts w:asciiTheme="minorHAnsi" w:hAnsiTheme="minorHAnsi" w:eastAsiaTheme="minorEastAsia" w:cstheme="minorBidi"/>
    </w:r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18" w:space="0"/>
          <w:right w:val="single" w:color="0F9ED5"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shd w:val="clear" w:color="auto" w:fill="BDE9FA" w:themeFill="accent4" w:themeFillTint="3F"/>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shd w:val="clear" w:color="auto" w:fill="BDE9FA" w:themeFill="accent4" w:themeFillTint="3F"/>
      </w:tcPr>
    </w:tblStylePr>
    <w:tblStylePr w:type="band2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tcPr>
    </w:tblStylePr>
  </w:style>
  <w:style w:type="table" w:styleId="64">
    <w:name w:val="Light Grid Accent 5"/>
    <w:basedOn w:val="43"/>
    <w:qFormat/>
    <w:uiPriority w:val="62"/>
    <w:rPr>
      <w:rFonts w:asciiTheme="minorHAnsi" w:hAnsiTheme="minorHAnsi" w:eastAsiaTheme="minorEastAsia" w:cstheme="minorBidi"/>
    </w:r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18" w:space="0"/>
          <w:right w:val="single" w:color="A02B93"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shd w:val="clear" w:color="auto" w:fill="EEC3EA" w:themeFill="accent5" w:themeFillTint="3F"/>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shd w:val="clear" w:color="auto" w:fill="EEC3EA" w:themeFill="accent5" w:themeFillTint="3F"/>
      </w:tcPr>
    </w:tblStylePr>
    <w:tblStylePr w:type="band2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tcPr>
    </w:tblStylePr>
  </w:style>
  <w:style w:type="table" w:styleId="65">
    <w:name w:val="Light Grid Accent 6"/>
    <w:basedOn w:val="43"/>
    <w:qFormat/>
    <w:uiPriority w:val="62"/>
    <w:rPr>
      <w:rFonts w:asciiTheme="minorHAnsi" w:hAnsiTheme="minorHAnsi" w:eastAsiaTheme="minorEastAsia" w:cstheme="minorBidi"/>
    </w:r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18" w:space="0"/>
          <w:right w:val="single" w:color="4EA72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shd w:val="clear" w:color="auto" w:fill="D0EFC5" w:themeFill="accent6" w:themeFillTint="3F"/>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shd w:val="clear" w:color="auto" w:fill="D0EFC5" w:themeFill="accent6" w:themeFillTint="3F"/>
      </w:tcPr>
    </w:tblStylePr>
    <w:tblStylePr w:type="band2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tcPr>
    </w:tblStylePr>
  </w:style>
  <w:style w:type="table" w:styleId="66">
    <w:name w:val="Medium Shading 1"/>
    <w:basedOn w:val="43"/>
    <w:qFormat/>
    <w:uiPriority w:val="63"/>
    <w:rPr>
      <w:rFonts w:asciiTheme="minorHAnsi" w:hAnsiTheme="minorHAnsi" w:eastAsiaTheme="minorEastAsia" w:cstheme="minorBidi"/>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7">
    <w:name w:val="Medium Shading 1 Accent 1"/>
    <w:basedOn w:val="43"/>
    <w:qFormat/>
    <w:uiPriority w:val="63"/>
    <w:rPr>
      <w:rFonts w:asciiTheme="minorHAnsi" w:hAnsiTheme="minorHAnsi" w:eastAsiaTheme="minorEastAsia" w:cstheme="minorBidi"/>
    </w:r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H w:val="nil"/>
          <w:insideV w:val="nil"/>
        </w:tcBorders>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68">
    <w:name w:val="Medium Shading 1 Accent 2"/>
    <w:basedOn w:val="43"/>
    <w:qFormat/>
    <w:uiPriority w:val="63"/>
    <w:rPr>
      <w:rFonts w:asciiTheme="minorHAnsi" w:hAnsiTheme="minorHAnsi" w:eastAsiaTheme="minorEastAsia" w:cstheme="minorBidi"/>
    </w:r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H w:val="nil"/>
          <w:insideV w:val="nil"/>
        </w:tcBorders>
        <w:shd w:val="clear" w:color="auto" w:fill="E97132" w:themeFill="accent2"/>
      </w:tcPr>
    </w:tblStylePr>
    <w:tblStylePr w:type="lastRow">
      <w:pPr>
        <w:spacing w:before="0" w:after="0" w:line="240" w:lineRule="auto"/>
      </w:pPr>
      <w:rPr>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69">
    <w:name w:val="Medium Shading 1 Accent 3"/>
    <w:basedOn w:val="43"/>
    <w:qFormat/>
    <w:uiPriority w:val="63"/>
    <w:rPr>
      <w:rFonts w:asciiTheme="minorHAnsi" w:hAnsiTheme="minorHAnsi" w:eastAsiaTheme="minorEastAsia" w:cstheme="minorBidi"/>
    </w:r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insideH w:val="nil"/>
          <w:insideV w:val="nil"/>
        </w:tcBorders>
      </w:tcPr>
    </w:tblStylePr>
    <w:tblStylePr w:type="firstCol">
      <w:rPr>
        <w:b/>
        <w:bCs/>
      </w:rPr>
    </w:tblStylePr>
    <w:tblStylePr w:type="lastCol">
      <w:rPr>
        <w:b/>
        <w:bCs/>
      </w:rPr>
    </w:tblStylePr>
    <w:tblStylePr w:type="band1Vert">
      <w:tblPr/>
      <w:tcPr>
        <w:shd w:val="clear" w:color="auto" w:fill="B3EDBB" w:themeFill="accent3" w:themeFillTint="3F"/>
      </w:tcPr>
    </w:tblStylePr>
    <w:tblStylePr w:type="band1Horz">
      <w:tblPr/>
      <w:tcPr>
        <w:tcBorders>
          <w:insideH w:val="nil"/>
          <w:insideV w:val="nil"/>
        </w:tcBorders>
        <w:shd w:val="clear" w:color="auto" w:fill="B3EDBB" w:themeFill="accent3" w:themeFillTint="3F"/>
      </w:tcPr>
    </w:tblStylePr>
    <w:tblStylePr w:type="band2Horz">
      <w:tblPr/>
      <w:tcPr>
        <w:tcBorders>
          <w:insideH w:val="nil"/>
          <w:insideV w:val="nil"/>
        </w:tcBorders>
      </w:tcPr>
    </w:tblStylePr>
  </w:style>
  <w:style w:type="table" w:styleId="70">
    <w:name w:val="Medium Shading 1 Accent 4"/>
    <w:basedOn w:val="43"/>
    <w:qFormat/>
    <w:uiPriority w:val="63"/>
    <w:rPr>
      <w:rFonts w:asciiTheme="minorHAnsi" w:hAnsiTheme="minorHAnsi" w:eastAsiaTheme="minorEastAsia" w:cstheme="minorBidi"/>
    </w:r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H w:val="nil"/>
          <w:insideV w:val="nil"/>
        </w:tcBorders>
        <w:shd w:val="clear" w:color="auto" w:fill="0F9ED5" w:themeFill="accent4"/>
      </w:tcPr>
    </w:tblStylePr>
    <w:tblStylePr w:type="lastRow">
      <w:pPr>
        <w:spacing w:before="0" w:after="0" w:line="240" w:lineRule="auto"/>
      </w:pPr>
      <w:rPr>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71">
    <w:name w:val="Medium Shading 1 Accent 5"/>
    <w:basedOn w:val="43"/>
    <w:qFormat/>
    <w:uiPriority w:val="63"/>
    <w:rPr>
      <w:rFonts w:asciiTheme="minorHAnsi" w:hAnsiTheme="minorHAnsi" w:eastAsiaTheme="minorEastAsia" w:cstheme="minorBidi"/>
    </w:r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H w:val="nil"/>
          <w:insideV w:val="nil"/>
        </w:tcBorders>
        <w:shd w:val="clear" w:color="auto" w:fill="A02B93" w:themeFill="accent5"/>
      </w:tcPr>
    </w:tblStylePr>
    <w:tblStylePr w:type="lastRow">
      <w:pPr>
        <w:spacing w:before="0" w:after="0" w:line="240" w:lineRule="auto"/>
      </w:pPr>
      <w:rPr>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insideH w:val="nil"/>
          <w:insideV w:val="nil"/>
        </w:tcBorders>
      </w:tcPr>
    </w:tblStylePr>
    <w:tblStylePr w:type="firstCol">
      <w:rPr>
        <w:b/>
        <w:bCs/>
      </w:rPr>
    </w:tblStylePr>
    <w:tblStylePr w:type="lastCol">
      <w:rPr>
        <w:b/>
        <w:bCs/>
      </w:rPr>
    </w:tblStylePr>
    <w:tblStylePr w:type="band1Vert">
      <w:tblPr/>
      <w:tcPr>
        <w:shd w:val="clear" w:color="auto" w:fill="EEC3EA" w:themeFill="accent5" w:themeFillTint="3F"/>
      </w:tcPr>
    </w:tblStylePr>
    <w:tblStylePr w:type="band1Horz">
      <w:tblPr/>
      <w:tcPr>
        <w:tcBorders>
          <w:insideH w:val="nil"/>
          <w:insideV w:val="nil"/>
        </w:tcBorders>
        <w:shd w:val="clear" w:color="auto" w:fill="EEC3EA" w:themeFill="accent5" w:themeFillTint="3F"/>
      </w:tcPr>
    </w:tblStylePr>
    <w:tblStylePr w:type="band2Horz">
      <w:tblPr/>
      <w:tcPr>
        <w:tcBorders>
          <w:insideH w:val="nil"/>
          <w:insideV w:val="nil"/>
        </w:tcBorders>
      </w:tcPr>
    </w:tblStylePr>
  </w:style>
  <w:style w:type="table" w:styleId="72">
    <w:name w:val="Medium Shading 1 Accent 6"/>
    <w:basedOn w:val="43"/>
    <w:qFormat/>
    <w:uiPriority w:val="63"/>
    <w:rPr>
      <w:rFonts w:asciiTheme="minorHAnsi" w:hAnsiTheme="minorHAnsi" w:eastAsiaTheme="minorEastAsia" w:cstheme="minorBidi"/>
    </w:r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H w:val="nil"/>
          <w:insideV w:val="nil"/>
        </w:tcBorders>
        <w:shd w:val="clear" w:color="auto" w:fill="4EA72E" w:themeFill="accent6"/>
      </w:tcPr>
    </w:tblStylePr>
    <w:tblStylePr w:type="lastRow">
      <w:pPr>
        <w:spacing w:before="0" w:after="0" w:line="240" w:lineRule="auto"/>
      </w:pPr>
      <w:rPr>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73">
    <w:name w:val="Medium Shading 2"/>
    <w:basedOn w:val="43"/>
    <w:qFormat/>
    <w:uiPriority w:val="64"/>
    <w:rPr>
      <w:rFonts w:asciiTheme="minorHAnsi" w:hAnsiTheme="minorHAnsi" w:eastAsiaTheme="minorEastAsia" w:cstheme="minorBidi"/>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1"/>
    <w:basedOn w:val="43"/>
    <w:qFormat/>
    <w:uiPriority w:val="64"/>
    <w:rPr>
      <w:rFonts w:asciiTheme="minorHAnsi" w:hAnsiTheme="minorHAnsi" w:eastAsiaTheme="minorEastAsia" w:cstheme="minorBidi"/>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56082"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2"/>
    <w:basedOn w:val="43"/>
    <w:qFormat/>
    <w:uiPriority w:val="64"/>
    <w:rPr>
      <w:rFonts w:asciiTheme="minorHAnsi" w:hAnsiTheme="minorHAnsi" w:eastAsiaTheme="minorEastAsia" w:cstheme="minorBidi"/>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97132"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3"/>
    <w:basedOn w:val="43"/>
    <w:qFormat/>
    <w:uiPriority w:val="64"/>
    <w:rPr>
      <w:rFonts w:asciiTheme="minorHAnsi" w:hAnsiTheme="minorHAnsi" w:eastAsiaTheme="minorEastAsia" w:cstheme="minorBidi"/>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96B24"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4"/>
    <w:basedOn w:val="43"/>
    <w:qFormat/>
    <w:uiPriority w:val="64"/>
    <w:rPr>
      <w:rFonts w:asciiTheme="minorHAnsi" w:hAnsiTheme="minorHAnsi" w:eastAsiaTheme="minorEastAsia" w:cstheme="minorBidi"/>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F9ED5"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5"/>
    <w:basedOn w:val="43"/>
    <w:qFormat/>
    <w:uiPriority w:val="64"/>
    <w:rPr>
      <w:rFonts w:asciiTheme="minorHAnsi" w:hAnsiTheme="minorHAnsi" w:eastAsiaTheme="minorEastAsia" w:cstheme="minorBidi"/>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02B93"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6"/>
    <w:basedOn w:val="43"/>
    <w:qFormat/>
    <w:uiPriority w:val="64"/>
    <w:rPr>
      <w:rFonts w:asciiTheme="minorHAnsi" w:hAnsiTheme="minorHAnsi" w:eastAsiaTheme="minorEastAsia" w:cstheme="minorBidi"/>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EA72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List 1"/>
    <w:basedOn w:val="43"/>
    <w:qFormat/>
    <w:uiPriority w:val="65"/>
    <w:rPr>
      <w:rFonts w:asciiTheme="minorHAnsi" w:hAnsiTheme="minorHAnsi" w:eastAsiaTheme="minorEastAsia" w:cstheme="minorBidi"/>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E2841"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1">
    <w:name w:val="Medium List 1 Accent 1"/>
    <w:basedOn w:val="43"/>
    <w:qFormat/>
    <w:uiPriority w:val="65"/>
    <w:rPr>
      <w:rFonts w:asciiTheme="minorHAnsi" w:hAnsiTheme="minorHAnsi" w:eastAsiaTheme="minorEastAsia" w:cstheme="minorBidi"/>
      <w:color w:val="000000" w:themeColor="text1"/>
      <w14:textFill>
        <w14:solidFill>
          <w14:schemeClr w14:val="tx1"/>
        </w14:solidFill>
      </w14:textFill>
    </w:rPr>
    <w:tblPr>
      <w:tblBorders>
        <w:top w:val="single" w:color="156082" w:themeColor="accent1" w:sz="8" w:space="0"/>
        <w:bottom w:val="single" w:color="156082" w:themeColor="accent1" w:sz="8" w:space="0"/>
      </w:tblBorders>
    </w:tblPr>
    <w:tblStylePr w:type="firstRow">
      <w:rPr>
        <w:rFonts w:asciiTheme="majorHAnsi" w:hAnsiTheme="majorHAnsi" w:eastAsiaTheme="majorEastAsia" w:cstheme="majorBidi"/>
      </w:rPr>
      <w:tblPr/>
      <w:tcPr>
        <w:tcBorders>
          <w:top w:val="nil"/>
          <w:bottom w:val="single" w:color="156082" w:themeColor="accent1" w:sz="8" w:space="0"/>
        </w:tcBorders>
      </w:tcPr>
    </w:tblStylePr>
    <w:tblStylePr w:type="lastRow">
      <w:rPr>
        <w:b/>
        <w:bCs/>
        <w:color w:val="0E2841" w:themeColor="text2"/>
        <w14:textFill>
          <w14:solidFill>
            <w14:schemeClr w14:val="tx2"/>
          </w14:solidFill>
        </w14:textFill>
      </w:rPr>
      <w:tblPr/>
      <w:tcPr>
        <w:tcBorders>
          <w:top w:val="single" w:color="156082" w:themeColor="accent1" w:sz="8" w:space="0"/>
          <w:bottom w:val="single" w:color="156082" w:themeColor="accent1" w:sz="8" w:space="0"/>
        </w:tcBorders>
      </w:tcPr>
    </w:tblStylePr>
    <w:tblStylePr w:type="firstCol">
      <w:rPr>
        <w:b/>
        <w:bCs/>
      </w:rPr>
    </w:tblStylePr>
    <w:tblStylePr w:type="lastCol">
      <w:rPr>
        <w:b/>
        <w:bCs/>
      </w:rPr>
      <w:tblPr/>
      <w:tcPr>
        <w:tcBorders>
          <w:top w:val="single" w:color="156082" w:themeColor="accent1" w:sz="8" w:space="0"/>
          <w:bottom w:val="single" w:color="156082" w:themeColor="accent1" w:sz="8" w:space="0"/>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82">
    <w:name w:val="Medium List 1 Accent 2"/>
    <w:basedOn w:val="43"/>
    <w:qFormat/>
    <w:uiPriority w:val="65"/>
    <w:rPr>
      <w:rFonts w:asciiTheme="minorHAnsi" w:hAnsiTheme="minorHAnsi" w:eastAsiaTheme="minorEastAsia" w:cstheme="minorBidi"/>
      <w:color w:val="000000" w:themeColor="text1"/>
      <w14:textFill>
        <w14:solidFill>
          <w14:schemeClr w14:val="tx1"/>
        </w14:solidFill>
      </w14:textFill>
    </w:rPr>
    <w:tblPr>
      <w:tblBorders>
        <w:top w:val="single" w:color="E97132" w:themeColor="accent2" w:sz="8" w:space="0"/>
        <w:bottom w:val="single" w:color="E97132" w:themeColor="accent2" w:sz="8" w:space="0"/>
      </w:tblBorders>
    </w:tblPr>
    <w:tblStylePr w:type="firstRow">
      <w:rPr>
        <w:rFonts w:asciiTheme="majorHAnsi" w:hAnsiTheme="majorHAnsi" w:eastAsiaTheme="majorEastAsia" w:cstheme="majorBidi"/>
      </w:rPr>
      <w:tblPr/>
      <w:tcPr>
        <w:tcBorders>
          <w:top w:val="nil"/>
          <w:bottom w:val="single" w:color="E97132" w:themeColor="accent2" w:sz="8" w:space="0"/>
        </w:tcBorders>
      </w:tcPr>
    </w:tblStylePr>
    <w:tblStylePr w:type="lastRow">
      <w:rPr>
        <w:b/>
        <w:bCs/>
        <w:color w:val="0E2841" w:themeColor="text2"/>
        <w14:textFill>
          <w14:solidFill>
            <w14:schemeClr w14:val="tx2"/>
          </w14:solidFill>
        </w14:textFill>
      </w:rPr>
      <w:tblPr/>
      <w:tcPr>
        <w:tcBorders>
          <w:top w:val="single" w:color="E97132" w:themeColor="accent2" w:sz="8" w:space="0"/>
          <w:bottom w:val="single" w:color="E97132" w:themeColor="accent2" w:sz="8" w:space="0"/>
        </w:tcBorders>
      </w:tcPr>
    </w:tblStylePr>
    <w:tblStylePr w:type="firstCol">
      <w:rPr>
        <w:b/>
        <w:bCs/>
      </w:rPr>
    </w:tblStylePr>
    <w:tblStylePr w:type="lastCol">
      <w:rPr>
        <w:b/>
        <w:bCs/>
      </w:rPr>
      <w:tblPr/>
      <w:tcPr>
        <w:tcBorders>
          <w:top w:val="single" w:color="E97132" w:themeColor="accent2" w:sz="8" w:space="0"/>
          <w:bottom w:val="single" w:color="E97132" w:themeColor="accent2" w:sz="8" w:space="0"/>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83">
    <w:name w:val="Medium List 1 Accent 3"/>
    <w:basedOn w:val="43"/>
    <w:qFormat/>
    <w:uiPriority w:val="65"/>
    <w:rPr>
      <w:rFonts w:asciiTheme="minorHAnsi" w:hAnsiTheme="minorHAnsi" w:eastAsiaTheme="minorEastAsia" w:cstheme="minorBidi"/>
      <w:color w:val="000000" w:themeColor="text1"/>
      <w14:textFill>
        <w14:solidFill>
          <w14:schemeClr w14:val="tx1"/>
        </w14:solidFill>
      </w14:textFill>
    </w:rPr>
    <w:tblPr>
      <w:tblBorders>
        <w:top w:val="single" w:color="196B24" w:themeColor="accent3" w:sz="8" w:space="0"/>
        <w:bottom w:val="single" w:color="196B24" w:themeColor="accent3" w:sz="8" w:space="0"/>
      </w:tblBorders>
    </w:tblPr>
    <w:tblStylePr w:type="firstRow">
      <w:rPr>
        <w:rFonts w:asciiTheme="majorHAnsi" w:hAnsiTheme="majorHAnsi" w:eastAsiaTheme="majorEastAsia" w:cstheme="majorBidi"/>
      </w:rPr>
      <w:tblPr/>
      <w:tcPr>
        <w:tcBorders>
          <w:top w:val="nil"/>
          <w:bottom w:val="single" w:color="196B24" w:themeColor="accent3" w:sz="8" w:space="0"/>
        </w:tcBorders>
      </w:tcPr>
    </w:tblStylePr>
    <w:tblStylePr w:type="lastRow">
      <w:rPr>
        <w:b/>
        <w:bCs/>
        <w:color w:val="0E2841" w:themeColor="text2"/>
        <w14:textFill>
          <w14:solidFill>
            <w14:schemeClr w14:val="tx2"/>
          </w14:solidFill>
        </w14:textFill>
      </w:rPr>
      <w:tblPr/>
      <w:tcPr>
        <w:tcBorders>
          <w:top w:val="single" w:color="196B24" w:themeColor="accent3" w:sz="8" w:space="0"/>
          <w:bottom w:val="single" w:color="196B24" w:themeColor="accent3" w:sz="8" w:space="0"/>
        </w:tcBorders>
      </w:tcPr>
    </w:tblStylePr>
    <w:tblStylePr w:type="firstCol">
      <w:rPr>
        <w:b/>
        <w:bCs/>
      </w:rPr>
    </w:tblStylePr>
    <w:tblStylePr w:type="lastCol">
      <w:rPr>
        <w:b/>
        <w:bCs/>
      </w:rPr>
      <w:tblPr/>
      <w:tcPr>
        <w:tcBorders>
          <w:top w:val="single" w:color="196B24" w:themeColor="accent3" w:sz="8" w:space="0"/>
          <w:bottom w:val="single" w:color="196B24" w:themeColor="accent3" w:sz="8" w:space="0"/>
        </w:tcBorders>
      </w:tcPr>
    </w:tblStylePr>
    <w:tblStylePr w:type="band1Vert">
      <w:tblPr/>
      <w:tcPr>
        <w:shd w:val="clear" w:color="auto" w:fill="B3EDBB" w:themeFill="accent3" w:themeFillTint="3F"/>
      </w:tcPr>
    </w:tblStylePr>
    <w:tblStylePr w:type="band1Horz">
      <w:tblPr/>
      <w:tcPr>
        <w:shd w:val="clear" w:color="auto" w:fill="B3EDBB" w:themeFill="accent3" w:themeFillTint="3F"/>
      </w:tcPr>
    </w:tblStylePr>
  </w:style>
  <w:style w:type="table" w:styleId="84">
    <w:name w:val="Medium List 1 Accent 4"/>
    <w:basedOn w:val="43"/>
    <w:qFormat/>
    <w:uiPriority w:val="65"/>
    <w:rPr>
      <w:rFonts w:asciiTheme="minorHAnsi" w:hAnsiTheme="minorHAnsi" w:eastAsiaTheme="minorEastAsia" w:cstheme="minorBidi"/>
      <w:color w:val="000000" w:themeColor="text1"/>
      <w14:textFill>
        <w14:solidFill>
          <w14:schemeClr w14:val="tx1"/>
        </w14:solidFill>
      </w14:textFill>
    </w:rPr>
    <w:tblPr>
      <w:tblBorders>
        <w:top w:val="single" w:color="0F9ED5" w:themeColor="accent4" w:sz="8" w:space="0"/>
        <w:bottom w:val="single" w:color="0F9ED5" w:themeColor="accent4" w:sz="8" w:space="0"/>
      </w:tblBorders>
    </w:tblPr>
    <w:tblStylePr w:type="firstRow">
      <w:rPr>
        <w:rFonts w:asciiTheme="majorHAnsi" w:hAnsiTheme="majorHAnsi" w:eastAsiaTheme="majorEastAsia" w:cstheme="majorBidi"/>
      </w:rPr>
      <w:tblPr/>
      <w:tcPr>
        <w:tcBorders>
          <w:top w:val="nil"/>
          <w:bottom w:val="single" w:color="0F9ED5" w:themeColor="accent4" w:sz="8" w:space="0"/>
        </w:tcBorders>
      </w:tcPr>
    </w:tblStylePr>
    <w:tblStylePr w:type="lastRow">
      <w:rPr>
        <w:b/>
        <w:bCs/>
        <w:color w:val="0E2841" w:themeColor="text2"/>
        <w14:textFill>
          <w14:solidFill>
            <w14:schemeClr w14:val="tx2"/>
          </w14:solidFill>
        </w14:textFill>
      </w:rPr>
      <w:tblPr/>
      <w:tcPr>
        <w:tcBorders>
          <w:top w:val="single" w:color="0F9ED5" w:themeColor="accent4" w:sz="8" w:space="0"/>
          <w:bottom w:val="single" w:color="0F9ED5" w:themeColor="accent4" w:sz="8" w:space="0"/>
        </w:tcBorders>
      </w:tcPr>
    </w:tblStylePr>
    <w:tblStylePr w:type="firstCol">
      <w:rPr>
        <w:b/>
        <w:bCs/>
      </w:rPr>
    </w:tblStylePr>
    <w:tblStylePr w:type="lastCol">
      <w:rPr>
        <w:b/>
        <w:bCs/>
      </w:rPr>
      <w:tblPr/>
      <w:tcPr>
        <w:tcBorders>
          <w:top w:val="single" w:color="0F9ED5" w:themeColor="accent4" w:sz="8" w:space="0"/>
          <w:bottom w:val="single" w:color="0F9ED5" w:themeColor="accent4" w:sz="8" w:space="0"/>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85">
    <w:name w:val="Medium List 1 Accent 5"/>
    <w:basedOn w:val="43"/>
    <w:qFormat/>
    <w:uiPriority w:val="65"/>
    <w:rPr>
      <w:rFonts w:asciiTheme="minorHAnsi" w:hAnsiTheme="minorHAnsi" w:eastAsiaTheme="minorEastAsia" w:cstheme="minorBidi"/>
      <w:color w:val="000000" w:themeColor="text1"/>
      <w14:textFill>
        <w14:solidFill>
          <w14:schemeClr w14:val="tx1"/>
        </w14:solidFill>
      </w14:textFill>
    </w:rPr>
    <w:tblPr>
      <w:tblBorders>
        <w:top w:val="single" w:color="A02B93" w:themeColor="accent5" w:sz="8" w:space="0"/>
        <w:bottom w:val="single" w:color="A02B93" w:themeColor="accent5" w:sz="8" w:space="0"/>
      </w:tblBorders>
    </w:tblPr>
    <w:tblStylePr w:type="firstRow">
      <w:rPr>
        <w:rFonts w:asciiTheme="majorHAnsi" w:hAnsiTheme="majorHAnsi" w:eastAsiaTheme="majorEastAsia" w:cstheme="majorBidi"/>
      </w:rPr>
      <w:tblPr/>
      <w:tcPr>
        <w:tcBorders>
          <w:top w:val="nil"/>
          <w:bottom w:val="single" w:color="A02B93" w:themeColor="accent5" w:sz="8" w:space="0"/>
        </w:tcBorders>
      </w:tcPr>
    </w:tblStylePr>
    <w:tblStylePr w:type="lastRow">
      <w:rPr>
        <w:b/>
        <w:bCs/>
        <w:color w:val="0E2841" w:themeColor="text2"/>
        <w14:textFill>
          <w14:solidFill>
            <w14:schemeClr w14:val="tx2"/>
          </w14:solidFill>
        </w14:textFill>
      </w:rPr>
      <w:tblPr/>
      <w:tcPr>
        <w:tcBorders>
          <w:top w:val="single" w:color="A02B93" w:themeColor="accent5" w:sz="8" w:space="0"/>
          <w:bottom w:val="single" w:color="A02B93" w:themeColor="accent5" w:sz="8" w:space="0"/>
        </w:tcBorders>
      </w:tcPr>
    </w:tblStylePr>
    <w:tblStylePr w:type="firstCol">
      <w:rPr>
        <w:b/>
        <w:bCs/>
      </w:rPr>
    </w:tblStylePr>
    <w:tblStylePr w:type="lastCol">
      <w:rPr>
        <w:b/>
        <w:bCs/>
      </w:rPr>
      <w:tblPr/>
      <w:tcPr>
        <w:tcBorders>
          <w:top w:val="single" w:color="A02B93" w:themeColor="accent5" w:sz="8" w:space="0"/>
          <w:bottom w:val="single" w:color="A02B93" w:themeColor="accent5" w:sz="8" w:space="0"/>
        </w:tcBorders>
      </w:tcPr>
    </w:tblStylePr>
    <w:tblStylePr w:type="band1Vert">
      <w:tblPr/>
      <w:tcPr>
        <w:shd w:val="clear" w:color="auto" w:fill="EEC3EA" w:themeFill="accent5" w:themeFillTint="3F"/>
      </w:tcPr>
    </w:tblStylePr>
    <w:tblStylePr w:type="band1Horz">
      <w:tblPr/>
      <w:tcPr>
        <w:shd w:val="clear" w:color="auto" w:fill="EEC3EA" w:themeFill="accent5" w:themeFillTint="3F"/>
      </w:tcPr>
    </w:tblStylePr>
  </w:style>
  <w:style w:type="table" w:styleId="86">
    <w:name w:val="Medium List 1 Accent 6"/>
    <w:basedOn w:val="43"/>
    <w:qFormat/>
    <w:uiPriority w:val="65"/>
    <w:rPr>
      <w:rFonts w:asciiTheme="minorHAnsi" w:hAnsiTheme="minorHAnsi" w:eastAsiaTheme="minorEastAsia" w:cstheme="minorBidi"/>
      <w:color w:val="000000" w:themeColor="text1"/>
      <w14:textFill>
        <w14:solidFill>
          <w14:schemeClr w14:val="tx1"/>
        </w14:solidFill>
      </w14:textFill>
    </w:rPr>
    <w:tblPr>
      <w:tblBorders>
        <w:top w:val="single" w:color="4EA72E" w:themeColor="accent6" w:sz="8" w:space="0"/>
        <w:bottom w:val="single" w:color="4EA72E" w:themeColor="accent6" w:sz="8" w:space="0"/>
      </w:tblBorders>
    </w:tblPr>
    <w:tblStylePr w:type="firstRow">
      <w:rPr>
        <w:rFonts w:asciiTheme="majorHAnsi" w:hAnsiTheme="majorHAnsi" w:eastAsiaTheme="majorEastAsia" w:cstheme="majorBidi"/>
      </w:rPr>
      <w:tblPr/>
      <w:tcPr>
        <w:tcBorders>
          <w:top w:val="nil"/>
          <w:bottom w:val="single" w:color="4EA72E" w:themeColor="accent6" w:sz="8" w:space="0"/>
        </w:tcBorders>
      </w:tcPr>
    </w:tblStylePr>
    <w:tblStylePr w:type="lastRow">
      <w:rPr>
        <w:b/>
        <w:bCs/>
        <w:color w:val="0E2841" w:themeColor="text2"/>
        <w14:textFill>
          <w14:solidFill>
            <w14:schemeClr w14:val="tx2"/>
          </w14:solidFill>
        </w14:textFill>
      </w:rPr>
      <w:tblPr/>
      <w:tcPr>
        <w:tcBorders>
          <w:top w:val="single" w:color="4EA72E" w:themeColor="accent6" w:sz="8" w:space="0"/>
          <w:bottom w:val="single" w:color="4EA72E" w:themeColor="accent6" w:sz="8" w:space="0"/>
        </w:tcBorders>
      </w:tcPr>
    </w:tblStylePr>
    <w:tblStylePr w:type="firstCol">
      <w:rPr>
        <w:b/>
        <w:bCs/>
      </w:rPr>
    </w:tblStylePr>
    <w:tblStylePr w:type="lastCol">
      <w:rPr>
        <w:b/>
        <w:bCs/>
      </w:rPr>
      <w:tblPr/>
      <w:tcPr>
        <w:tcBorders>
          <w:top w:val="single" w:color="4EA72E" w:themeColor="accent6" w:sz="8" w:space="0"/>
          <w:bottom w:val="single" w:color="4EA72E" w:themeColor="accent6" w:sz="8" w:space="0"/>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87">
    <w:name w:val="Medium List 2"/>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1"/>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rPr>
        <w:sz w:val="24"/>
        <w:szCs w:val="24"/>
      </w:rPr>
      <w:tblPr/>
      <w:tcPr>
        <w:tcBorders>
          <w:top w:val="nil"/>
          <w:left w:val="nil"/>
          <w:bottom w:val="single" w:color="156082" w:themeColor="accent1" w:sz="24" w:space="0"/>
          <w:right w:val="nil"/>
          <w:insideH w:val="nil"/>
          <w:insideV w:val="nil"/>
        </w:tcBorders>
        <w:shd w:val="clear" w:color="auto" w:fill="FFFFFF" w:themeFill="background1"/>
      </w:tcPr>
    </w:tblStylePr>
    <w:tblStylePr w:type="lastRow">
      <w:tblPr/>
      <w:tcPr>
        <w:tcBorders>
          <w:top w:val="single" w:color="156082"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56082" w:themeColor="accent1" w:sz="8" w:space="0"/>
          <w:insideH w:val="nil"/>
          <w:insideV w:val="nil"/>
        </w:tcBorders>
        <w:shd w:val="clear" w:color="auto" w:fill="FFFFFF" w:themeFill="background1"/>
      </w:tcPr>
    </w:tblStylePr>
    <w:tblStylePr w:type="lastCol">
      <w:tblPr/>
      <w:tcPr>
        <w:tcBorders>
          <w:top w:val="nil"/>
          <w:left w:val="single" w:color="15608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2"/>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rPr>
        <w:sz w:val="24"/>
        <w:szCs w:val="24"/>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tblPr/>
      <w:tcPr>
        <w:tcBorders>
          <w:top w:val="single" w:color="E97132"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7132" w:themeColor="accent2" w:sz="8" w:space="0"/>
          <w:insideH w:val="nil"/>
          <w:insideV w:val="nil"/>
        </w:tcBorders>
        <w:shd w:val="clear" w:color="auto" w:fill="FFFFFF" w:themeFill="background1"/>
      </w:tcPr>
    </w:tblStylePr>
    <w:tblStylePr w:type="lastCol">
      <w:tblPr/>
      <w:tcPr>
        <w:tcBorders>
          <w:top w:val="nil"/>
          <w:left w:val="single" w:color="E9713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3"/>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rPr>
        <w:sz w:val="24"/>
        <w:szCs w:val="24"/>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tblPr/>
      <w:tcPr>
        <w:tcBorders>
          <w:top w:val="single" w:color="196B24"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B24" w:themeColor="accent3" w:sz="8" w:space="0"/>
          <w:insideH w:val="nil"/>
          <w:insideV w:val="nil"/>
        </w:tcBorders>
        <w:shd w:val="clear" w:color="auto" w:fill="FFFFFF" w:themeFill="background1"/>
      </w:tcPr>
    </w:tblStylePr>
    <w:tblStylePr w:type="lastCol">
      <w:tblPr/>
      <w:tcPr>
        <w:tcBorders>
          <w:top w:val="nil"/>
          <w:left w:val="single" w:color="196B24"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top w:val="nil"/>
          <w:bottom w:val="nil"/>
          <w:insideH w:val="nil"/>
          <w:insideV w:val="nil"/>
        </w:tcBorders>
        <w:shd w:val="clear" w:color="auto" w:fill="B3ED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4"/>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rPr>
        <w:sz w:val="24"/>
        <w:szCs w:val="24"/>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tblPr/>
      <w:tcPr>
        <w:tcBorders>
          <w:top w:val="single" w:color="0F9ED5"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F9ED5" w:themeColor="accent4" w:sz="8" w:space="0"/>
          <w:insideH w:val="nil"/>
          <w:insideV w:val="nil"/>
        </w:tcBorders>
        <w:shd w:val="clear" w:color="auto" w:fill="FFFFFF" w:themeFill="background1"/>
      </w:tcPr>
    </w:tblStylePr>
    <w:tblStylePr w:type="lastCol">
      <w:tblPr/>
      <w:tcPr>
        <w:tcBorders>
          <w:top w:val="nil"/>
          <w:left w:val="single" w:color="0F9ED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5"/>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rPr>
        <w:sz w:val="24"/>
        <w:szCs w:val="24"/>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tblPr/>
      <w:tcPr>
        <w:tcBorders>
          <w:top w:val="single" w:color="A02B93"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2B93" w:themeColor="accent5" w:sz="8" w:space="0"/>
          <w:insideH w:val="nil"/>
          <w:insideV w:val="nil"/>
        </w:tcBorders>
        <w:shd w:val="clear" w:color="auto" w:fill="FFFFFF" w:themeFill="background1"/>
      </w:tcPr>
    </w:tblStylePr>
    <w:tblStylePr w:type="lastCol">
      <w:tblPr/>
      <w:tcPr>
        <w:tcBorders>
          <w:top w:val="nil"/>
          <w:left w:val="single" w:color="A02B93"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top w:val="nil"/>
          <w:bottom w:val="nil"/>
          <w:insideH w:val="nil"/>
          <w:insideV w:val="nil"/>
        </w:tcBorders>
        <w:shd w:val="clear" w:color="auto" w:fill="EEC3E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6"/>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rPr>
        <w:sz w:val="24"/>
        <w:szCs w:val="24"/>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tblPr/>
      <w:tcPr>
        <w:tcBorders>
          <w:top w:val="single" w:color="4EA72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EA72E" w:themeColor="accent6" w:sz="8" w:space="0"/>
          <w:insideH w:val="nil"/>
          <w:insideV w:val="nil"/>
        </w:tcBorders>
        <w:shd w:val="clear" w:color="auto" w:fill="FFFFFF" w:themeFill="background1"/>
      </w:tcPr>
    </w:tblStylePr>
    <w:tblStylePr w:type="lastCol">
      <w:tblPr/>
      <w:tcPr>
        <w:tcBorders>
          <w:top w:val="nil"/>
          <w:left w:val="single" w:color="4EA72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Grid 1"/>
    <w:basedOn w:val="43"/>
    <w:qFormat/>
    <w:uiPriority w:val="67"/>
    <w:rPr>
      <w:rFonts w:asciiTheme="minorHAnsi" w:hAnsiTheme="minorHAnsi" w:eastAsiaTheme="minorEastAsia" w:cstheme="minorBidi"/>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5">
    <w:name w:val="Medium Grid 1 Accent 1"/>
    <w:basedOn w:val="43"/>
    <w:qFormat/>
    <w:uiPriority w:val="67"/>
    <w:rPr>
      <w:rFonts w:asciiTheme="minorHAnsi" w:hAnsiTheme="minorHAnsi" w:eastAsiaTheme="minorEastAsia" w:cstheme="minorBidi"/>
    </w:r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insideV w:val="single" w:color="2199CF" w:themeColor="accent1" w:themeTint="BF" w:sz="8" w:space="0"/>
      </w:tblBorders>
    </w:tblPr>
    <w:tcPr>
      <w:shd w:val="clear" w:color="auto" w:fill="B2DEF2" w:themeFill="accent1" w:themeFillTint="3F"/>
    </w:tcPr>
    <w:tblStylePr w:type="firstRow">
      <w:rPr>
        <w:b/>
        <w:bCs/>
      </w:rPr>
    </w:tblStylePr>
    <w:tblStylePr w:type="lastRow">
      <w:rPr>
        <w:b/>
        <w:bCs/>
      </w:rPr>
      <w:tblPr/>
      <w:tcPr>
        <w:tcBorders>
          <w:top w:val="single" w:color="156082" w:themeColor="accent1" w:sz="18" w:space="0"/>
        </w:tcBorders>
      </w:tcPr>
    </w:tblStylePr>
    <w:tblStylePr w:type="firstCol">
      <w:rPr>
        <w:b/>
        <w:bCs/>
      </w:rPr>
    </w:tblStylePr>
    <w:tblStylePr w:type="lastCol">
      <w:rPr>
        <w:b/>
        <w:bCs/>
      </w:r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96">
    <w:name w:val="Medium Grid 1 Accent 2"/>
    <w:basedOn w:val="43"/>
    <w:qFormat/>
    <w:uiPriority w:val="67"/>
    <w:rPr>
      <w:rFonts w:asciiTheme="minorHAnsi" w:hAnsiTheme="minorHAnsi" w:eastAsiaTheme="minorEastAsia" w:cstheme="minorBidi"/>
    </w:r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insideV w:val="single" w:color="EE9465" w:themeColor="accent2" w:themeTint="BF" w:sz="8" w:space="0"/>
      </w:tblBorders>
    </w:tblPr>
    <w:tcPr>
      <w:shd w:val="clear" w:color="auto" w:fill="F9DBCC" w:themeFill="accent2" w:themeFillTint="3F"/>
    </w:tcPr>
    <w:tblStylePr w:type="firstRow">
      <w:rPr>
        <w:b/>
        <w:bCs/>
      </w:rPr>
    </w:tblStylePr>
    <w:tblStylePr w:type="lastRow">
      <w:rPr>
        <w:b/>
        <w:bCs/>
      </w:rPr>
      <w:tblPr/>
      <w:tcPr>
        <w:tcBorders>
          <w:top w:val="single" w:color="E97132" w:themeColor="accent2" w:sz="18" w:space="0"/>
        </w:tcBorders>
      </w:tcPr>
    </w:tblStylePr>
    <w:tblStylePr w:type="firstCol">
      <w:rPr>
        <w:b/>
        <w:bCs/>
      </w:rPr>
    </w:tblStylePr>
    <w:tblStylePr w:type="lastCol">
      <w:rPr>
        <w:b/>
        <w:bCs/>
      </w:r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97">
    <w:name w:val="Medium Grid 1 Accent 3"/>
    <w:basedOn w:val="43"/>
    <w:qFormat/>
    <w:uiPriority w:val="67"/>
    <w:rPr>
      <w:rFonts w:asciiTheme="minorHAnsi" w:hAnsiTheme="minorHAnsi" w:eastAsiaTheme="minorEastAsia" w:cstheme="minorBidi"/>
    </w:r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single" w:color="2AB73D" w:themeColor="accent3" w:themeTint="BF" w:sz="8" w:space="0"/>
      </w:tblBorders>
    </w:tblPr>
    <w:tcPr>
      <w:shd w:val="clear" w:color="auto" w:fill="B3EDBB" w:themeFill="accent3" w:themeFillTint="3F"/>
    </w:tcPr>
    <w:tblStylePr w:type="firstRow">
      <w:rPr>
        <w:b/>
        <w:bCs/>
      </w:rPr>
    </w:tblStylePr>
    <w:tblStylePr w:type="lastRow">
      <w:rPr>
        <w:b/>
        <w:bCs/>
      </w:rPr>
      <w:tblPr/>
      <w:tcPr>
        <w:tcBorders>
          <w:top w:val="single" w:color="196B24" w:themeColor="accent3" w:sz="18" w:space="0"/>
        </w:tcBorders>
      </w:tcPr>
    </w:tblStylePr>
    <w:tblStylePr w:type="firstCol">
      <w:rPr>
        <w:b/>
        <w:bCs/>
      </w:rPr>
    </w:tblStylePr>
    <w:tblStylePr w:type="lastCol">
      <w:rPr>
        <w:b/>
        <w:bCs/>
      </w:r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98">
    <w:name w:val="Medium Grid 1 Accent 4"/>
    <w:basedOn w:val="43"/>
    <w:qFormat/>
    <w:uiPriority w:val="67"/>
    <w:rPr>
      <w:rFonts w:asciiTheme="minorHAnsi" w:hAnsiTheme="minorHAnsi" w:eastAsiaTheme="minorEastAsia" w:cstheme="minorBidi"/>
    </w:r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insideV w:val="single" w:color="39BEF1" w:themeColor="accent4" w:themeTint="BF" w:sz="8" w:space="0"/>
      </w:tblBorders>
    </w:tblPr>
    <w:tcPr>
      <w:shd w:val="clear" w:color="auto" w:fill="BDE9FA" w:themeFill="accent4" w:themeFillTint="3F"/>
    </w:tcPr>
    <w:tblStylePr w:type="firstRow">
      <w:rPr>
        <w:b/>
        <w:bCs/>
      </w:rPr>
    </w:tblStylePr>
    <w:tblStylePr w:type="lastRow">
      <w:rPr>
        <w:b/>
        <w:bCs/>
      </w:rPr>
      <w:tblPr/>
      <w:tcPr>
        <w:tcBorders>
          <w:top w:val="single" w:color="0F9ED5" w:themeColor="accent4" w:sz="18" w:space="0"/>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99">
    <w:name w:val="Medium Grid 1 Accent 5"/>
    <w:basedOn w:val="43"/>
    <w:qFormat/>
    <w:uiPriority w:val="67"/>
    <w:rPr>
      <w:rFonts w:asciiTheme="minorHAnsi" w:hAnsiTheme="minorHAnsi" w:eastAsiaTheme="minorEastAsia" w:cstheme="minorBidi"/>
    </w:r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insideV w:val="single" w:color="CE49BF" w:themeColor="accent5" w:themeTint="BF" w:sz="8" w:space="0"/>
      </w:tblBorders>
    </w:tblPr>
    <w:tcPr>
      <w:shd w:val="clear" w:color="auto" w:fill="EEC3EA" w:themeFill="accent5" w:themeFillTint="3F"/>
    </w:tcPr>
    <w:tblStylePr w:type="firstRow">
      <w:rPr>
        <w:b/>
        <w:bCs/>
      </w:rPr>
    </w:tblStylePr>
    <w:tblStylePr w:type="lastRow">
      <w:rPr>
        <w:b/>
        <w:bCs/>
      </w:rPr>
      <w:tblPr/>
      <w:tcPr>
        <w:tcBorders>
          <w:top w:val="single" w:color="A02B93" w:themeColor="accent5" w:sz="18" w:space="0"/>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00">
    <w:name w:val="Medium Grid 1 Accent 6"/>
    <w:basedOn w:val="43"/>
    <w:qFormat/>
    <w:uiPriority w:val="67"/>
    <w:rPr>
      <w:rFonts w:asciiTheme="minorHAnsi" w:hAnsiTheme="minorHAnsi" w:eastAsiaTheme="minorEastAsia" w:cstheme="minorBidi"/>
    </w:r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insideV w:val="single" w:color="72CE50" w:themeColor="accent6" w:themeTint="BF" w:sz="8" w:space="0"/>
      </w:tblBorders>
    </w:tblPr>
    <w:tcPr>
      <w:shd w:val="clear" w:color="auto" w:fill="D0EFC5" w:themeFill="accent6" w:themeFillTint="3F"/>
    </w:tcPr>
    <w:tblStylePr w:type="firstRow">
      <w:rPr>
        <w:b/>
        <w:bCs/>
      </w:rPr>
    </w:tblStylePr>
    <w:tblStylePr w:type="lastRow">
      <w:rPr>
        <w:b/>
        <w:bCs/>
      </w:rPr>
      <w:tblPr/>
      <w:tcPr>
        <w:tcBorders>
          <w:top w:val="single" w:color="4EA72E" w:themeColor="accent6" w:sz="18" w:space="0"/>
        </w:tcBorders>
      </w:tcPr>
    </w:tblStylePr>
    <w:tblStylePr w:type="firstCol">
      <w:rPr>
        <w:b/>
        <w:bCs/>
      </w:rPr>
    </w:tblStylePr>
    <w:tblStylePr w:type="lastCol">
      <w:rPr>
        <w:b/>
        <w:bCs/>
      </w:r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table" w:styleId="101">
    <w:name w:val="Medium Grid 2"/>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2">
    <w:name w:val="Medium Grid 2 Accent 1"/>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Pr>
    <w:tblStylePr w:type="firstRow">
      <w:rPr>
        <w:b/>
        <w:bCs/>
        <w:color w:val="000000" w:themeColor="text1"/>
        <w14:textFill>
          <w14:solidFill>
            <w14:schemeClr w14:val="tx1"/>
          </w14:solidFill>
        </w14:textFill>
      </w:rPr>
      <w:tblPr/>
      <w:tcPr>
        <w:shd w:val="clear" w:color="auto" w:fill="E0F2FA"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5BDE6" w:themeFill="accent1" w:themeFillTint="7F"/>
      </w:tcPr>
    </w:tblStylePr>
    <w:tblStylePr w:type="band1Horz">
      <w:tblPr/>
      <w:tcPr>
        <w:tcBorders>
          <w:insideH w:val="single" w:sz="6" w:space="0"/>
          <w:insideV w:val="single" w:sz="6" w:space="0"/>
        </w:tcBorders>
        <w:shd w:val="clear" w:color="auto" w:fill="65BDE6" w:themeFill="accent1" w:themeFillTint="7F"/>
      </w:tcPr>
    </w:tblStylePr>
    <w:tblStylePr w:type="nwCell">
      <w:tblPr/>
      <w:tcPr>
        <w:shd w:val="clear" w:color="auto" w:fill="FFFFFF" w:themeFill="background1"/>
      </w:tcPr>
    </w:tblStylePr>
  </w:style>
  <w:style w:type="table" w:styleId="103">
    <w:name w:val="Medium Grid 2 Accent 2"/>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cPr>
      <w:shd w:val="clear" w:color="auto" w:fill="F9DBCC" w:themeFill="accent2" w:themeFillTint="3F"/>
    </w:tcPr>
    <w:tblStylePr w:type="firstRow">
      <w:rPr>
        <w:b/>
        <w:bCs/>
        <w:color w:val="000000" w:themeColor="text1"/>
        <w14:textFill>
          <w14:solidFill>
            <w14:schemeClr w14:val="tx1"/>
          </w14:solidFill>
        </w14:textFill>
      </w:rPr>
      <w:tblPr/>
      <w:tcPr>
        <w:shd w:val="clear" w:color="auto" w:fill="FCF1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898" w:themeFill="accent2" w:themeFillTint="7F"/>
      </w:tcPr>
    </w:tblStylePr>
    <w:tblStylePr w:type="band1Horz">
      <w:tblPr/>
      <w:tcPr>
        <w:tcBorders>
          <w:insideH w:val="single" w:sz="6" w:space="0"/>
          <w:insideV w:val="single" w:sz="6" w:space="0"/>
        </w:tcBorders>
        <w:shd w:val="clear" w:color="auto" w:fill="F4B898" w:themeFill="accent2" w:themeFillTint="7F"/>
      </w:tcPr>
    </w:tblStylePr>
    <w:tblStylePr w:type="nwCell">
      <w:tblPr/>
      <w:tcPr>
        <w:shd w:val="clear" w:color="auto" w:fill="FFFFFF" w:themeFill="background1"/>
      </w:tcPr>
    </w:tblStylePr>
  </w:style>
  <w:style w:type="table" w:styleId="104">
    <w:name w:val="Medium Grid 2 Accent 3"/>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cPr>
      <w:shd w:val="clear" w:color="auto" w:fill="B3EDBB" w:themeFill="accent3" w:themeFillTint="3F"/>
    </w:tcPr>
    <w:tblStylePr w:type="firstRow">
      <w:rPr>
        <w:b/>
        <w:bCs/>
        <w:color w:val="000000" w:themeColor="text1"/>
        <w14:textFill>
          <w14:solidFill>
            <w14:schemeClr w14:val="tx1"/>
          </w14:solidFill>
        </w14:textFill>
      </w:rPr>
      <w:tblPr/>
      <w:tcPr>
        <w:shd w:val="clear" w:color="auto" w:fill="E0F7E4"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F0C8" w:themeFill="accent3" w:themeFillTint="33"/>
      </w:tcPr>
    </w:tblStylePr>
    <w:tblStylePr w:type="band1Vert">
      <w:tblPr/>
      <w:tcPr>
        <w:shd w:val="clear" w:color="auto" w:fill="66DB76" w:themeFill="accent3" w:themeFillTint="7F"/>
      </w:tcPr>
    </w:tblStylePr>
    <w:tblStylePr w:type="band1Horz">
      <w:tblPr/>
      <w:tcPr>
        <w:tcBorders>
          <w:insideH w:val="single" w:sz="6" w:space="0"/>
          <w:insideV w:val="single" w:sz="6" w:space="0"/>
        </w:tcBorders>
        <w:shd w:val="clear" w:color="auto" w:fill="66DB76" w:themeFill="accent3" w:themeFillTint="7F"/>
      </w:tcPr>
    </w:tblStylePr>
    <w:tblStylePr w:type="nwCell">
      <w:tblPr/>
      <w:tcPr>
        <w:shd w:val="clear" w:color="auto" w:fill="FFFFFF" w:themeFill="background1"/>
      </w:tcPr>
    </w:tblStylePr>
  </w:style>
  <w:style w:type="table" w:styleId="105">
    <w:name w:val="Medium Grid 2 Accent 4"/>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cPr>
      <w:shd w:val="clear" w:color="auto" w:fill="BDE9FA" w:themeFill="accent4" w:themeFillTint="3F"/>
    </w:tcPr>
    <w:tblStylePr w:type="firstRow">
      <w:rPr>
        <w:b/>
        <w:bCs/>
        <w:color w:val="000000" w:themeColor="text1"/>
        <w14:textFill>
          <w14:solidFill>
            <w14:schemeClr w14:val="tx1"/>
          </w14:solidFill>
        </w14:textFill>
      </w:rPr>
      <w:tblPr/>
      <w:tcPr>
        <w:shd w:val="clear" w:color="auto" w:fill="E5F6FD"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insideV w:val="single" w:sz="6" w:space="0"/>
        </w:tcBorders>
        <w:shd w:val="clear" w:color="auto" w:fill="7BD3F5" w:themeFill="accent4" w:themeFillTint="7F"/>
      </w:tcPr>
    </w:tblStylePr>
    <w:tblStylePr w:type="nwCell">
      <w:tblPr/>
      <w:tcPr>
        <w:shd w:val="clear" w:color="auto" w:fill="FFFFFF" w:themeFill="background1"/>
      </w:tcPr>
    </w:tblStylePr>
  </w:style>
  <w:style w:type="table" w:styleId="106">
    <w:name w:val="Medium Grid 2 Accent 5"/>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shd w:val="clear" w:color="auto" w:fill="EEC3EA" w:themeFill="accent5" w:themeFillTint="3F"/>
    </w:tcPr>
    <w:tblStylePr w:type="firstRow">
      <w:rPr>
        <w:b/>
        <w:bCs/>
        <w:color w:val="000000" w:themeColor="text1"/>
        <w14:textFill>
          <w14:solidFill>
            <w14:schemeClr w14:val="tx1"/>
          </w14:solidFill>
        </w14:textFill>
      </w:rPr>
      <w:tblPr/>
      <w:tcPr>
        <w:shd w:val="clear" w:color="auto" w:fill="F8E7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1CEEE" w:themeFill="accent5" w:themeFillTint="33"/>
      </w:tcPr>
    </w:tblStylePr>
    <w:tblStylePr w:type="band1Vert">
      <w:tblPr/>
      <w:tcPr>
        <w:shd w:val="clear" w:color="auto" w:fill="DE86D4" w:themeFill="accent5" w:themeFillTint="7F"/>
      </w:tcPr>
    </w:tblStylePr>
    <w:tblStylePr w:type="band1Horz">
      <w:tblPr/>
      <w:tcPr>
        <w:tcBorders>
          <w:insideH w:val="single" w:sz="6" w:space="0"/>
          <w:insideV w:val="single" w:sz="6" w:space="0"/>
        </w:tcBorders>
        <w:shd w:val="clear" w:color="auto" w:fill="DE86D4" w:themeFill="accent5" w:themeFillTint="7F"/>
      </w:tcPr>
    </w:tblStylePr>
    <w:tblStylePr w:type="nwCell">
      <w:tblPr/>
      <w:tcPr>
        <w:shd w:val="clear" w:color="auto" w:fill="FFFFFF" w:themeFill="background1"/>
      </w:tcPr>
    </w:tblStylePr>
  </w:style>
  <w:style w:type="table" w:styleId="107">
    <w:name w:val="Medium Grid 2 Accent 6"/>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cPr>
      <w:shd w:val="clear" w:color="auto" w:fill="D0EFC5" w:themeFill="accent6" w:themeFillTint="3F"/>
    </w:tcPr>
    <w:tblStylePr w:type="firstRow">
      <w:rPr>
        <w:b/>
        <w:bCs/>
        <w:color w:val="000000" w:themeColor="text1"/>
        <w14:textFill>
          <w14:solidFill>
            <w14:schemeClr w14:val="tx1"/>
          </w14:solidFill>
        </w14:textFill>
      </w:rPr>
      <w:tblPr/>
      <w:tcPr>
        <w:shd w:val="clear" w:color="auto" w:fill="ECF8E8"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1DF8B" w:themeFill="accent6" w:themeFillTint="7F"/>
      </w:tcPr>
    </w:tblStylePr>
    <w:tblStylePr w:type="band1Horz">
      <w:tblPr/>
      <w:tcPr>
        <w:tcBorders>
          <w:insideH w:val="single" w:sz="6" w:space="0"/>
          <w:insideV w:val="single" w:sz="6" w:space="0"/>
        </w:tcBorders>
        <w:shd w:val="clear" w:color="auto" w:fill="A1DF8B" w:themeFill="accent6" w:themeFillTint="7F"/>
      </w:tcPr>
    </w:tblStylePr>
    <w:tblStylePr w:type="nwCell">
      <w:tblPr/>
      <w:tcPr>
        <w:shd w:val="clear" w:color="auto" w:fill="FFFFFF" w:themeFill="background1"/>
      </w:tcPr>
    </w:tblStylePr>
  </w:style>
  <w:style w:type="table" w:styleId="108">
    <w:name w:val="Medium Grid 3"/>
    <w:basedOn w:val="43"/>
    <w:qFormat/>
    <w:uiPriority w:val="69"/>
    <w:rPr>
      <w:rFonts w:asciiTheme="minorHAnsi" w:hAnsiTheme="minorHAnsi" w:eastAsiaTheme="minorEastAsia" w:cstheme="minorBid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9">
    <w:name w:val="Medium Grid 3 Accent 1"/>
    <w:basedOn w:val="43"/>
    <w:qFormat/>
    <w:uiPriority w:val="69"/>
    <w:rPr>
      <w:rFonts w:asciiTheme="minorHAnsi" w:hAnsiTheme="minorHAnsi" w:eastAsiaTheme="minorEastAsia" w:cstheme="minorBid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2DEF2" w:themeFill="accen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56082" w:themeFill="accen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56082" w:themeFill="accen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56082" w:themeFill="accen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56082"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5BDE6"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5BDE6" w:themeFill="accent1" w:themeFillTint="7F"/>
      </w:tcPr>
    </w:tblStylePr>
  </w:style>
  <w:style w:type="table" w:styleId="110">
    <w:name w:val="Medium Grid 3 Accent 2"/>
    <w:basedOn w:val="43"/>
    <w:qFormat/>
    <w:uiPriority w:val="69"/>
    <w:rPr>
      <w:rFonts w:asciiTheme="minorHAnsi" w:hAnsiTheme="minorHAnsi" w:eastAsiaTheme="minorEastAsia" w:cstheme="minorBid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DBCC" w:themeFill="accent2"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97132" w:themeFill="accent2"/>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97132" w:themeFill="accent2"/>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97132" w:themeFill="accent2"/>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9713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B8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4B898" w:themeFill="accent2" w:themeFillTint="7F"/>
      </w:tcPr>
    </w:tblStylePr>
  </w:style>
  <w:style w:type="table" w:styleId="111">
    <w:name w:val="Medium Grid 3 Accent 3"/>
    <w:basedOn w:val="43"/>
    <w:qFormat/>
    <w:uiPriority w:val="69"/>
    <w:rPr>
      <w:rFonts w:asciiTheme="minorHAnsi" w:hAnsiTheme="minorHAnsi" w:eastAsiaTheme="minorEastAsia" w:cstheme="minorBid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DBB" w:themeFill="accent3"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96B24" w:themeFill="accent3"/>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96B24" w:themeFill="accent3"/>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96B24" w:themeFill="accent3"/>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96B24"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6DB76"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6DB76" w:themeFill="accent3" w:themeFillTint="7F"/>
      </w:tcPr>
    </w:tblStylePr>
  </w:style>
  <w:style w:type="table" w:styleId="112">
    <w:name w:val="Medium Grid 3 Accent 4"/>
    <w:basedOn w:val="43"/>
    <w:qFormat/>
    <w:uiPriority w:val="69"/>
    <w:rPr>
      <w:rFonts w:asciiTheme="minorHAnsi" w:hAnsiTheme="minorHAnsi" w:eastAsiaTheme="minorEastAsia" w:cstheme="minorBid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DE9FA" w:themeFill="accent4"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F9ED5" w:themeFill="accent4"/>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F9ED5" w:themeFill="accent4"/>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F9ED5" w:themeFill="accent4"/>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F9ED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BD3F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BD3F5" w:themeFill="accent4" w:themeFillTint="7F"/>
      </w:tcPr>
    </w:tblStylePr>
  </w:style>
  <w:style w:type="table" w:styleId="113">
    <w:name w:val="Medium Grid 3 Accent 5"/>
    <w:basedOn w:val="43"/>
    <w:qFormat/>
    <w:uiPriority w:val="69"/>
    <w:rPr>
      <w:rFonts w:asciiTheme="minorHAnsi" w:hAnsiTheme="minorHAnsi" w:eastAsiaTheme="minorEastAsia" w:cstheme="minorBid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EC3EA" w:themeFill="accent5"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2B93" w:themeFill="accent5"/>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2B93" w:themeFill="accent5"/>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2B93" w:themeFill="accent5"/>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2B93"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E86D4"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E86D4" w:themeFill="accent5" w:themeFillTint="7F"/>
      </w:tcPr>
    </w:tblStylePr>
  </w:style>
  <w:style w:type="table" w:styleId="114">
    <w:name w:val="Medium Grid 3 Accent 6"/>
    <w:basedOn w:val="43"/>
    <w:qFormat/>
    <w:uiPriority w:val="69"/>
    <w:rPr>
      <w:rFonts w:asciiTheme="minorHAnsi" w:hAnsiTheme="minorHAnsi" w:eastAsiaTheme="minorEastAsia" w:cstheme="minorBid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FC5" w:themeFill="accent6"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EA72E" w:themeFill="accent6"/>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EA72E" w:themeFill="accent6"/>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EA72E" w:themeFill="accent6"/>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EA72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DF8B"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DF8B" w:themeFill="accent6" w:themeFillTint="7F"/>
      </w:tcPr>
    </w:tblStylePr>
  </w:style>
  <w:style w:type="table" w:styleId="115">
    <w:name w:val="Dark List"/>
    <w:basedOn w:val="43"/>
    <w:qFormat/>
    <w:uiPriority w:val="70"/>
    <w:rPr>
      <w:rFonts w:asciiTheme="minorHAnsi" w:hAnsiTheme="minorHAnsi" w:eastAsiaTheme="minorEastAsia" w:cstheme="minorBidi"/>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6">
    <w:name w:val="Dark List Accent 1"/>
    <w:basedOn w:val="43"/>
    <w:qFormat/>
    <w:uiPriority w:val="70"/>
    <w:rPr>
      <w:rFonts w:asciiTheme="minorHAnsi" w:hAnsiTheme="minorHAnsi" w:eastAsiaTheme="minorEastAsia" w:cstheme="minorBidi"/>
      <w:color w:val="FFFFFF" w:themeColor="background1"/>
      <w14:textFill>
        <w14:solidFill>
          <w14:schemeClr w14:val="bg1"/>
        </w14:solidFill>
      </w14:textFill>
    </w:rPr>
    <w:tblPr>
      <w:tblStyleRowBandSize w:val="1"/>
      <w:tblStyleColBandSize w:val="1"/>
    </w:tblPr>
    <w:tcPr>
      <w:shd w:val="clear" w:color="auto" w:fill="156082"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F476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117">
    <w:name w:val="Dark List Accent 2"/>
    <w:basedOn w:val="43"/>
    <w:qFormat/>
    <w:uiPriority w:val="70"/>
    <w:rPr>
      <w:rFonts w:asciiTheme="minorHAnsi" w:hAnsiTheme="minorHAnsi" w:eastAsiaTheme="minorEastAsia" w:cstheme="minorBidi"/>
      <w:color w:val="FFFFFF" w:themeColor="background1"/>
      <w14:textFill>
        <w14:solidFill>
          <w14:schemeClr w14:val="bg1"/>
        </w14:solidFill>
      </w14:textFill>
    </w:rPr>
    <w:tblPr>
      <w:tblStyleRowBandSize w:val="1"/>
      <w:tblStyleColBandSize w:val="1"/>
    </w:tblPr>
    <w:tcPr>
      <w:shd w:val="clear" w:color="auto" w:fill="E9713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4F1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4F14" w:themeFill="accent2" w:themeFillShade="BF"/>
      </w:tcPr>
    </w:tblStylePr>
    <w:tblStylePr w:type="band1Vert">
      <w:tblPr/>
      <w:tcPr>
        <w:tcBorders>
          <w:top w:val="nil"/>
          <w:left w:val="nil"/>
          <w:bottom w:val="nil"/>
          <w:right w:val="nil"/>
          <w:insideH w:val="nil"/>
          <w:insideV w:val="nil"/>
        </w:tcBorders>
        <w:shd w:val="clear" w:color="auto" w:fill="BF4F14" w:themeFill="accent2" w:themeFillShade="BF"/>
      </w:tcPr>
    </w:tblStylePr>
    <w:tblStylePr w:type="band1Horz">
      <w:tblPr/>
      <w:tcPr>
        <w:tcBorders>
          <w:top w:val="nil"/>
          <w:left w:val="nil"/>
          <w:bottom w:val="nil"/>
          <w:right w:val="nil"/>
          <w:insideH w:val="nil"/>
          <w:insideV w:val="nil"/>
        </w:tcBorders>
        <w:shd w:val="clear" w:color="auto" w:fill="BF4F14" w:themeFill="accent2" w:themeFillShade="BF"/>
      </w:tcPr>
    </w:tblStylePr>
  </w:style>
  <w:style w:type="table" w:styleId="118">
    <w:name w:val="Dark List Accent 3"/>
    <w:basedOn w:val="43"/>
    <w:qFormat/>
    <w:uiPriority w:val="70"/>
    <w:rPr>
      <w:rFonts w:asciiTheme="minorHAnsi" w:hAnsiTheme="minorHAnsi" w:eastAsiaTheme="minorEastAsia" w:cstheme="minorBidi"/>
      <w:color w:val="FFFFFF" w:themeColor="background1"/>
      <w14:textFill>
        <w14:solidFill>
          <w14:schemeClr w14:val="bg1"/>
        </w14:solidFill>
      </w14:textFill>
    </w:rPr>
    <w:tblPr>
      <w:tblStyleRowBandSize w:val="1"/>
      <w:tblStyleColBandSize w:val="1"/>
    </w:tblPr>
    <w:tcPr>
      <w:shd w:val="clear" w:color="auto" w:fill="196B24"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2501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2501A" w:themeFill="accent3" w:themeFillShade="BF"/>
      </w:tcPr>
    </w:tblStylePr>
    <w:tblStylePr w:type="band1Vert">
      <w:tblPr/>
      <w:tcPr>
        <w:tcBorders>
          <w:top w:val="nil"/>
          <w:left w:val="nil"/>
          <w:bottom w:val="nil"/>
          <w:right w:val="nil"/>
          <w:insideH w:val="nil"/>
          <w:insideV w:val="nil"/>
        </w:tcBorders>
        <w:shd w:val="clear" w:color="auto" w:fill="12501A" w:themeFill="accent3" w:themeFillShade="BF"/>
      </w:tcPr>
    </w:tblStylePr>
    <w:tblStylePr w:type="band1Horz">
      <w:tblPr/>
      <w:tcPr>
        <w:tcBorders>
          <w:top w:val="nil"/>
          <w:left w:val="nil"/>
          <w:bottom w:val="nil"/>
          <w:right w:val="nil"/>
          <w:insideH w:val="nil"/>
          <w:insideV w:val="nil"/>
        </w:tcBorders>
        <w:shd w:val="clear" w:color="auto" w:fill="12501A" w:themeFill="accent3" w:themeFillShade="BF"/>
      </w:tcPr>
    </w:tblStylePr>
  </w:style>
  <w:style w:type="table" w:styleId="119">
    <w:name w:val="Dark List Accent 4"/>
    <w:basedOn w:val="43"/>
    <w:qFormat/>
    <w:uiPriority w:val="70"/>
    <w:rPr>
      <w:rFonts w:asciiTheme="minorHAnsi" w:hAnsiTheme="minorHAnsi" w:eastAsiaTheme="minorEastAsia" w:cstheme="minorBidi"/>
      <w:color w:val="FFFFFF" w:themeColor="background1"/>
      <w14:textFill>
        <w14:solidFill>
          <w14:schemeClr w14:val="bg1"/>
        </w14:solidFill>
      </w14:textFill>
    </w:rPr>
    <w:tblPr>
      <w:tblStyleRowBandSize w:val="1"/>
      <w:tblStyleColBandSize w:val="1"/>
    </w:tblPr>
    <w:tcPr>
      <w:shd w:val="clear" w:color="auto" w:fill="0F9ED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74E6A"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B769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120">
    <w:name w:val="Dark List Accent 5"/>
    <w:basedOn w:val="43"/>
    <w:qFormat/>
    <w:uiPriority w:val="70"/>
    <w:rPr>
      <w:rFonts w:asciiTheme="minorHAnsi" w:hAnsiTheme="minorHAnsi" w:eastAsiaTheme="minorEastAsia" w:cstheme="minorBidi"/>
      <w:color w:val="FFFFFF" w:themeColor="background1"/>
      <w14:textFill>
        <w14:solidFill>
          <w14:schemeClr w14:val="bg1"/>
        </w14:solidFill>
      </w14:textFill>
    </w:rPr>
    <w:tblPr>
      <w:tblStyleRowBandSize w:val="1"/>
      <w:tblStyleColBandSize w:val="1"/>
    </w:tblPr>
    <w:tcPr>
      <w:shd w:val="clear" w:color="auto" w:fill="A02B93"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154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206E"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206E" w:themeFill="accent5" w:themeFillShade="BF"/>
      </w:tcPr>
    </w:tblStylePr>
    <w:tblStylePr w:type="band1Vert">
      <w:tblPr/>
      <w:tcPr>
        <w:tcBorders>
          <w:top w:val="nil"/>
          <w:left w:val="nil"/>
          <w:bottom w:val="nil"/>
          <w:right w:val="nil"/>
          <w:insideH w:val="nil"/>
          <w:insideV w:val="nil"/>
        </w:tcBorders>
        <w:shd w:val="clear" w:color="auto" w:fill="77206E" w:themeFill="accent5" w:themeFillShade="BF"/>
      </w:tcPr>
    </w:tblStylePr>
    <w:tblStylePr w:type="band1Horz">
      <w:tblPr/>
      <w:tcPr>
        <w:tcBorders>
          <w:top w:val="nil"/>
          <w:left w:val="nil"/>
          <w:bottom w:val="nil"/>
          <w:right w:val="nil"/>
          <w:insideH w:val="nil"/>
          <w:insideV w:val="nil"/>
        </w:tcBorders>
        <w:shd w:val="clear" w:color="auto" w:fill="77206E" w:themeFill="accent5" w:themeFillShade="BF"/>
      </w:tcPr>
    </w:tblStylePr>
  </w:style>
  <w:style w:type="table" w:styleId="121">
    <w:name w:val="Dark List Accent 6"/>
    <w:basedOn w:val="43"/>
    <w:qFormat/>
    <w:uiPriority w:val="70"/>
    <w:rPr>
      <w:rFonts w:asciiTheme="minorHAnsi" w:hAnsiTheme="minorHAnsi" w:eastAsiaTheme="minorEastAsia" w:cstheme="minorBidi"/>
      <w:color w:val="FFFFFF" w:themeColor="background1"/>
      <w14:textFill>
        <w14:solidFill>
          <w14:schemeClr w14:val="bg1"/>
        </w14:solidFill>
      </w14:textFill>
    </w:rPr>
    <w:tblPr>
      <w:tblStyleRowBandSize w:val="1"/>
      <w:tblStyleColBandSize w:val="1"/>
    </w:tblPr>
    <w:tcPr>
      <w:shd w:val="clear" w:color="auto" w:fill="4EA72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531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A7D22"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A7D22" w:themeFill="accent6" w:themeFillShade="BF"/>
      </w:tcPr>
    </w:tblStylePr>
    <w:tblStylePr w:type="band1Vert">
      <w:tblPr/>
      <w:tcPr>
        <w:tcBorders>
          <w:top w:val="nil"/>
          <w:left w:val="nil"/>
          <w:bottom w:val="nil"/>
          <w:right w:val="nil"/>
          <w:insideH w:val="nil"/>
          <w:insideV w:val="nil"/>
        </w:tcBorders>
        <w:shd w:val="clear" w:color="auto" w:fill="3A7D22" w:themeFill="accent6" w:themeFillShade="BF"/>
      </w:tcPr>
    </w:tblStylePr>
    <w:tblStylePr w:type="band1Horz">
      <w:tblPr/>
      <w:tcPr>
        <w:tcBorders>
          <w:top w:val="nil"/>
          <w:left w:val="nil"/>
          <w:bottom w:val="nil"/>
          <w:right w:val="nil"/>
          <w:insideH w:val="nil"/>
          <w:insideV w:val="nil"/>
        </w:tcBorders>
        <w:shd w:val="clear" w:color="auto" w:fill="3A7D22" w:themeFill="accent6" w:themeFillShade="BF"/>
      </w:tcPr>
    </w:tblStylePr>
  </w:style>
  <w:style w:type="table" w:styleId="122">
    <w:name w:val="Colorful Shading"/>
    <w:basedOn w:val="43"/>
    <w:qFormat/>
    <w:uiPriority w:val="71"/>
    <w:rPr>
      <w:rFonts w:asciiTheme="minorHAnsi" w:hAnsiTheme="minorHAnsi" w:eastAsiaTheme="minorEastAsia" w:cstheme="minorBidi"/>
      <w:color w:val="000000" w:themeColor="text1"/>
      <w14:textFill>
        <w14:solidFill>
          <w14:schemeClr w14:val="tx1"/>
        </w14:solidFill>
      </w14:textFill>
    </w:rPr>
    <w:tblPr>
      <w:tblBorders>
        <w:top w:val="single" w:color="E9713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1"/>
    <w:basedOn w:val="43"/>
    <w:qFormat/>
    <w:uiPriority w:val="71"/>
    <w:rPr>
      <w:rFonts w:asciiTheme="minorHAnsi" w:hAnsiTheme="minorHAnsi" w:eastAsiaTheme="minorEastAsia" w:cstheme="minorBidi"/>
      <w:color w:val="000000" w:themeColor="text1"/>
      <w14:textFill>
        <w14:solidFill>
          <w14:schemeClr w14:val="tx1"/>
        </w14:solidFill>
      </w14:textFill>
    </w:rPr>
    <w:tblPr>
      <w:tblBorders>
        <w:top w:val="single" w:color="E97132" w:themeColor="accent2" w:sz="24" w:space="0"/>
        <w:left w:val="single" w:color="156082" w:themeColor="accent1" w:sz="4" w:space="0"/>
        <w:bottom w:val="single" w:color="156082" w:themeColor="accent1" w:sz="4" w:space="0"/>
        <w:right w:val="single" w:color="156082" w:themeColor="accent1" w:sz="4" w:space="0"/>
        <w:insideH w:val="single" w:color="FFFFFF" w:themeColor="background1" w:sz="4" w:space="0"/>
        <w:insideV w:val="single" w:color="FFFFFF" w:themeColor="background1" w:sz="4" w:space="0"/>
      </w:tblBorders>
    </w:tblPr>
    <w:tcPr>
      <w:shd w:val="clear" w:color="auto" w:fill="E0F2FA" w:themeFill="accen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C394D"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C394D"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5BDE6"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2"/>
    <w:basedOn w:val="43"/>
    <w:qFormat/>
    <w:uiPriority w:val="71"/>
    <w:rPr>
      <w:rFonts w:asciiTheme="minorHAnsi" w:hAnsiTheme="minorHAnsi" w:eastAsiaTheme="minorEastAsia" w:cstheme="minorBidi"/>
      <w:color w:val="000000" w:themeColor="text1"/>
      <w14:textFill>
        <w14:solidFill>
          <w14:schemeClr w14:val="tx1"/>
        </w14:solidFill>
      </w14:textFill>
    </w:rPr>
    <w:tblPr>
      <w:tblBorders>
        <w:top w:val="single" w:color="E97132" w:themeColor="accent2" w:sz="24" w:space="0"/>
        <w:left w:val="single" w:color="E97132" w:themeColor="accent2" w:sz="4" w:space="0"/>
        <w:bottom w:val="single" w:color="E97132" w:themeColor="accent2" w:sz="4" w:space="0"/>
        <w:right w:val="single" w:color="E97132" w:themeColor="accent2" w:sz="4" w:space="0"/>
        <w:insideH w:val="single" w:color="FFFFFF" w:themeColor="background1" w:sz="4" w:space="0"/>
        <w:insideV w:val="single" w:color="FFFFFF" w:themeColor="background1" w:sz="4" w:space="0"/>
      </w:tblBorders>
    </w:tblPr>
    <w:tcPr>
      <w:shd w:val="clear" w:color="auto" w:fill="FCF1EA" w:themeFill="accent2"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3F10"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3F10"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6AC" w:themeFill="accent2" w:themeFillTint="66"/>
      </w:tcPr>
    </w:tblStylePr>
    <w:tblStylePr w:type="band1Horz">
      <w:tblPr/>
      <w:tcPr>
        <w:shd w:val="clear" w:color="auto" w:fill="F4B8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3"/>
    <w:basedOn w:val="43"/>
    <w:qFormat/>
    <w:uiPriority w:val="71"/>
    <w:rPr>
      <w:rFonts w:asciiTheme="minorHAnsi" w:hAnsiTheme="minorHAnsi" w:eastAsiaTheme="minorEastAsia" w:cstheme="minorBidi"/>
      <w:color w:val="000000" w:themeColor="text1"/>
      <w14:textFill>
        <w14:solidFill>
          <w14:schemeClr w14:val="tx1"/>
        </w14:solidFill>
      </w14:textFill>
    </w:rPr>
    <w:tblPr>
      <w:tblBorders>
        <w:top w:val="single" w:color="0F9ED5" w:themeColor="accent4" w:sz="24" w:space="0"/>
        <w:left w:val="single" w:color="196B24" w:themeColor="accent3" w:sz="4" w:space="0"/>
        <w:bottom w:val="single" w:color="196B24" w:themeColor="accent3" w:sz="4" w:space="0"/>
        <w:right w:val="single" w:color="196B24" w:themeColor="accent3" w:sz="4" w:space="0"/>
        <w:insideH w:val="single" w:color="FFFFFF" w:themeColor="background1" w:sz="4" w:space="0"/>
        <w:insideV w:val="single" w:color="FFFFFF" w:themeColor="background1" w:sz="4" w:space="0"/>
      </w:tblBorders>
    </w:tblPr>
    <w:tcPr>
      <w:shd w:val="clear" w:color="auto" w:fill="E0F7E4" w:themeFill="accent3" w:themeFillTint="19"/>
    </w:tcPr>
    <w:tblStylePr w:type="firstRow">
      <w:rPr>
        <w:b/>
        <w:bCs/>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E4015"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E4015"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E4015" w:themeFill="accent3" w:themeFillShade="99"/>
      </w:tcPr>
    </w:tblStylePr>
    <w:tblStylePr w:type="band1Vert">
      <w:tblPr/>
      <w:tcPr>
        <w:shd w:val="clear" w:color="auto" w:fill="84E291" w:themeFill="accent3" w:themeFillTint="66"/>
      </w:tcPr>
    </w:tblStylePr>
    <w:tblStylePr w:type="band1Horz">
      <w:tblPr/>
      <w:tcPr>
        <w:shd w:val="clear" w:color="auto" w:fill="66DB76" w:themeFill="accent3" w:themeFillTint="7F"/>
      </w:tcPr>
    </w:tblStylePr>
  </w:style>
  <w:style w:type="table" w:styleId="126">
    <w:name w:val="Colorful Shading Accent 4"/>
    <w:basedOn w:val="43"/>
    <w:qFormat/>
    <w:uiPriority w:val="71"/>
    <w:rPr>
      <w:rFonts w:asciiTheme="minorHAnsi" w:hAnsiTheme="minorHAnsi" w:eastAsiaTheme="minorEastAsia" w:cstheme="minorBidi"/>
      <w:color w:val="000000" w:themeColor="text1"/>
      <w14:textFill>
        <w14:solidFill>
          <w14:schemeClr w14:val="tx1"/>
        </w14:solidFill>
      </w14:textFill>
    </w:rPr>
    <w:tblPr>
      <w:tblBorders>
        <w:top w:val="single" w:color="196B24" w:themeColor="accent3" w:sz="24" w:space="0"/>
        <w:left w:val="single" w:color="0F9ED5" w:themeColor="accent4" w:sz="4" w:space="0"/>
        <w:bottom w:val="single" w:color="0F9ED5" w:themeColor="accent4" w:sz="4" w:space="0"/>
        <w:right w:val="single" w:color="0F9ED5" w:themeColor="accent4" w:sz="4" w:space="0"/>
        <w:insideH w:val="single" w:color="FFFFFF" w:themeColor="background1" w:sz="4" w:space="0"/>
        <w:insideV w:val="single" w:color="FFFFFF" w:themeColor="background1" w:sz="4" w:space="0"/>
      </w:tblBorders>
    </w:tblPr>
    <w:tcPr>
      <w:shd w:val="clear" w:color="auto" w:fill="E5F6FD" w:themeFill="accent4" w:themeFillTint="19"/>
    </w:tcPr>
    <w:tblStylePr w:type="firstRow">
      <w:rPr>
        <w:b/>
        <w:bCs/>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85E7F"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85E7F"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8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5"/>
    <w:basedOn w:val="43"/>
    <w:qFormat/>
    <w:uiPriority w:val="71"/>
    <w:rPr>
      <w:rFonts w:asciiTheme="minorHAnsi" w:hAnsiTheme="minorHAnsi" w:eastAsiaTheme="minorEastAsia" w:cstheme="minorBidi"/>
      <w:color w:val="000000" w:themeColor="text1"/>
      <w14:textFill>
        <w14:solidFill>
          <w14:schemeClr w14:val="tx1"/>
        </w14:solidFill>
      </w14:textFill>
    </w:rPr>
    <w:tblPr>
      <w:tblBorders>
        <w:top w:val="single" w:color="4EA72E" w:themeColor="accent6" w:sz="24" w:space="0"/>
        <w:left w:val="single" w:color="A02B93" w:themeColor="accent5" w:sz="4" w:space="0"/>
        <w:bottom w:val="single" w:color="A02B93" w:themeColor="accent5" w:sz="4" w:space="0"/>
        <w:right w:val="single" w:color="A02B93" w:themeColor="accent5" w:sz="4" w:space="0"/>
        <w:insideH w:val="single" w:color="FFFFFF" w:themeColor="background1" w:sz="4" w:space="0"/>
        <w:insideV w:val="single" w:color="FFFFFF" w:themeColor="background1" w:sz="4" w:space="0"/>
      </w:tblBorders>
    </w:tblPr>
    <w:tcPr>
      <w:shd w:val="clear" w:color="auto" w:fill="F8E7F6" w:themeFill="accent5" w:themeFillTint="19"/>
    </w:tcPr>
    <w:tblStylePr w:type="firstRow">
      <w:rPr>
        <w:b/>
        <w:bCs/>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1958"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1958"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1958" w:themeFill="accent5" w:themeFillShade="99"/>
      </w:tcPr>
    </w:tblStylePr>
    <w:tblStylePr w:type="band1Vert">
      <w:tblPr/>
      <w:tcPr>
        <w:shd w:val="clear" w:color="auto" w:fill="E49EDD" w:themeFill="accent5" w:themeFillTint="66"/>
      </w:tcPr>
    </w:tblStylePr>
    <w:tblStylePr w:type="band1Horz">
      <w:tblPr/>
      <w:tcPr>
        <w:shd w:val="clear" w:color="auto" w:fill="DE86D4"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6"/>
    <w:basedOn w:val="43"/>
    <w:qFormat/>
    <w:uiPriority w:val="71"/>
    <w:rPr>
      <w:rFonts w:asciiTheme="minorHAnsi" w:hAnsiTheme="minorHAnsi" w:eastAsiaTheme="minorEastAsia" w:cstheme="minorBidi"/>
      <w:color w:val="000000" w:themeColor="text1"/>
      <w14:textFill>
        <w14:solidFill>
          <w14:schemeClr w14:val="tx1"/>
        </w14:solidFill>
      </w14:textFill>
    </w:rPr>
    <w:tblPr>
      <w:tblBorders>
        <w:top w:val="single" w:color="A02B93" w:themeColor="accent5" w:sz="24" w:space="0"/>
        <w:left w:val="single" w:color="4EA72E" w:themeColor="accent6" w:sz="4" w:space="0"/>
        <w:bottom w:val="single" w:color="4EA72E" w:themeColor="accent6" w:sz="4" w:space="0"/>
        <w:right w:val="single" w:color="4EA72E" w:themeColor="accent6" w:sz="4" w:space="0"/>
        <w:insideH w:val="single" w:color="FFFFFF" w:themeColor="background1" w:sz="4" w:space="0"/>
        <w:insideV w:val="single" w:color="FFFFFF" w:themeColor="background1" w:sz="4" w:space="0"/>
      </w:tblBorders>
    </w:tblPr>
    <w:tcPr>
      <w:shd w:val="clear" w:color="auto" w:fill="ECF8E8" w:themeFill="accent6" w:themeFillTint="19"/>
    </w:tcPr>
    <w:tblStylePr w:type="firstRow">
      <w:rPr>
        <w:b/>
        <w:bCs/>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E641B"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E641B"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1DF8B"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List"/>
    <w:basedOn w:val="43"/>
    <w:qFormat/>
    <w:uiPriority w:val="72"/>
    <w:rPr>
      <w:rFonts w:asciiTheme="minorHAnsi" w:hAnsiTheme="minorHAnsi" w:eastAsiaTheme="minorEastAsia" w:cstheme="minorBidi"/>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0">
    <w:name w:val="Colorful List Accent 1"/>
    <w:basedOn w:val="43"/>
    <w:qFormat/>
    <w:uiPriority w:val="72"/>
    <w:rPr>
      <w:rFonts w:asciiTheme="minorHAnsi" w:hAnsiTheme="minorHAnsi" w:eastAsiaTheme="minorEastAsia" w:cstheme="minorBidi"/>
      <w:color w:val="000000" w:themeColor="text1"/>
      <w14:textFill>
        <w14:solidFill>
          <w14:schemeClr w14:val="tx1"/>
        </w14:solidFill>
      </w14:textFill>
    </w:rPr>
    <w:tblPr>
      <w:tblStyleRowBandSize w:val="1"/>
      <w:tblStyleColBandSize w:val="1"/>
    </w:tblPr>
    <w:tcPr>
      <w:shd w:val="clear" w:color="auto" w:fill="E0F2FA"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131">
    <w:name w:val="Colorful List Accent 2"/>
    <w:basedOn w:val="43"/>
    <w:qFormat/>
    <w:uiPriority w:val="72"/>
    <w:rPr>
      <w:rFonts w:asciiTheme="minorHAnsi" w:hAnsiTheme="minorHAnsi" w:eastAsiaTheme="minorEastAsia" w:cstheme="minorBidi"/>
      <w:color w:val="000000" w:themeColor="text1"/>
      <w14:textFill>
        <w14:solidFill>
          <w14:schemeClr w14:val="tx1"/>
        </w14:solidFill>
      </w14:textFill>
    </w:rPr>
    <w:tblPr>
      <w:tblStyleRowBandSize w:val="1"/>
      <w:tblStyleColBandSize w:val="1"/>
    </w:tblPr>
    <w:tcPr>
      <w:shd w:val="clear" w:color="auto" w:fill="FCF1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132">
    <w:name w:val="Colorful List Accent 3"/>
    <w:basedOn w:val="43"/>
    <w:qFormat/>
    <w:uiPriority w:val="72"/>
    <w:rPr>
      <w:rFonts w:asciiTheme="minorHAnsi" w:hAnsiTheme="minorHAnsi" w:eastAsiaTheme="minorEastAsia" w:cstheme="minorBidi"/>
      <w:color w:val="000000" w:themeColor="text1"/>
      <w14:textFill>
        <w14:solidFill>
          <w14:schemeClr w14:val="tx1"/>
        </w14:solidFill>
      </w14:textFill>
    </w:rPr>
    <w:tblPr>
      <w:tblStyleRowBandSize w:val="1"/>
      <w:tblStyleColBandSize w:val="1"/>
    </w:tblPr>
    <w:tcPr>
      <w:shd w:val="clear" w:color="auto" w:fill="E0F7E4"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B7EAA" w:themeFill="accent4" w:themeFillShade="CC"/>
      </w:tcPr>
    </w:tblStylePr>
    <w:tblStylePr w:type="lastRow">
      <w:rPr>
        <w:b/>
        <w:bCs/>
        <w:color w:val="0C7EA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B" w:themeFill="accent3" w:themeFillTint="3F"/>
      </w:tcPr>
    </w:tblStylePr>
    <w:tblStylePr w:type="band1Horz">
      <w:tblPr/>
      <w:tcPr>
        <w:shd w:val="clear" w:color="auto" w:fill="C1F0C8" w:themeFill="accent3" w:themeFillTint="33"/>
      </w:tcPr>
    </w:tblStylePr>
  </w:style>
  <w:style w:type="table" w:styleId="133">
    <w:name w:val="Colorful List Accent 4"/>
    <w:basedOn w:val="43"/>
    <w:qFormat/>
    <w:uiPriority w:val="72"/>
    <w:rPr>
      <w:rFonts w:asciiTheme="minorHAnsi" w:hAnsiTheme="minorHAnsi" w:eastAsiaTheme="minorEastAsia" w:cstheme="minorBidi"/>
      <w:color w:val="000000" w:themeColor="text1"/>
      <w14:textFill>
        <w14:solidFill>
          <w14:schemeClr w14:val="tx1"/>
        </w14:solidFill>
      </w14:textFill>
    </w:rPr>
    <w:tblPr>
      <w:tblStyleRowBandSize w:val="1"/>
      <w:tblStyleColBandSize w:val="1"/>
    </w:tblPr>
    <w:tcPr>
      <w:shd w:val="clear" w:color="auto" w:fill="E5F6FD"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3551C" w:themeFill="accent3" w:themeFillShade="CC"/>
      </w:tcPr>
    </w:tblStylePr>
    <w:tblStylePr w:type="lastRow">
      <w:rPr>
        <w:b/>
        <w:bCs/>
        <w:color w:val="14561D"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134">
    <w:name w:val="Colorful List Accent 5"/>
    <w:basedOn w:val="43"/>
    <w:qFormat/>
    <w:uiPriority w:val="72"/>
    <w:rPr>
      <w:rFonts w:asciiTheme="minorHAnsi" w:hAnsiTheme="minorHAnsi" w:eastAsiaTheme="minorEastAsia" w:cstheme="minorBidi"/>
      <w:color w:val="000000" w:themeColor="text1"/>
      <w14:textFill>
        <w14:solidFill>
          <w14:schemeClr w14:val="tx1"/>
        </w14:solidFill>
      </w14:textFill>
    </w:rPr>
    <w:tblPr>
      <w:tblStyleRowBandSize w:val="1"/>
      <w:tblStyleColBandSize w:val="1"/>
    </w:tblPr>
    <w:tcPr>
      <w:shd w:val="clear" w:color="auto" w:fill="F8E7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E8524" w:themeFill="accent6" w:themeFillShade="CC"/>
      </w:tcPr>
    </w:tblStylePr>
    <w:tblStylePr w:type="lastRow">
      <w:rPr>
        <w:b/>
        <w:bCs/>
        <w:color w:val="3E8625"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EC3EA" w:themeFill="accent5" w:themeFillTint="3F"/>
      </w:tcPr>
    </w:tblStylePr>
    <w:tblStylePr w:type="band1Horz">
      <w:tblPr/>
      <w:tcPr>
        <w:shd w:val="clear" w:color="auto" w:fill="F1CEEE" w:themeFill="accent5" w:themeFillTint="33"/>
      </w:tcPr>
    </w:tblStylePr>
  </w:style>
  <w:style w:type="table" w:styleId="135">
    <w:name w:val="Colorful List Accent 6"/>
    <w:basedOn w:val="43"/>
    <w:qFormat/>
    <w:uiPriority w:val="72"/>
    <w:rPr>
      <w:rFonts w:asciiTheme="minorHAnsi" w:hAnsiTheme="minorHAnsi" w:eastAsiaTheme="minorEastAsia" w:cstheme="minorBidi"/>
      <w:color w:val="000000" w:themeColor="text1"/>
      <w14:textFill>
        <w14:solidFill>
          <w14:schemeClr w14:val="tx1"/>
        </w14:solidFill>
      </w14:textFill>
    </w:rPr>
    <w:tblPr>
      <w:tblStyleRowBandSize w:val="1"/>
      <w:tblStyleColBandSize w:val="1"/>
    </w:tblPr>
    <w:tcPr>
      <w:shd w:val="clear" w:color="auto" w:fill="ECF8E8"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2275" w:themeFill="accent5" w:themeFillShade="CC"/>
      </w:tcPr>
    </w:tblStylePr>
    <w:tblStylePr w:type="lastRow">
      <w:rPr>
        <w:b/>
        <w:bCs/>
        <w:color w:val="80227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136">
    <w:name w:val="Colorful Grid"/>
    <w:basedOn w:val="43"/>
    <w:qFormat/>
    <w:uiPriority w:val="73"/>
    <w:rPr>
      <w:rFonts w:asciiTheme="minorHAnsi" w:hAnsiTheme="minorHAnsi" w:eastAsiaTheme="minorEastAsia" w:cstheme="minorBidi"/>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7">
    <w:name w:val="Colorful Grid Accent 1"/>
    <w:basedOn w:val="43"/>
    <w:qFormat/>
    <w:uiPriority w:val="73"/>
    <w:rPr>
      <w:rFonts w:asciiTheme="minorHAnsi" w:hAnsiTheme="minorHAnsi" w:eastAsiaTheme="minorEastAsia" w:cstheme="minorBidi"/>
      <w:color w:val="000000" w:themeColor="text1"/>
      <w14:textFill>
        <w14:solidFill>
          <w14:schemeClr w14:val="tx1"/>
        </w14:solidFill>
      </w14:textFill>
    </w:rPr>
    <w:tblPr>
      <w:tblBorders>
        <w:insideH w:val="single" w:color="FFFFFF" w:themeColor="background1" w:sz="4" w:space="0"/>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14:textFill>
          <w14:solidFill>
            <w14:schemeClr w14:val="tx1"/>
          </w14:solidFill>
        </w14:textFill>
      </w:rPr>
      <w:tblPr/>
      <w:tcPr>
        <w:shd w:val="clear" w:color="auto" w:fill="83CAEB" w:themeFill="accent1" w:themeFillTint="66"/>
      </w:tcPr>
    </w:tblStylePr>
    <w:tblStylePr w:type="firstCol">
      <w:rPr>
        <w:color w:val="FFFFFF" w:themeColor="background1"/>
        <w14:textFill>
          <w14:solidFill>
            <w14:schemeClr w14:val="bg1"/>
          </w14:solidFill>
        </w14:textFill>
      </w:rPr>
      <w:tblPr/>
      <w:tcPr>
        <w:shd w:val="clear" w:color="auto" w:fill="0F4761" w:themeFill="accent1" w:themeFillShade="BF"/>
      </w:tcPr>
    </w:tblStylePr>
    <w:tblStylePr w:type="lastCol">
      <w:rPr>
        <w:color w:val="FFFFFF" w:themeColor="background1"/>
        <w14:textFill>
          <w14:solidFill>
            <w14:schemeClr w14:val="bg1"/>
          </w14:solidFill>
        </w14:textFill>
      </w:rPr>
      <w:tblPr/>
      <w:tcPr>
        <w:shd w:val="clear" w:color="auto" w:fill="0F4761" w:themeFill="accent1" w:themeFillShade="BF"/>
      </w:tc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138">
    <w:name w:val="Colorful Grid Accent 2"/>
    <w:basedOn w:val="43"/>
    <w:qFormat/>
    <w:uiPriority w:val="73"/>
    <w:rPr>
      <w:rFonts w:asciiTheme="minorHAnsi" w:hAnsiTheme="minorHAnsi" w:eastAsiaTheme="minorEastAsia" w:cstheme="minorBidi"/>
      <w:color w:val="000000" w:themeColor="text1"/>
      <w14:textFill>
        <w14:solidFill>
          <w14:schemeClr w14:val="tx1"/>
        </w14:solidFill>
      </w14:textFill>
    </w:rPr>
    <w:tblPr>
      <w:tblBorders>
        <w:insideH w:val="single" w:color="FFFFFF" w:themeColor="background1" w:sz="4" w:space="0"/>
      </w:tblBorders>
    </w:tblPr>
    <w:tcPr>
      <w:shd w:val="clear" w:color="auto" w:fill="FAE2D5" w:themeFill="accent2" w:themeFillTint="33"/>
    </w:tcPr>
    <w:tblStylePr w:type="firstRow">
      <w:rPr>
        <w:b/>
        <w:bCs/>
      </w:rPr>
      <w:tblPr/>
      <w:tcPr>
        <w:shd w:val="clear" w:color="auto" w:fill="F6C6AC" w:themeFill="accent2" w:themeFillTint="66"/>
      </w:tcPr>
    </w:tblStylePr>
    <w:tblStylePr w:type="lastRow">
      <w:rPr>
        <w:b/>
        <w:bCs/>
        <w:color w:val="000000" w:themeColor="text1"/>
        <w14:textFill>
          <w14:solidFill>
            <w14:schemeClr w14:val="tx1"/>
          </w14:solidFill>
        </w14:textFill>
      </w:rPr>
      <w:tblPr/>
      <w:tcPr>
        <w:shd w:val="clear" w:color="auto" w:fill="F6C6AC" w:themeFill="accent2" w:themeFillTint="66"/>
      </w:tcPr>
    </w:tblStylePr>
    <w:tblStylePr w:type="firstCol">
      <w:rPr>
        <w:color w:val="FFFFFF" w:themeColor="background1"/>
        <w14:textFill>
          <w14:solidFill>
            <w14:schemeClr w14:val="bg1"/>
          </w14:solidFill>
        </w14:textFill>
      </w:rPr>
      <w:tblPr/>
      <w:tcPr>
        <w:shd w:val="clear" w:color="auto" w:fill="BF4F14" w:themeFill="accent2" w:themeFillShade="BF"/>
      </w:tcPr>
    </w:tblStylePr>
    <w:tblStylePr w:type="lastCol">
      <w:rPr>
        <w:color w:val="FFFFFF" w:themeColor="background1"/>
        <w14:textFill>
          <w14:solidFill>
            <w14:schemeClr w14:val="bg1"/>
          </w14:solidFill>
        </w14:textFill>
      </w:rPr>
      <w:tblPr/>
      <w:tcPr>
        <w:shd w:val="clear" w:color="auto" w:fill="BF4F14" w:themeFill="accent2" w:themeFillShade="BF"/>
      </w:tc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139">
    <w:name w:val="Colorful Grid Accent 3"/>
    <w:basedOn w:val="43"/>
    <w:qFormat/>
    <w:uiPriority w:val="73"/>
    <w:rPr>
      <w:rFonts w:asciiTheme="minorHAnsi" w:hAnsiTheme="minorHAnsi" w:eastAsiaTheme="minorEastAsia" w:cstheme="minorBidi"/>
      <w:color w:val="000000" w:themeColor="text1"/>
      <w14:textFill>
        <w14:solidFill>
          <w14:schemeClr w14:val="tx1"/>
        </w14:solidFill>
      </w14:textFill>
    </w:rPr>
    <w:tblPr>
      <w:tblBorders>
        <w:insideH w:val="single" w:color="FFFFFF" w:themeColor="background1" w:sz="4" w:space="0"/>
      </w:tblBorders>
    </w:tblPr>
    <w:tcPr>
      <w:shd w:val="clear" w:color="auto" w:fill="C1F0C8" w:themeFill="accent3" w:themeFillTint="33"/>
    </w:tcPr>
    <w:tblStylePr w:type="firstRow">
      <w:rPr>
        <w:b/>
        <w:bCs/>
      </w:rPr>
      <w:tblPr/>
      <w:tcPr>
        <w:shd w:val="clear" w:color="auto" w:fill="84E291" w:themeFill="accent3" w:themeFillTint="66"/>
      </w:tcPr>
    </w:tblStylePr>
    <w:tblStylePr w:type="lastRow">
      <w:rPr>
        <w:b/>
        <w:bCs/>
        <w:color w:val="000000" w:themeColor="text1"/>
        <w14:textFill>
          <w14:solidFill>
            <w14:schemeClr w14:val="tx1"/>
          </w14:solidFill>
        </w14:textFill>
      </w:rPr>
      <w:tblPr/>
      <w:tcPr>
        <w:shd w:val="clear" w:color="auto" w:fill="84E291" w:themeFill="accent3" w:themeFillTint="66"/>
      </w:tcPr>
    </w:tblStylePr>
    <w:tblStylePr w:type="firstCol">
      <w:rPr>
        <w:color w:val="FFFFFF" w:themeColor="background1"/>
        <w14:textFill>
          <w14:solidFill>
            <w14:schemeClr w14:val="bg1"/>
          </w14:solidFill>
        </w14:textFill>
      </w:rPr>
      <w:tblPr/>
      <w:tcPr>
        <w:shd w:val="clear" w:color="auto" w:fill="12501A" w:themeFill="accent3" w:themeFillShade="BF"/>
      </w:tcPr>
    </w:tblStylePr>
    <w:tblStylePr w:type="lastCol">
      <w:rPr>
        <w:color w:val="FFFFFF" w:themeColor="background1"/>
        <w14:textFill>
          <w14:solidFill>
            <w14:schemeClr w14:val="bg1"/>
          </w14:solidFill>
        </w14:textFill>
      </w:rPr>
      <w:tblPr/>
      <w:tcPr>
        <w:shd w:val="clear" w:color="auto" w:fill="12501A" w:themeFill="accent3" w:themeFillShade="BF"/>
      </w:tc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140">
    <w:name w:val="Colorful Grid Accent 4"/>
    <w:basedOn w:val="43"/>
    <w:qFormat/>
    <w:uiPriority w:val="73"/>
    <w:rPr>
      <w:rFonts w:asciiTheme="minorHAnsi" w:hAnsiTheme="minorHAnsi" w:eastAsiaTheme="minorEastAsia" w:cstheme="minorBidi"/>
      <w:color w:val="000000" w:themeColor="text1"/>
      <w14:textFill>
        <w14:solidFill>
          <w14:schemeClr w14:val="tx1"/>
        </w14:solidFill>
      </w14:textFill>
    </w:rPr>
    <w:tblPr>
      <w:tblBorders>
        <w:insideH w:val="single" w:color="FFFFFF" w:themeColor="background1" w:sz="4" w:space="0"/>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14:textFill>
          <w14:solidFill>
            <w14:schemeClr w14:val="tx1"/>
          </w14:solidFill>
        </w14:textFill>
      </w:rPr>
      <w:tblPr/>
      <w:tcPr>
        <w:shd w:val="clear" w:color="auto" w:fill="95DCF7" w:themeFill="accent4" w:themeFillTint="66"/>
      </w:tcPr>
    </w:tblStylePr>
    <w:tblStylePr w:type="firstCol">
      <w:rPr>
        <w:color w:val="FFFFFF" w:themeColor="background1"/>
        <w14:textFill>
          <w14:solidFill>
            <w14:schemeClr w14:val="bg1"/>
          </w14:solidFill>
        </w14:textFill>
      </w:rPr>
      <w:tblPr/>
      <w:tcPr>
        <w:shd w:val="clear" w:color="auto" w:fill="0B769F" w:themeFill="accent4" w:themeFillShade="BF"/>
      </w:tcPr>
    </w:tblStylePr>
    <w:tblStylePr w:type="lastCol">
      <w:rPr>
        <w:color w:val="FFFFFF" w:themeColor="background1"/>
        <w14:textFill>
          <w14:solidFill>
            <w14:schemeClr w14:val="bg1"/>
          </w14:solidFill>
        </w14:textFill>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41">
    <w:name w:val="Colorful Grid Accent 5"/>
    <w:basedOn w:val="43"/>
    <w:qFormat/>
    <w:uiPriority w:val="73"/>
    <w:rPr>
      <w:rFonts w:asciiTheme="minorHAnsi" w:hAnsiTheme="minorHAnsi" w:eastAsiaTheme="minorEastAsia" w:cstheme="minorBidi"/>
      <w:color w:val="000000" w:themeColor="text1"/>
      <w14:textFill>
        <w14:solidFill>
          <w14:schemeClr w14:val="tx1"/>
        </w14:solidFill>
      </w14:textFill>
    </w:rPr>
    <w:tblPr>
      <w:tblBorders>
        <w:insideH w:val="single" w:color="FFFFFF" w:themeColor="background1" w:sz="4" w:space="0"/>
      </w:tblBorders>
    </w:tblPr>
    <w:tcPr>
      <w:shd w:val="clear" w:color="auto" w:fill="F1CEEE" w:themeFill="accent5" w:themeFillTint="33"/>
    </w:tcPr>
    <w:tblStylePr w:type="firstRow">
      <w:rPr>
        <w:b/>
        <w:bCs/>
      </w:rPr>
      <w:tblPr/>
      <w:tcPr>
        <w:shd w:val="clear" w:color="auto" w:fill="E49EDD" w:themeFill="accent5" w:themeFillTint="66"/>
      </w:tcPr>
    </w:tblStylePr>
    <w:tblStylePr w:type="lastRow">
      <w:rPr>
        <w:b/>
        <w:bCs/>
        <w:color w:val="000000" w:themeColor="text1"/>
        <w14:textFill>
          <w14:solidFill>
            <w14:schemeClr w14:val="tx1"/>
          </w14:solidFill>
        </w14:textFill>
      </w:rPr>
      <w:tblPr/>
      <w:tcPr>
        <w:shd w:val="clear" w:color="auto" w:fill="E49EDD" w:themeFill="accent5" w:themeFillTint="66"/>
      </w:tcPr>
    </w:tblStylePr>
    <w:tblStylePr w:type="firstCol">
      <w:rPr>
        <w:color w:val="FFFFFF" w:themeColor="background1"/>
        <w14:textFill>
          <w14:solidFill>
            <w14:schemeClr w14:val="bg1"/>
          </w14:solidFill>
        </w14:textFill>
      </w:rPr>
      <w:tblPr/>
      <w:tcPr>
        <w:shd w:val="clear" w:color="auto" w:fill="77206E" w:themeFill="accent5" w:themeFillShade="BF"/>
      </w:tcPr>
    </w:tblStylePr>
    <w:tblStylePr w:type="lastCol">
      <w:rPr>
        <w:color w:val="FFFFFF" w:themeColor="background1"/>
        <w14:textFill>
          <w14:solidFill>
            <w14:schemeClr w14:val="bg1"/>
          </w14:solidFill>
        </w14:textFill>
      </w:rPr>
      <w:tblPr/>
      <w:tcPr>
        <w:shd w:val="clear" w:color="auto" w:fill="77206E"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42">
    <w:name w:val="Colorful Grid Accent 6"/>
    <w:basedOn w:val="43"/>
    <w:qFormat/>
    <w:uiPriority w:val="73"/>
    <w:rPr>
      <w:rFonts w:asciiTheme="minorHAnsi" w:hAnsiTheme="minorHAnsi" w:eastAsiaTheme="minorEastAsia" w:cstheme="minorBidi"/>
      <w:color w:val="000000" w:themeColor="text1"/>
      <w14:textFill>
        <w14:solidFill>
          <w14:schemeClr w14:val="tx1"/>
        </w14:solidFill>
      </w14:textFill>
    </w:rPr>
    <w:tblPr>
      <w:tblBorders>
        <w:insideH w:val="single" w:color="FFFFFF" w:themeColor="background1" w:sz="4" w:space="0"/>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14:textFill>
          <w14:solidFill>
            <w14:schemeClr w14:val="tx1"/>
          </w14:solidFill>
        </w14:textFill>
      </w:rPr>
      <w:tblPr/>
      <w:tcPr>
        <w:shd w:val="clear" w:color="auto" w:fill="B3E5A1" w:themeFill="accent6" w:themeFillTint="66"/>
      </w:tcPr>
    </w:tblStylePr>
    <w:tblStylePr w:type="firstCol">
      <w:rPr>
        <w:color w:val="FFFFFF" w:themeColor="background1"/>
        <w14:textFill>
          <w14:solidFill>
            <w14:schemeClr w14:val="bg1"/>
          </w14:solidFill>
        </w14:textFill>
      </w:rPr>
      <w:tblPr/>
      <w:tcPr>
        <w:shd w:val="clear" w:color="auto" w:fill="3A7D22" w:themeFill="accent6" w:themeFillShade="BF"/>
      </w:tcPr>
    </w:tblStylePr>
    <w:tblStylePr w:type="lastCol">
      <w:rPr>
        <w:color w:val="FFFFFF" w:themeColor="background1"/>
        <w14:textFill>
          <w14:solidFill>
            <w14:schemeClr w14:val="bg1"/>
          </w14:solidFill>
        </w14:textFill>
      </w:rPr>
      <w:tblPr/>
      <w:tcPr>
        <w:shd w:val="clear" w:color="auto" w:fill="3A7D22" w:themeFill="accent6" w:themeFillShade="BF"/>
      </w:tc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character" w:styleId="144">
    <w:name w:val="Strong"/>
    <w:basedOn w:val="143"/>
    <w:qFormat/>
    <w:uiPriority w:val="22"/>
    <w:rPr>
      <w:b/>
      <w:bCs/>
    </w:rPr>
  </w:style>
  <w:style w:type="character" w:styleId="145">
    <w:name w:val="endnote reference"/>
    <w:basedOn w:val="143"/>
    <w:semiHidden/>
    <w:unhideWhenUsed/>
    <w:qFormat/>
    <w:uiPriority w:val="99"/>
    <w:rPr>
      <w:vertAlign w:val="superscript"/>
    </w:rPr>
  </w:style>
  <w:style w:type="character" w:styleId="146">
    <w:name w:val="FollowedHyperlink"/>
    <w:basedOn w:val="143"/>
    <w:semiHidden/>
    <w:unhideWhenUsed/>
    <w:qFormat/>
    <w:uiPriority w:val="99"/>
    <w:rPr>
      <w:color w:val="800080"/>
      <w:u w:val="single"/>
    </w:rPr>
  </w:style>
  <w:style w:type="character" w:styleId="147">
    <w:name w:val="Emphasis"/>
    <w:basedOn w:val="143"/>
    <w:qFormat/>
    <w:uiPriority w:val="20"/>
    <w:rPr>
      <w:i/>
      <w:iCs/>
    </w:rPr>
  </w:style>
  <w:style w:type="character" w:styleId="148">
    <w:name w:val="Hyperlink"/>
    <w:basedOn w:val="143"/>
    <w:unhideWhenUsed/>
    <w:qFormat/>
    <w:uiPriority w:val="99"/>
    <w:rPr>
      <w:color w:val="0000FF"/>
      <w:u w:val="single"/>
    </w:rPr>
  </w:style>
  <w:style w:type="character" w:styleId="149">
    <w:name w:val="annotation reference"/>
    <w:basedOn w:val="143"/>
    <w:semiHidden/>
    <w:unhideWhenUsed/>
    <w:qFormat/>
    <w:uiPriority w:val="99"/>
    <w:rPr>
      <w:sz w:val="21"/>
      <w:szCs w:val="21"/>
    </w:rPr>
  </w:style>
  <w:style w:type="character" w:styleId="150">
    <w:name w:val="footnote reference"/>
    <w:basedOn w:val="143"/>
    <w:unhideWhenUsed/>
    <w:qFormat/>
    <w:uiPriority w:val="0"/>
    <w:rPr>
      <w:vertAlign w:val="superscript"/>
    </w:rPr>
  </w:style>
  <w:style w:type="character" w:customStyle="1" w:styleId="151">
    <w:name w:val="标题 1 字符"/>
    <w:basedOn w:val="143"/>
    <w:link w:val="3"/>
    <w:qFormat/>
    <w:uiPriority w:val="9"/>
    <w:rPr>
      <w:rFonts w:ascii="Times New Roman" w:hAnsi="Times New Roman" w:eastAsia="宋体" w:cstheme="majorBidi"/>
      <w:b/>
      <w:color w:val="000000" w:themeColor="text1"/>
      <w:sz w:val="30"/>
      <w:szCs w:val="48"/>
      <w14:textFill>
        <w14:solidFill>
          <w14:schemeClr w14:val="tx1"/>
        </w14:solidFill>
      </w14:textFill>
    </w:rPr>
  </w:style>
  <w:style w:type="character" w:customStyle="1" w:styleId="152">
    <w:name w:val="标题 2 字符"/>
    <w:basedOn w:val="143"/>
    <w:link w:val="4"/>
    <w:qFormat/>
    <w:uiPriority w:val="9"/>
    <w:rPr>
      <w:rFonts w:ascii="Times New Roman" w:hAnsi="Times New Roman" w:eastAsia="宋体" w:cstheme="majorBidi"/>
      <w:b/>
      <w:color w:val="000000" w:themeColor="text1"/>
      <w:sz w:val="28"/>
      <w:szCs w:val="40"/>
      <w14:textFill>
        <w14:solidFill>
          <w14:schemeClr w14:val="tx1"/>
        </w14:solidFill>
      </w14:textFill>
    </w:rPr>
  </w:style>
  <w:style w:type="character" w:customStyle="1" w:styleId="153">
    <w:name w:val="标题 3 字符"/>
    <w:basedOn w:val="143"/>
    <w:link w:val="5"/>
    <w:qFormat/>
    <w:uiPriority w:val="9"/>
    <w:rPr>
      <w:rFonts w:ascii="Times New Roman" w:hAnsi="Times New Roman" w:eastAsia="宋体" w:cstheme="majorBidi"/>
      <w:b/>
      <w:color w:val="000000" w:themeColor="text1"/>
      <w:sz w:val="24"/>
      <w:szCs w:val="32"/>
      <w14:textFill>
        <w14:solidFill>
          <w14:schemeClr w14:val="tx1"/>
        </w14:solidFill>
      </w14:textFill>
    </w:rPr>
  </w:style>
  <w:style w:type="character" w:customStyle="1" w:styleId="154">
    <w:name w:val="标题 4 字符"/>
    <w:basedOn w:val="143"/>
    <w:link w:val="6"/>
    <w:semiHidden/>
    <w:qFormat/>
    <w:uiPriority w:val="9"/>
    <w:rPr>
      <w:rFonts w:eastAsia="宋体" w:cstheme="majorBidi"/>
      <w:color w:val="000000" w:themeColor="text1"/>
      <w:sz w:val="24"/>
      <w:szCs w:val="28"/>
      <w14:textFill>
        <w14:solidFill>
          <w14:schemeClr w14:val="tx1"/>
        </w14:solidFill>
      </w14:textFill>
    </w:rPr>
  </w:style>
  <w:style w:type="character" w:customStyle="1" w:styleId="155">
    <w:name w:val="标题 5 字符"/>
    <w:basedOn w:val="143"/>
    <w:link w:val="7"/>
    <w:semiHidden/>
    <w:qFormat/>
    <w:uiPriority w:val="9"/>
    <w:rPr>
      <w:rFonts w:cstheme="majorBidi"/>
      <w:color w:val="104862" w:themeColor="accent1" w:themeShade="BF"/>
      <w:sz w:val="24"/>
    </w:rPr>
  </w:style>
  <w:style w:type="character" w:customStyle="1" w:styleId="156">
    <w:name w:val="标题 6 字符"/>
    <w:basedOn w:val="143"/>
    <w:link w:val="8"/>
    <w:semiHidden/>
    <w:qFormat/>
    <w:uiPriority w:val="9"/>
    <w:rPr>
      <w:rFonts w:cstheme="majorBidi"/>
      <w:b/>
      <w:bCs/>
      <w:color w:val="104862" w:themeColor="accent1" w:themeShade="BF"/>
    </w:rPr>
  </w:style>
  <w:style w:type="character" w:customStyle="1" w:styleId="157">
    <w:name w:val="标题 7 字符"/>
    <w:basedOn w:val="143"/>
    <w:link w:val="9"/>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158">
    <w:name w:val="标题 8 字符"/>
    <w:basedOn w:val="143"/>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159">
    <w:name w:val="标题 9 字符"/>
    <w:basedOn w:val="143"/>
    <w:link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160">
    <w:name w:val="标题 字符"/>
    <w:basedOn w:val="143"/>
    <w:link w:val="41"/>
    <w:qFormat/>
    <w:uiPriority w:val="10"/>
    <w:rPr>
      <w:rFonts w:asciiTheme="majorHAnsi" w:hAnsiTheme="majorHAnsi" w:eastAsiaTheme="majorEastAsia" w:cstheme="majorBidi"/>
      <w:spacing w:val="-10"/>
      <w:kern w:val="28"/>
      <w:sz w:val="56"/>
      <w:szCs w:val="56"/>
    </w:rPr>
  </w:style>
  <w:style w:type="character" w:customStyle="1" w:styleId="161">
    <w:name w:val="副标题 字符"/>
    <w:basedOn w:val="143"/>
    <w:link w:val="3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2">
    <w:name w:val="Quote"/>
    <w:basedOn w:val="1"/>
    <w:next w:val="1"/>
    <w:link w:val="16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163">
    <w:name w:val="引用 字符"/>
    <w:basedOn w:val="143"/>
    <w:link w:val="162"/>
    <w:qFormat/>
    <w:uiPriority w:val="29"/>
    <w:rPr>
      <w:i/>
      <w:iCs/>
      <w:color w:val="404040" w:themeColor="text1" w:themeTint="BF"/>
      <w14:textFill>
        <w14:solidFill>
          <w14:schemeClr w14:val="tx1">
            <w14:lumMod w14:val="75000"/>
            <w14:lumOff w14:val="25000"/>
          </w14:schemeClr>
        </w14:solidFill>
      </w14:textFill>
    </w:rPr>
  </w:style>
  <w:style w:type="paragraph" w:styleId="164">
    <w:name w:val="List Paragraph"/>
    <w:basedOn w:val="1"/>
    <w:qFormat/>
    <w:uiPriority w:val="34"/>
    <w:pPr>
      <w:ind w:left="720"/>
      <w:contextualSpacing/>
    </w:pPr>
  </w:style>
  <w:style w:type="character" w:customStyle="1" w:styleId="165">
    <w:name w:val="明显强调1"/>
    <w:basedOn w:val="143"/>
    <w:qFormat/>
    <w:uiPriority w:val="21"/>
    <w:rPr>
      <w:i/>
      <w:iCs/>
      <w:color w:val="104862" w:themeColor="accent1" w:themeShade="BF"/>
    </w:rPr>
  </w:style>
  <w:style w:type="paragraph" w:styleId="166">
    <w:name w:val="Intense Quote"/>
    <w:basedOn w:val="1"/>
    <w:next w:val="1"/>
    <w:link w:val="16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167">
    <w:name w:val="明显引用 字符"/>
    <w:basedOn w:val="143"/>
    <w:link w:val="166"/>
    <w:qFormat/>
    <w:uiPriority w:val="30"/>
    <w:rPr>
      <w:i/>
      <w:iCs/>
      <w:color w:val="104862" w:themeColor="accent1" w:themeShade="BF"/>
    </w:rPr>
  </w:style>
  <w:style w:type="character" w:customStyle="1" w:styleId="168">
    <w:name w:val="明显参考1"/>
    <w:basedOn w:val="143"/>
    <w:qFormat/>
    <w:uiPriority w:val="32"/>
    <w:rPr>
      <w:b/>
      <w:bCs/>
      <w:smallCaps/>
      <w:color w:val="104862" w:themeColor="accent1" w:themeShade="BF"/>
      <w:spacing w:val="5"/>
    </w:rPr>
  </w:style>
  <w:style w:type="character" w:customStyle="1" w:styleId="169">
    <w:name w:val="脚注文本 字符"/>
    <w:basedOn w:val="143"/>
    <w:link w:val="35"/>
    <w:semiHidden/>
    <w:qFormat/>
    <w:uiPriority w:val="99"/>
    <w:rPr>
      <w:sz w:val="18"/>
      <w:szCs w:val="22"/>
      <w14:ligatures w14:val="none"/>
    </w:rPr>
  </w:style>
  <w:style w:type="character" w:customStyle="1" w:styleId="170">
    <w:name w:val="批注文字 字符"/>
    <w:basedOn w:val="143"/>
    <w:link w:val="17"/>
    <w:semiHidden/>
    <w:qFormat/>
    <w:uiPriority w:val="99"/>
    <w:rPr>
      <w:rFonts w:ascii="Arial" w:hAnsi="Arial"/>
      <w:kern w:val="0"/>
      <w:szCs w:val="22"/>
      <w:lang w:eastAsia="en-US"/>
      <w14:ligatures w14:val="none"/>
    </w:rPr>
  </w:style>
  <w:style w:type="character" w:customStyle="1" w:styleId="171">
    <w:name w:val="尾注文本 字符"/>
    <w:basedOn w:val="143"/>
    <w:link w:val="26"/>
    <w:semiHidden/>
    <w:qFormat/>
    <w:uiPriority w:val="99"/>
    <w:rPr>
      <w:rFonts w:ascii="宋体" w:hAnsi="宋体" w:eastAsia="宋体"/>
      <w:kern w:val="0"/>
      <w:sz w:val="22"/>
      <w:szCs w:val="22"/>
      <w:lang w:eastAsia="en-US"/>
      <w14:ligatures w14:val="none"/>
    </w:rPr>
  </w:style>
  <w:style w:type="character" w:customStyle="1" w:styleId="172">
    <w:name w:val="gs_tkn"/>
    <w:basedOn w:val="143"/>
    <w:qFormat/>
    <w:uiPriority w:val="0"/>
  </w:style>
  <w:style w:type="character" w:customStyle="1" w:styleId="173">
    <w:name w:val="批注主题 字符"/>
    <w:basedOn w:val="170"/>
    <w:link w:val="42"/>
    <w:semiHidden/>
    <w:qFormat/>
    <w:uiPriority w:val="99"/>
    <w:rPr>
      <w:rFonts w:asciiTheme="minorHAnsi" w:hAnsiTheme="minorHAnsi" w:eastAsiaTheme="minorEastAsia" w:cstheme="minorBidi"/>
      <w:b/>
      <w:bCs/>
      <w:kern w:val="2"/>
      <w:sz w:val="21"/>
      <w:szCs w:val="22"/>
      <w:lang w:eastAsia="en-US"/>
      <w14:ligatures w14:val="none"/>
    </w:rPr>
  </w:style>
  <w:style w:type="character" w:customStyle="1" w:styleId="174">
    <w:name w:val="页眉 字符"/>
    <w:basedOn w:val="143"/>
    <w:link w:val="28"/>
    <w:qFormat/>
    <w:uiPriority w:val="99"/>
    <w:rPr>
      <w:rFonts w:asciiTheme="minorHAnsi" w:hAnsiTheme="minorHAnsi" w:eastAsiaTheme="minorEastAsia" w:cstheme="minorBidi"/>
      <w:kern w:val="2"/>
      <w:sz w:val="18"/>
      <w:szCs w:val="18"/>
    </w:rPr>
  </w:style>
  <w:style w:type="character" w:customStyle="1" w:styleId="175">
    <w:name w:val="页脚 字符"/>
    <w:basedOn w:val="143"/>
    <w:link w:val="27"/>
    <w:qFormat/>
    <w:uiPriority w:val="99"/>
    <w:rPr>
      <w:rFonts w:asciiTheme="minorHAnsi" w:hAnsiTheme="minorHAnsi" w:eastAsiaTheme="minorEastAsia" w:cstheme="minorBidi"/>
      <w:kern w:val="2"/>
      <w:sz w:val="18"/>
      <w:szCs w:val="18"/>
    </w:rPr>
  </w:style>
  <w:style w:type="character" w:customStyle="1" w:styleId="176">
    <w:name w:val="宏文本 字符"/>
    <w:basedOn w:val="143"/>
    <w:link w:val="2"/>
    <w:qFormat/>
    <w:uiPriority w:val="99"/>
    <w:rPr>
      <w:rFonts w:ascii="Courier" w:hAnsi="Courier" w:eastAsiaTheme="minorEastAsia" w:cstheme="minorBidi"/>
      <w:lang w:eastAsia="en-US"/>
    </w:rPr>
  </w:style>
  <w:style w:type="character" w:customStyle="1" w:styleId="177">
    <w:name w:val="正文文本 3 字符"/>
    <w:basedOn w:val="143"/>
    <w:link w:val="18"/>
    <w:qFormat/>
    <w:uiPriority w:val="99"/>
    <w:rPr>
      <w:rFonts w:ascii="Arial" w:hAnsi="Arial" w:eastAsiaTheme="minorEastAsia" w:cstheme="minorBidi"/>
      <w:sz w:val="16"/>
      <w:szCs w:val="16"/>
      <w:lang w:eastAsia="en-US"/>
    </w:rPr>
  </w:style>
  <w:style w:type="character" w:customStyle="1" w:styleId="178">
    <w:name w:val="正文文本 字符"/>
    <w:basedOn w:val="143"/>
    <w:link w:val="20"/>
    <w:qFormat/>
    <w:uiPriority w:val="99"/>
    <w:rPr>
      <w:rFonts w:ascii="Arial" w:hAnsi="Arial" w:eastAsiaTheme="minorEastAsia" w:cstheme="minorBidi"/>
      <w:sz w:val="21"/>
      <w:szCs w:val="22"/>
      <w:lang w:eastAsia="en-US"/>
    </w:rPr>
  </w:style>
  <w:style w:type="character" w:customStyle="1" w:styleId="179">
    <w:name w:val="正文文本 2 字符"/>
    <w:basedOn w:val="143"/>
    <w:link w:val="37"/>
    <w:qFormat/>
    <w:uiPriority w:val="99"/>
    <w:rPr>
      <w:rFonts w:ascii="Arial" w:hAnsi="Arial" w:eastAsiaTheme="minorEastAsia" w:cstheme="minorBidi"/>
      <w:sz w:val="21"/>
      <w:szCs w:val="22"/>
      <w:lang w:eastAsia="en-US"/>
    </w:rPr>
  </w:style>
  <w:style w:type="character" w:customStyle="1" w:styleId="180">
    <w:name w:val="不明显强调1"/>
    <w:basedOn w:val="143"/>
    <w:qFormat/>
    <w:uiPriority w:val="19"/>
    <w:rPr>
      <w:i/>
      <w:iCs/>
      <w:color w:val="808080" w:themeColor="text1" w:themeTint="80"/>
      <w14:textFill>
        <w14:solidFill>
          <w14:schemeClr w14:val="tx1">
            <w14:lumMod w14:val="50000"/>
            <w14:lumOff w14:val="50000"/>
          </w14:schemeClr>
        </w14:solidFill>
      </w14:textFill>
    </w:rPr>
  </w:style>
  <w:style w:type="character" w:customStyle="1" w:styleId="181">
    <w:name w:val="不明显参考1"/>
    <w:basedOn w:val="143"/>
    <w:qFormat/>
    <w:uiPriority w:val="31"/>
    <w:rPr>
      <w:smallCaps/>
      <w:color w:val="E97132" w:themeColor="accent2"/>
      <w:u w:val="single"/>
      <w14:textFill>
        <w14:solidFill>
          <w14:schemeClr w14:val="accent2"/>
        </w14:solidFill>
      </w14:textFill>
    </w:rPr>
  </w:style>
  <w:style w:type="character" w:customStyle="1" w:styleId="182">
    <w:name w:val="书籍标题1"/>
    <w:basedOn w:val="143"/>
    <w:qFormat/>
    <w:uiPriority w:val="33"/>
    <w:rPr>
      <w:b/>
      <w:bCs/>
      <w:smallCaps/>
      <w:spacing w:val="5"/>
    </w:rPr>
  </w:style>
  <w:style w:type="paragraph" w:customStyle="1" w:styleId="183">
    <w:name w:val="Index"/>
    <w:basedOn w:val="1"/>
    <w:qFormat/>
    <w:uiPriority w:val="0"/>
    <w:pPr>
      <w:widowControl/>
      <w:suppressLineNumbers/>
      <w:suppressAutoHyphens/>
      <w:spacing w:after="200" w:line="276" w:lineRule="auto"/>
      <w:jc w:val="left"/>
    </w:pPr>
    <w:rPr>
      <w:rFonts w:ascii="Arial" w:hAnsi="Arial" w:cs="Noto Sans"/>
      <w:kern w:val="0"/>
      <w:lang w:eastAsia="en-US"/>
    </w:rPr>
  </w:style>
  <w:style w:type="paragraph" w:customStyle="1" w:styleId="184">
    <w:name w:val="Header and Footer"/>
    <w:basedOn w:val="1"/>
    <w:qFormat/>
    <w:uiPriority w:val="0"/>
    <w:pPr>
      <w:widowControl/>
      <w:suppressAutoHyphens/>
      <w:spacing w:after="200" w:line="276" w:lineRule="auto"/>
      <w:jc w:val="left"/>
    </w:pPr>
    <w:rPr>
      <w:rFonts w:ascii="Arial" w:hAnsi="Arial"/>
      <w:kern w:val="0"/>
      <w:lang w:eastAsia="en-US"/>
    </w:rPr>
  </w:style>
  <w:style w:type="paragraph" w:styleId="185">
    <w:name w:val="No Spacing"/>
    <w:qFormat/>
    <w:uiPriority w:val="1"/>
    <w:pPr>
      <w:suppressAutoHyphens/>
    </w:pPr>
    <w:rPr>
      <w:rFonts w:asciiTheme="minorHAnsi" w:hAnsiTheme="minorHAnsi" w:eastAsiaTheme="minorEastAsia" w:cstheme="minorBidi"/>
      <w:sz w:val="22"/>
      <w:szCs w:val="22"/>
      <w:lang w:val="en-US" w:eastAsia="en-US" w:bidi="ar-SA"/>
    </w:rPr>
  </w:style>
  <w:style w:type="paragraph" w:customStyle="1" w:styleId="186">
    <w:name w:val="TOC 标题1"/>
    <w:basedOn w:val="3"/>
    <w:next w:val="1"/>
    <w:semiHidden/>
    <w:unhideWhenUsed/>
    <w:qFormat/>
    <w:uiPriority w:val="39"/>
    <w:pPr>
      <w:widowControl/>
      <w:suppressAutoHyphens/>
      <w:spacing w:after="0" w:line="276" w:lineRule="auto"/>
      <w:jc w:val="left"/>
      <w:outlineLvl w:val="9"/>
    </w:pPr>
    <w:rPr>
      <w:rFonts w:eastAsia="黑体"/>
      <w:bCs/>
      <w:color w:val="000000" w:themeColor="text1"/>
      <w:kern w:val="0"/>
      <w:sz w:val="30"/>
      <w:szCs w:val="28"/>
      <w:lang w:eastAsia="en-US"/>
      <w14:textFill>
        <w14:solidFill>
          <w14:schemeClr w14:val="tx1"/>
        </w14:solidFill>
      </w14:textFill>
    </w:rPr>
  </w:style>
  <w:style w:type="paragraph" w:customStyle="1" w:styleId="187">
    <w:name w:val="修订1"/>
    <w:hidden/>
    <w:semiHidden/>
    <w:qFormat/>
    <w:uiPriority w:val="99"/>
    <w:rPr>
      <w:rFonts w:ascii="Arial" w:hAnsi="Arial" w:eastAsiaTheme="minorEastAsia" w:cstheme="minorBidi"/>
      <w:sz w:val="21"/>
      <w:szCs w:val="22"/>
      <w:lang w:val="en-US" w:eastAsia="en-US" w:bidi="ar-SA"/>
    </w:rPr>
  </w:style>
  <w:style w:type="paragraph" w:customStyle="1" w:styleId="188">
    <w:name w:val="修订2"/>
    <w:hidden/>
    <w:unhideWhenUsed/>
    <w:qFormat/>
    <w:uiPriority w:val="99"/>
    <w:rPr>
      <w:rFonts w:ascii="Arial" w:hAnsi="Arial" w:eastAsiaTheme="minorEastAsia" w:cstheme="minorBidi"/>
      <w:sz w:val="21"/>
      <w:szCs w:val="22"/>
      <w:lang w:val="en-US" w:eastAsia="en-US" w:bidi="ar-SA"/>
    </w:rPr>
  </w:style>
  <w:style w:type="table" w:customStyle="1" w:styleId="189">
    <w:name w:val="网格型1"/>
    <w:basedOn w:val="43"/>
    <w:qFormat/>
    <w:uiPriority w:val="59"/>
    <w:rPr>
      <w:rFonts w:ascii="Cambria" w:hAnsi="Cambria"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
    <w:name w:val="浅色底纹1"/>
    <w:basedOn w:val="43"/>
    <w:qFormat/>
    <w:uiPriority w:val="60"/>
    <w:rPr>
      <w:rFonts w:ascii="Cambria" w:hAnsi="Cambria" w:cs="宋体"/>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91">
    <w:name w:val="浅色底纹 - 着色 11"/>
    <w:basedOn w:val="43"/>
    <w:qFormat/>
    <w:uiPriority w:val="60"/>
    <w:rPr>
      <w:rFonts w:ascii="Cambria" w:hAnsi="Cambria" w:cs="宋体"/>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92">
    <w:name w:val="浅色底纹 - 着色 21"/>
    <w:basedOn w:val="43"/>
    <w:qFormat/>
    <w:uiPriority w:val="60"/>
    <w:rPr>
      <w:rFonts w:ascii="Cambria" w:hAnsi="Cambria" w:cs="宋体"/>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93">
    <w:name w:val="浅色底纹 - 着色 31"/>
    <w:basedOn w:val="43"/>
    <w:qFormat/>
    <w:uiPriority w:val="60"/>
    <w:rPr>
      <w:rFonts w:ascii="Cambria" w:hAnsi="Cambria" w:cs="宋体"/>
      <w:color w:val="76923C"/>
    </w:rPr>
    <w:tblPr>
      <w:tblBorders>
        <w:top w:val="single" w:color="9BBB59" w:sz="8" w:space="0"/>
        <w:bottom w:val="single" w:color="9BBB59" w:sz="8" w:space="0"/>
      </w:tblBorders>
    </w:tblPr>
    <w:tblStylePr w:type="fir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customStyle="1" w:styleId="194">
    <w:name w:val="浅色底纹 - 着色 41"/>
    <w:basedOn w:val="43"/>
    <w:qFormat/>
    <w:uiPriority w:val="60"/>
    <w:rPr>
      <w:rFonts w:ascii="Cambria" w:hAnsi="Cambria" w:cs="宋体"/>
      <w:color w:val="5F497A"/>
    </w:rPr>
    <w:tblPr>
      <w:tblBorders>
        <w:top w:val="single" w:color="8064A2" w:sz="8" w:space="0"/>
        <w:bottom w:val="single" w:color="8064A2" w:sz="8" w:space="0"/>
      </w:tblBorders>
    </w:tblPr>
    <w:tblStylePr w:type="fir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cPr>
    </w:tblStylePr>
    <w:tblStylePr w:type="band1Horz">
      <w:tcPr>
        <w:tcBorders>
          <w:left w:val="nil"/>
          <w:right w:val="nil"/>
          <w:insideH w:val="nil"/>
          <w:insideV w:val="nil"/>
        </w:tcBorders>
        <w:shd w:val="clear" w:color="auto" w:fill="DFD8E8"/>
      </w:tcPr>
    </w:tblStylePr>
  </w:style>
  <w:style w:type="table" w:customStyle="1" w:styleId="195">
    <w:name w:val="浅色底纹 - 着色 51"/>
    <w:basedOn w:val="43"/>
    <w:qFormat/>
    <w:uiPriority w:val="60"/>
    <w:rPr>
      <w:rFonts w:ascii="Cambria" w:hAnsi="Cambria" w:cs="宋体"/>
      <w:color w:val="31849B"/>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196">
    <w:name w:val="浅色底纹 - 着色 61"/>
    <w:basedOn w:val="43"/>
    <w:qFormat/>
    <w:uiPriority w:val="60"/>
    <w:rPr>
      <w:rFonts w:ascii="Cambria" w:hAnsi="Cambria" w:cs="宋体"/>
      <w:color w:val="E36C0A"/>
    </w:rPr>
    <w:tblPr>
      <w:tblBorders>
        <w:top w:val="single" w:color="F79646" w:sz="8" w:space="0"/>
        <w:bottom w:val="single" w:color="F79646" w:sz="8" w:space="0"/>
      </w:tblBorders>
    </w:tblPr>
    <w:tblStylePr w:type="fir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customStyle="1" w:styleId="197">
    <w:name w:val="浅色列表1"/>
    <w:basedOn w:val="43"/>
    <w:qFormat/>
    <w:uiPriority w:val="61"/>
    <w:rPr>
      <w:rFonts w:ascii="Cambria" w:hAnsi="Cambria" w:cs="宋体"/>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98">
    <w:name w:val="浅色列表 - 着色 11"/>
    <w:basedOn w:val="43"/>
    <w:qFormat/>
    <w:uiPriority w:val="61"/>
    <w:rPr>
      <w:rFonts w:ascii="Cambria" w:hAnsi="Cambria" w:cs="宋体"/>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99">
    <w:name w:val="浅色列表 - 着色 21"/>
    <w:basedOn w:val="43"/>
    <w:qFormat/>
    <w:uiPriority w:val="61"/>
    <w:rPr>
      <w:rFonts w:ascii="Cambria" w:hAnsi="Cambria" w:cs="宋体"/>
    </w:rPr>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cPr>
        <w:shd w:val="clear" w:color="auto" w:fill="C0504D"/>
      </w:tcPr>
    </w:tblStylePr>
    <w:tblStylePr w:type="lastRow">
      <w:pPr>
        <w:spacing w:before="0" w:after="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200">
    <w:name w:val="浅色列表 - 着色 31"/>
    <w:basedOn w:val="43"/>
    <w:qFormat/>
    <w:uiPriority w:val="61"/>
    <w:rPr>
      <w:rFonts w:ascii="Cambria" w:hAnsi="Cambria" w:cs="宋体"/>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cPr>
        <w:shd w:val="clear" w:color="auto" w:fill="9BBB59"/>
      </w:tcPr>
    </w:tblStylePr>
    <w:tblStylePr w:type="lastRow">
      <w:pPr>
        <w:spacing w:before="0" w:after="0" w:line="240" w:lineRule="auto"/>
      </w:pPr>
      <w:rPr>
        <w:b/>
        <w:bCs/>
      </w:r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tcBorders>
      </w:tcPr>
    </w:tblStylePr>
    <w:tblStylePr w:type="band1Horz">
      <w:tcPr>
        <w:tcBorders>
          <w:top w:val="single" w:color="9BBB59" w:sz="8" w:space="0"/>
          <w:left w:val="single" w:color="9BBB59" w:sz="8" w:space="0"/>
          <w:bottom w:val="single" w:color="9BBB59" w:sz="8" w:space="0"/>
          <w:right w:val="single" w:color="9BBB59" w:sz="8" w:space="0"/>
        </w:tcBorders>
      </w:tcPr>
    </w:tblStylePr>
  </w:style>
  <w:style w:type="table" w:customStyle="1" w:styleId="201">
    <w:name w:val="浅色列表 - 着色 41"/>
    <w:basedOn w:val="43"/>
    <w:qFormat/>
    <w:uiPriority w:val="61"/>
    <w:rPr>
      <w:rFonts w:ascii="Cambria" w:hAnsi="Cambria" w:cs="宋体"/>
    </w:rPr>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cPr>
        <w:shd w:val="clear" w:color="auto" w:fill="8064A2"/>
      </w:tcPr>
    </w:tblStylePr>
    <w:tblStylePr w:type="lastRow">
      <w:pPr>
        <w:spacing w:before="0" w:after="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202">
    <w:name w:val="浅色列表 - 着色 51"/>
    <w:basedOn w:val="43"/>
    <w:qFormat/>
    <w:uiPriority w:val="61"/>
    <w:rPr>
      <w:rFonts w:ascii="Cambria" w:hAnsi="Cambria" w:cs="宋体"/>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cPr>
        <w:shd w:val="clear" w:color="auto" w:fill="4BACC6"/>
      </w:tcPr>
    </w:tblStylePr>
    <w:tblStylePr w:type="lastRow">
      <w:pPr>
        <w:spacing w:before="0" w:after="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203">
    <w:name w:val="浅色列表 - 着色 61"/>
    <w:basedOn w:val="43"/>
    <w:qFormat/>
    <w:uiPriority w:val="61"/>
    <w:rPr>
      <w:rFonts w:ascii="Cambria" w:hAnsi="Cambria" w:cs="宋体"/>
    </w:rPr>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cPr>
        <w:shd w:val="clear" w:color="auto" w:fill="F79646"/>
      </w:tcPr>
    </w:tblStylePr>
    <w:tblStylePr w:type="lastRow">
      <w:pPr>
        <w:spacing w:before="0" w:after="0" w:line="240" w:lineRule="auto"/>
      </w:pPr>
      <w:rPr>
        <w:b/>
        <w:bCs/>
      </w:r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cPr>
        <w:tcBorders>
          <w:top w:val="single" w:color="F79646" w:sz="8" w:space="0"/>
          <w:left w:val="single" w:color="F79646" w:sz="8" w:space="0"/>
          <w:bottom w:val="single" w:color="F79646" w:sz="8" w:space="0"/>
          <w:right w:val="single" w:color="F79646" w:sz="8" w:space="0"/>
        </w:tcBorders>
      </w:tcPr>
    </w:tblStylePr>
    <w:tblStylePr w:type="band1Horz">
      <w:tcPr>
        <w:tcBorders>
          <w:top w:val="single" w:color="F79646" w:sz="8" w:space="0"/>
          <w:left w:val="single" w:color="F79646" w:sz="8" w:space="0"/>
          <w:bottom w:val="single" w:color="F79646" w:sz="8" w:space="0"/>
          <w:right w:val="single" w:color="F79646" w:sz="8" w:space="0"/>
        </w:tcBorders>
      </w:tcPr>
    </w:tblStylePr>
  </w:style>
  <w:style w:type="table" w:customStyle="1" w:styleId="204">
    <w:name w:val="浅色网格1"/>
    <w:basedOn w:val="43"/>
    <w:qFormat/>
    <w:uiPriority w:val="62"/>
    <w:rPr>
      <w:rFonts w:ascii="Cambria" w:hAnsi="Cambria" w:cs="宋体"/>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Calibri" w:hAnsi="Calibri" w:eastAsia="黑体" w:cs="黑体"/>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黑体" w:cs="黑体"/>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黑体" w:cs="黑体"/>
        <w:b/>
        <w:bCs/>
      </w:rPr>
    </w:tblStylePr>
    <w:tblStylePr w:type="lastCol">
      <w:rPr>
        <w:rFonts w:ascii="Calibri" w:hAnsi="Calibri" w:eastAsia="黑体" w:cs="黑体"/>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customStyle="1" w:styleId="205">
    <w:name w:val="浅色网格 - 着色 11"/>
    <w:basedOn w:val="43"/>
    <w:qFormat/>
    <w:uiPriority w:val="62"/>
    <w:rPr>
      <w:rFonts w:ascii="Cambria" w:hAnsi="Cambria" w:cs="宋体"/>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黑体" w:cs="黑体"/>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黑体" w:cs="黑体"/>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黑体" w:cs="黑体"/>
        <w:b/>
        <w:bCs/>
      </w:rPr>
    </w:tblStylePr>
    <w:tblStylePr w:type="lastCol">
      <w:rPr>
        <w:rFonts w:ascii="Calibri" w:hAnsi="Calibri" w:eastAsia="黑体" w:cs="黑体"/>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206">
    <w:name w:val="浅色网格 - 着色 21"/>
    <w:basedOn w:val="43"/>
    <w:qFormat/>
    <w:uiPriority w:val="62"/>
    <w:rPr>
      <w:rFonts w:ascii="Cambria" w:hAnsi="Cambria" w:cs="宋体"/>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Calibri" w:hAnsi="Calibri" w:eastAsia="黑体" w:cs="黑体"/>
        <w:b/>
        <w:bCs/>
      </w:r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黑体" w:cs="黑体"/>
        <w:b/>
        <w:bCs/>
      </w:r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黑体" w:cs="黑体"/>
        <w:b/>
        <w:bCs/>
      </w:rPr>
    </w:tblStylePr>
    <w:tblStylePr w:type="lastCol">
      <w:rPr>
        <w:rFonts w:ascii="Calibri" w:hAnsi="Calibri" w:eastAsia="黑体" w:cs="黑体"/>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customStyle="1" w:styleId="207">
    <w:name w:val="浅色网格 - 着色 31"/>
    <w:basedOn w:val="43"/>
    <w:qFormat/>
    <w:uiPriority w:val="62"/>
    <w:rPr>
      <w:rFonts w:ascii="Cambria" w:hAnsi="Cambria" w:cs="宋体"/>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Calibri" w:hAnsi="Calibri" w:eastAsia="黑体" w:cs="黑体"/>
        <w:b/>
        <w:bCs/>
      </w:r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黑体" w:cs="黑体"/>
        <w:b/>
        <w:bCs/>
      </w:r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黑体" w:cs="黑体"/>
        <w:b/>
        <w:bCs/>
      </w:rPr>
    </w:tblStylePr>
    <w:tblStylePr w:type="lastCol">
      <w:rPr>
        <w:rFonts w:ascii="Calibri" w:hAnsi="Calibri" w:eastAsia="黑体" w:cs="黑体"/>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customStyle="1" w:styleId="208">
    <w:name w:val="浅色网格 - 着色 41"/>
    <w:basedOn w:val="43"/>
    <w:qFormat/>
    <w:uiPriority w:val="62"/>
    <w:rPr>
      <w:rFonts w:ascii="Cambria" w:hAnsi="Cambria" w:cs="宋体"/>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Calibri" w:hAnsi="Calibri" w:eastAsia="黑体" w:cs="黑体"/>
        <w:b/>
        <w:bCs/>
      </w:r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黑体" w:cs="黑体"/>
        <w:b/>
        <w:bCs/>
      </w:r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黑体" w:cs="黑体"/>
        <w:b/>
        <w:bCs/>
      </w:rPr>
    </w:tblStylePr>
    <w:tblStylePr w:type="lastCol">
      <w:rPr>
        <w:rFonts w:ascii="Calibri" w:hAnsi="Calibri" w:eastAsia="黑体" w:cs="黑体"/>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customStyle="1" w:styleId="209">
    <w:name w:val="浅色网格 - 着色 51"/>
    <w:basedOn w:val="43"/>
    <w:qFormat/>
    <w:uiPriority w:val="62"/>
    <w:rPr>
      <w:rFonts w:ascii="Cambria" w:hAnsi="Cambria" w:cs="宋体"/>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libri" w:hAnsi="Calibri" w:eastAsia="黑体" w:cs="黑体"/>
        <w:b/>
        <w:bCs/>
      </w:r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黑体" w:cs="黑体"/>
        <w:b/>
        <w:bCs/>
      </w:r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黑体" w:cs="黑体"/>
        <w:b/>
        <w:bCs/>
      </w:rPr>
    </w:tblStylePr>
    <w:tblStylePr w:type="lastCol">
      <w:rPr>
        <w:rFonts w:ascii="Calibri" w:hAnsi="Calibri" w:eastAsia="黑体" w:cs="黑体"/>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customStyle="1" w:styleId="210">
    <w:name w:val="浅色网格 - 着色 61"/>
    <w:basedOn w:val="43"/>
    <w:qFormat/>
    <w:uiPriority w:val="62"/>
    <w:rPr>
      <w:rFonts w:ascii="Cambria" w:hAnsi="Cambria" w:cs="宋体"/>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Calibri" w:hAnsi="Calibri" w:eastAsia="黑体" w:cs="黑体"/>
        <w:b/>
        <w:bCs/>
      </w:r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黑体" w:cs="黑体"/>
        <w:b/>
        <w:bCs/>
      </w:r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黑体" w:cs="黑体"/>
        <w:b/>
        <w:bCs/>
      </w:rPr>
    </w:tblStylePr>
    <w:tblStylePr w:type="lastCol">
      <w:rPr>
        <w:rFonts w:ascii="Calibri" w:hAnsi="Calibri" w:eastAsia="黑体" w:cs="黑体"/>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customStyle="1" w:styleId="211">
    <w:name w:val="中等深浅底纹 11"/>
    <w:basedOn w:val="43"/>
    <w:qFormat/>
    <w:uiPriority w:val="63"/>
    <w:rPr>
      <w:rFonts w:ascii="Cambria" w:hAnsi="Cambria" w:cs="宋体"/>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000000" w:sz="8" w:space="0"/>
          <w:left w:val="single" w:color="000000" w:sz="8" w:space="0"/>
          <w:bottom w:val="single" w:color="000000" w:sz="8" w:space="0"/>
          <w:right w:val="single" w:color="000000" w:sz="8" w:space="0"/>
          <w:insideH w:val="nil"/>
          <w:insideV w:val="nil"/>
        </w:tcBorders>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insideV w:val="nil"/>
        </w:tcBorders>
        <w:shd w:val="clear" w:color="auto" w:fill="C0C0C0"/>
      </w:tcPr>
    </w:tblStylePr>
    <w:tblStylePr w:type="band2Horz">
      <w:tcPr>
        <w:tcBorders>
          <w:insideH w:val="nil"/>
          <w:insideV w:val="nil"/>
        </w:tcBorders>
      </w:tcPr>
    </w:tblStylePr>
  </w:style>
  <w:style w:type="table" w:customStyle="1" w:styleId="212">
    <w:name w:val="中等深浅底纹 1 - 着色 11"/>
    <w:basedOn w:val="43"/>
    <w:qFormat/>
    <w:uiPriority w:val="63"/>
    <w:rPr>
      <w:rFonts w:ascii="Cambria" w:hAnsi="Cambria" w:cs="宋体"/>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4F81BD" w:sz="8" w:space="0"/>
          <w:left w:val="single" w:color="4F81BD" w:sz="8" w:space="0"/>
          <w:bottom w:val="single" w:color="4F81BD" w:sz="8" w:space="0"/>
          <w:right w:val="single" w:color="4F81BD" w:sz="8" w:space="0"/>
          <w:insideH w:val="nil"/>
          <w:insideV w:val="nil"/>
        </w:tcBorders>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213">
    <w:name w:val="中等深浅底纹 1 - 着色 21"/>
    <w:basedOn w:val="43"/>
    <w:qFormat/>
    <w:uiPriority w:val="63"/>
    <w:rPr>
      <w:rFonts w:ascii="Cambria" w:hAnsi="Cambria" w:cs="宋体"/>
    </w:r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cPr>
        <w:tcBorders>
          <w:top w:val="single" w:color="C0504D" w:sz="8" w:space="0"/>
          <w:left w:val="single" w:color="C0504D" w:sz="8" w:space="0"/>
          <w:bottom w:val="single" w:color="C0504D" w:sz="8" w:space="0"/>
          <w:right w:val="single" w:color="C0504D" w:sz="8" w:space="0"/>
          <w:insideH w:val="nil"/>
          <w:insideV w:val="nil"/>
        </w:tcBorders>
        <w:shd w:val="clear" w:color="auto" w:fill="C0504D"/>
      </w:tcPr>
    </w:tblStylePr>
    <w:tblStylePr w:type="lastRow">
      <w:pPr>
        <w:spacing w:before="0" w:after="0" w:line="240" w:lineRule="auto"/>
      </w:pPr>
      <w:rPr>
        <w:b/>
        <w:bCs/>
      </w:rPr>
      <w:tcPr>
        <w:tcBorders>
          <w:top w:val="double" w:color="C0504D" w:sz="6" w:space="0"/>
          <w:left w:val="single" w:color="C0504D" w:sz="8" w:space="0"/>
          <w:bottom w:val="single" w:color="C0504D" w:sz="8" w:space="0"/>
          <w:right w:val="single" w:color="C0504D" w:sz="8" w:space="0"/>
          <w:insideH w:val="nil"/>
          <w:insideV w:val="nil"/>
        </w:tcBorders>
      </w:tcPr>
    </w:tblStylePr>
    <w:tblStylePr w:type="firstCol">
      <w:rPr>
        <w:b/>
        <w:bCs/>
      </w:rPr>
    </w:tblStylePr>
    <w:tblStylePr w:type="lastCol">
      <w:rPr>
        <w:b/>
        <w:bCs/>
      </w:rPr>
    </w:tblStylePr>
    <w:tblStylePr w:type="band1Vert">
      <w:tcPr>
        <w:shd w:val="clear" w:color="auto" w:fill="EFD3D2"/>
      </w:tcPr>
    </w:tblStylePr>
    <w:tblStylePr w:type="band1Horz">
      <w:tcPr>
        <w:tcBorders>
          <w:insideH w:val="nil"/>
          <w:insideV w:val="nil"/>
        </w:tcBorders>
        <w:shd w:val="clear" w:color="auto" w:fill="EFD3D2"/>
      </w:tcPr>
    </w:tblStylePr>
    <w:tblStylePr w:type="band2Horz">
      <w:tcPr>
        <w:tcBorders>
          <w:insideH w:val="nil"/>
          <w:insideV w:val="nil"/>
        </w:tcBorders>
      </w:tcPr>
    </w:tblStylePr>
  </w:style>
  <w:style w:type="table" w:customStyle="1" w:styleId="214">
    <w:name w:val="中等深浅底纹 1 - 着色 31"/>
    <w:basedOn w:val="43"/>
    <w:qFormat/>
    <w:uiPriority w:val="63"/>
    <w:rPr>
      <w:rFonts w:ascii="Cambria" w:hAnsi="Cambria" w:cs="宋体"/>
    </w:r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cPr>
        <w:tcBorders>
          <w:top w:val="single" w:color="9BBB59" w:sz="8" w:space="0"/>
          <w:left w:val="single" w:color="9BBB59" w:sz="8" w:space="0"/>
          <w:bottom w:val="single" w:color="9BBB59" w:sz="8" w:space="0"/>
          <w:right w:val="single" w:color="9BBB59" w:sz="8" w:space="0"/>
          <w:insideH w:val="nil"/>
          <w:insideV w:val="nil"/>
        </w:tcBorders>
        <w:shd w:val="clear" w:color="auto" w:fill="9BBB59"/>
      </w:tcPr>
    </w:tblStylePr>
    <w:tblStylePr w:type="lastRow">
      <w:pPr>
        <w:spacing w:before="0" w:after="0" w:line="240" w:lineRule="auto"/>
      </w:pPr>
      <w:rPr>
        <w:b/>
        <w:bCs/>
      </w:rPr>
      <w:tcPr>
        <w:tcBorders>
          <w:top w:val="double" w:color="9BBB59" w:sz="6" w:space="0"/>
          <w:left w:val="single" w:color="9BBB59" w:sz="8" w:space="0"/>
          <w:bottom w:val="single" w:color="9BBB59" w:sz="8" w:space="0"/>
          <w:right w:val="single" w:color="9BBB59" w:sz="8" w:space="0"/>
          <w:insideH w:val="nil"/>
          <w:insideV w:val="nil"/>
        </w:tcBorders>
      </w:tcPr>
    </w:tblStylePr>
    <w:tblStylePr w:type="firstCol">
      <w:rPr>
        <w:b/>
        <w:bCs/>
      </w:rPr>
    </w:tblStylePr>
    <w:tblStylePr w:type="lastCol">
      <w:rPr>
        <w:b/>
        <w:bCs/>
      </w:rPr>
    </w:tblStylePr>
    <w:tblStylePr w:type="band1Vert">
      <w:tcPr>
        <w:shd w:val="clear" w:color="auto" w:fill="E6EED5"/>
      </w:tcPr>
    </w:tblStylePr>
    <w:tblStylePr w:type="band1Horz">
      <w:tcPr>
        <w:tcBorders>
          <w:insideH w:val="nil"/>
          <w:insideV w:val="nil"/>
        </w:tcBorders>
        <w:shd w:val="clear" w:color="auto" w:fill="E6EED5"/>
      </w:tcPr>
    </w:tblStylePr>
    <w:tblStylePr w:type="band2Horz">
      <w:tcPr>
        <w:tcBorders>
          <w:insideH w:val="nil"/>
          <w:insideV w:val="nil"/>
        </w:tcBorders>
      </w:tcPr>
    </w:tblStylePr>
  </w:style>
  <w:style w:type="table" w:customStyle="1" w:styleId="215">
    <w:name w:val="中等深浅底纹 1 - 着色 41"/>
    <w:basedOn w:val="43"/>
    <w:qFormat/>
    <w:uiPriority w:val="63"/>
    <w:rPr>
      <w:rFonts w:ascii="Cambria" w:hAnsi="Cambria" w:cs="宋体"/>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cPr>
        <w:tcBorders>
          <w:top w:val="single" w:color="8064A2" w:sz="8" w:space="0"/>
          <w:left w:val="single" w:color="8064A2" w:sz="8" w:space="0"/>
          <w:bottom w:val="single" w:color="8064A2" w:sz="8" w:space="0"/>
          <w:right w:val="single" w:color="8064A2" w:sz="8" w:space="0"/>
          <w:insideH w:val="nil"/>
          <w:insideV w:val="nil"/>
        </w:tcBorders>
        <w:shd w:val="clear" w:color="auto" w:fill="8064A2"/>
      </w:tcPr>
    </w:tblStylePr>
    <w:tblStylePr w:type="lastRow">
      <w:pPr>
        <w:spacing w:before="0" w:after="0" w:line="240" w:lineRule="auto"/>
      </w:pPr>
      <w:rPr>
        <w:b/>
        <w:bCs/>
      </w:rPr>
      <w:tcPr>
        <w:tcBorders>
          <w:top w:val="double" w:color="8064A2" w:sz="6" w:space="0"/>
          <w:left w:val="single" w:color="8064A2" w:sz="8" w:space="0"/>
          <w:bottom w:val="single" w:color="8064A2" w:sz="8" w:space="0"/>
          <w:right w:val="single" w:color="8064A2" w:sz="8" w:space="0"/>
          <w:insideH w:val="nil"/>
          <w:insideV w:val="nil"/>
        </w:tcBorders>
      </w:tcPr>
    </w:tblStylePr>
    <w:tblStylePr w:type="firstCol">
      <w:rPr>
        <w:b/>
        <w:bCs/>
      </w:rPr>
    </w:tblStylePr>
    <w:tblStylePr w:type="lastCol">
      <w:rPr>
        <w:b/>
        <w:bCs/>
      </w:rPr>
    </w:tblStylePr>
    <w:tblStylePr w:type="band1Vert">
      <w:tcPr>
        <w:shd w:val="clear" w:color="auto" w:fill="DFD8E8"/>
      </w:tcPr>
    </w:tblStylePr>
    <w:tblStylePr w:type="band1Horz">
      <w:tcPr>
        <w:tcBorders>
          <w:insideH w:val="nil"/>
          <w:insideV w:val="nil"/>
        </w:tcBorders>
        <w:shd w:val="clear" w:color="auto" w:fill="DFD8E8"/>
      </w:tcPr>
    </w:tblStylePr>
    <w:tblStylePr w:type="band2Horz">
      <w:tcPr>
        <w:tcBorders>
          <w:insideH w:val="nil"/>
          <w:insideV w:val="nil"/>
        </w:tcBorders>
      </w:tcPr>
    </w:tblStylePr>
  </w:style>
  <w:style w:type="table" w:customStyle="1" w:styleId="216">
    <w:name w:val="中等深浅底纹 1 - 着色 51"/>
    <w:basedOn w:val="43"/>
    <w:qFormat/>
    <w:uiPriority w:val="63"/>
    <w:rPr>
      <w:rFonts w:ascii="Cambria" w:hAnsi="Cambria" w:cs="宋体"/>
    </w:r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cPr>
        <w:tcBorders>
          <w:top w:val="single" w:color="4BACC6" w:sz="8" w:space="0"/>
          <w:left w:val="single" w:color="4BACC6" w:sz="8" w:space="0"/>
          <w:bottom w:val="single" w:color="4BACC6" w:sz="8" w:space="0"/>
          <w:right w:val="single" w:color="4BACC6" w:sz="8" w:space="0"/>
          <w:insideH w:val="nil"/>
          <w:insideV w:val="nil"/>
        </w:tcBorders>
        <w:shd w:val="clear" w:color="auto" w:fill="4BACC6"/>
      </w:tcPr>
    </w:tblStylePr>
    <w:tblStylePr w:type="lastRow">
      <w:pPr>
        <w:spacing w:before="0" w:after="0" w:line="240" w:lineRule="auto"/>
      </w:pPr>
      <w:rPr>
        <w:b/>
        <w:bCs/>
      </w:rPr>
      <w:tcPr>
        <w:tcBorders>
          <w:top w:val="double" w:color="4BACC6" w:sz="6" w:space="0"/>
          <w:left w:val="single" w:color="4BACC6" w:sz="8" w:space="0"/>
          <w:bottom w:val="single" w:color="4BACC6" w:sz="8" w:space="0"/>
          <w:right w:val="single" w:color="4BACC6" w:sz="8" w:space="0"/>
          <w:insideH w:val="nil"/>
          <w:insideV w:val="nil"/>
        </w:tcBorders>
      </w:tcPr>
    </w:tblStylePr>
    <w:tblStylePr w:type="firstCol">
      <w:rPr>
        <w:b/>
        <w:bCs/>
      </w:rPr>
    </w:tblStylePr>
    <w:tblStylePr w:type="lastCol">
      <w:rPr>
        <w:b/>
        <w:bCs/>
      </w:rPr>
    </w:tblStylePr>
    <w:tblStylePr w:type="band1Vert">
      <w:tcPr>
        <w:shd w:val="clear" w:color="auto" w:fill="D2EAF1"/>
      </w:tcPr>
    </w:tblStylePr>
    <w:tblStylePr w:type="band1Horz">
      <w:tcPr>
        <w:tcBorders>
          <w:insideH w:val="nil"/>
          <w:insideV w:val="nil"/>
        </w:tcBorders>
        <w:shd w:val="clear" w:color="auto" w:fill="D2EAF1"/>
      </w:tcPr>
    </w:tblStylePr>
    <w:tblStylePr w:type="band2Horz">
      <w:tcPr>
        <w:tcBorders>
          <w:insideH w:val="nil"/>
          <w:insideV w:val="nil"/>
        </w:tcBorders>
      </w:tcPr>
    </w:tblStylePr>
  </w:style>
  <w:style w:type="table" w:customStyle="1" w:styleId="217">
    <w:name w:val="中等深浅底纹 1 - 着色 61"/>
    <w:basedOn w:val="43"/>
    <w:qFormat/>
    <w:uiPriority w:val="63"/>
    <w:rPr>
      <w:rFonts w:ascii="Cambria" w:hAnsi="Cambria" w:cs="宋体"/>
    </w:r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cPr>
        <w:tcBorders>
          <w:top w:val="single" w:color="F79646" w:sz="8" w:space="0"/>
          <w:left w:val="single" w:color="F79646" w:sz="8" w:space="0"/>
          <w:bottom w:val="single" w:color="F79646" w:sz="8" w:space="0"/>
          <w:right w:val="single" w:color="F79646" w:sz="8" w:space="0"/>
          <w:insideH w:val="nil"/>
          <w:insideV w:val="nil"/>
        </w:tcBorders>
        <w:shd w:val="clear" w:color="auto" w:fill="F79646"/>
      </w:tcPr>
    </w:tblStylePr>
    <w:tblStylePr w:type="lastRow">
      <w:pPr>
        <w:spacing w:before="0" w:after="0" w:line="240" w:lineRule="auto"/>
      </w:pPr>
      <w:rPr>
        <w:b/>
        <w:bCs/>
      </w:rPr>
      <w:tcPr>
        <w:tcBorders>
          <w:top w:val="double" w:color="F79646" w:sz="6" w:space="0"/>
          <w:left w:val="single" w:color="F79646" w:sz="8" w:space="0"/>
          <w:bottom w:val="single" w:color="F79646" w:sz="8" w:space="0"/>
          <w:right w:val="single" w:color="F79646" w:sz="8" w:space="0"/>
          <w:insideH w:val="nil"/>
          <w:insideV w:val="nil"/>
        </w:tcBorders>
      </w:tcPr>
    </w:tblStylePr>
    <w:tblStylePr w:type="firstCol">
      <w:rPr>
        <w:b/>
        <w:bCs/>
      </w:rPr>
    </w:tblStylePr>
    <w:tblStylePr w:type="lastCol">
      <w:rPr>
        <w:b/>
        <w:bCs/>
      </w:rPr>
    </w:tblStylePr>
    <w:tblStylePr w:type="band1Vert">
      <w:tcPr>
        <w:shd w:val="clear" w:color="auto" w:fill="FDE4D0"/>
      </w:tcPr>
    </w:tblStylePr>
    <w:tblStylePr w:type="band1Horz">
      <w:tcPr>
        <w:tcBorders>
          <w:insideH w:val="nil"/>
          <w:insideV w:val="nil"/>
        </w:tcBorders>
        <w:shd w:val="clear" w:color="auto" w:fill="FDE4D0"/>
      </w:tcPr>
    </w:tblStylePr>
    <w:tblStylePr w:type="band2Horz">
      <w:tcPr>
        <w:tcBorders>
          <w:insideH w:val="nil"/>
          <w:insideV w:val="nil"/>
        </w:tcBorders>
      </w:tcPr>
    </w:tblStylePr>
  </w:style>
  <w:style w:type="table" w:customStyle="1" w:styleId="218">
    <w:name w:val="中等深浅底纹 21"/>
    <w:basedOn w:val="43"/>
    <w:qFormat/>
    <w:uiPriority w:val="64"/>
    <w:rPr>
      <w:rFonts w:ascii="Cambria" w:hAnsi="Cambria" w:cs="宋体"/>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000000"/>
      </w:tcPr>
    </w:tblStylePr>
    <w:tblStylePr w:type="lastCol">
      <w:rPr>
        <w:b/>
        <w:bCs/>
        <w:color w:val="FFFFFF"/>
      </w:rPr>
      <w:tcPr>
        <w:tcBorders>
          <w:left w:val="nil"/>
          <w:right w:val="nil"/>
          <w:insideH w:val="nil"/>
          <w:insideV w:val="nil"/>
        </w:tcBorders>
        <w:shd w:val="clear" w:color="auto" w:fill="000000"/>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19">
    <w:name w:val="中等深浅底纹 2 - 着色 11"/>
    <w:basedOn w:val="43"/>
    <w:qFormat/>
    <w:uiPriority w:val="64"/>
    <w:rPr>
      <w:rFonts w:ascii="Cambria" w:hAnsi="Cambria" w:cs="宋体"/>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20">
    <w:name w:val="中等深浅底纹 2 - 着色 21"/>
    <w:basedOn w:val="43"/>
    <w:qFormat/>
    <w:uiPriority w:val="64"/>
    <w:rPr>
      <w:rFonts w:ascii="Cambria" w:hAnsi="Cambria" w:cs="宋体"/>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C0504D"/>
      </w:tcPr>
    </w:tblStylePr>
    <w:tblStylePr w:type="lastCol">
      <w:rPr>
        <w:b/>
        <w:bCs/>
        <w:color w:val="FFFFFF"/>
      </w:rPr>
      <w:tcPr>
        <w:tcBorders>
          <w:left w:val="nil"/>
          <w:right w:val="nil"/>
          <w:insideH w:val="nil"/>
          <w:insideV w:val="nil"/>
        </w:tcBorders>
        <w:shd w:val="clear" w:color="auto" w:fill="C0504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21">
    <w:name w:val="中等深浅底纹 2 - 着色 31"/>
    <w:basedOn w:val="43"/>
    <w:qFormat/>
    <w:uiPriority w:val="64"/>
    <w:rPr>
      <w:rFonts w:ascii="Cambria" w:hAnsi="Cambria" w:cs="宋体"/>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9BBB59"/>
      </w:tcPr>
    </w:tblStylePr>
    <w:tblStylePr w:type="lastCol">
      <w:rPr>
        <w:b/>
        <w:bCs/>
        <w:color w:val="FFFFFF"/>
      </w:rPr>
      <w:tcPr>
        <w:tcBorders>
          <w:left w:val="nil"/>
          <w:right w:val="nil"/>
          <w:insideH w:val="nil"/>
          <w:insideV w:val="nil"/>
        </w:tcBorders>
        <w:shd w:val="clear" w:color="auto" w:fill="9BBB59"/>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22">
    <w:name w:val="中等深浅底纹 2 - 着色 41"/>
    <w:basedOn w:val="43"/>
    <w:qFormat/>
    <w:uiPriority w:val="64"/>
    <w:rPr>
      <w:rFonts w:ascii="Cambria" w:hAnsi="Cambria" w:cs="宋体"/>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8064A2"/>
      </w:tcPr>
    </w:tblStylePr>
    <w:tblStylePr w:type="lastCol">
      <w:rPr>
        <w:b/>
        <w:bCs/>
        <w:color w:val="FFFFFF"/>
      </w:rPr>
      <w:tcPr>
        <w:tcBorders>
          <w:left w:val="nil"/>
          <w:right w:val="nil"/>
          <w:insideH w:val="nil"/>
          <w:insideV w:val="nil"/>
        </w:tcBorders>
        <w:shd w:val="clear" w:color="auto" w:fill="8064A2"/>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23">
    <w:name w:val="中等深浅底纹 2 - 着色 51"/>
    <w:basedOn w:val="43"/>
    <w:qFormat/>
    <w:uiPriority w:val="64"/>
    <w:rPr>
      <w:rFonts w:ascii="Cambria" w:hAnsi="Cambria" w:cs="宋体"/>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BACC6"/>
      </w:tcPr>
    </w:tblStylePr>
    <w:tblStylePr w:type="lastCol">
      <w:rPr>
        <w:b/>
        <w:bCs/>
        <w:color w:val="FFFFFF"/>
      </w:rPr>
      <w:tcPr>
        <w:tcBorders>
          <w:left w:val="nil"/>
          <w:right w:val="nil"/>
          <w:insideH w:val="nil"/>
          <w:insideV w:val="nil"/>
        </w:tcBorders>
        <w:shd w:val="clear" w:color="auto" w:fill="4BACC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24">
    <w:name w:val="中等深浅底纹 2 - 着色 61"/>
    <w:basedOn w:val="43"/>
    <w:qFormat/>
    <w:uiPriority w:val="64"/>
    <w:rPr>
      <w:rFonts w:ascii="Cambria" w:hAnsi="Cambria" w:cs="宋体"/>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F79646"/>
      </w:tcPr>
    </w:tblStylePr>
    <w:tblStylePr w:type="lastCol">
      <w:rPr>
        <w:b/>
        <w:bCs/>
        <w:color w:val="FFFFFF"/>
      </w:rPr>
      <w:tcPr>
        <w:tcBorders>
          <w:left w:val="nil"/>
          <w:right w:val="nil"/>
          <w:insideH w:val="nil"/>
          <w:insideV w:val="nil"/>
        </w:tcBorders>
        <w:shd w:val="clear" w:color="auto" w:fill="F7964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25">
    <w:name w:val="中等深浅列表 11"/>
    <w:basedOn w:val="43"/>
    <w:qFormat/>
    <w:uiPriority w:val="65"/>
    <w:rPr>
      <w:rFonts w:ascii="Cambria" w:hAnsi="Cambria" w:cs="宋体"/>
      <w:color w:val="000000"/>
    </w:rPr>
    <w:tblPr>
      <w:tblBorders>
        <w:top w:val="single" w:color="000000" w:sz="8" w:space="0"/>
        <w:bottom w:val="single" w:color="000000" w:sz="8" w:space="0"/>
      </w:tblBorders>
    </w:tblPr>
    <w:tblStylePr w:type="firstRow">
      <w:rPr>
        <w:rFonts w:ascii="Calibri" w:hAnsi="Calibri" w:eastAsia="黑体" w:cs="黑体"/>
      </w:rPr>
      <w:tcPr>
        <w:tcBorders>
          <w:top w:val="nil"/>
          <w:bottom w:val="single" w:color="000000" w:sz="8" w:space="0"/>
        </w:tcBorders>
      </w:tcPr>
    </w:tblStylePr>
    <w:tblStylePr w:type="lastRow">
      <w:rPr>
        <w:b/>
        <w:bCs/>
        <w:color w:val="1F497D"/>
      </w:rPr>
      <w:tcPr>
        <w:tcBorders>
          <w:top w:val="single" w:color="000000" w:sz="8" w:space="0"/>
          <w:bottom w:val="single" w:color="000000" w:sz="8" w:space="0"/>
        </w:tcBorders>
      </w:tcPr>
    </w:tblStylePr>
    <w:tblStylePr w:type="firstCol">
      <w:rPr>
        <w:b/>
        <w:bCs/>
      </w:rPr>
    </w:tblStylePr>
    <w:tblStylePr w:type="lastCol">
      <w:rPr>
        <w:b/>
        <w:bCs/>
      </w:rPr>
      <w:tcPr>
        <w:tcBorders>
          <w:top w:val="single" w:color="000000" w:sz="8" w:space="0"/>
          <w:bottom w:val="single" w:color="000000" w:sz="8" w:space="0"/>
        </w:tcBorders>
      </w:tcPr>
    </w:tblStylePr>
    <w:tblStylePr w:type="band1Vert">
      <w:tcPr>
        <w:shd w:val="clear" w:color="auto" w:fill="C0C0C0"/>
      </w:tcPr>
    </w:tblStylePr>
    <w:tblStylePr w:type="band1Horz">
      <w:tcPr>
        <w:shd w:val="clear" w:color="auto" w:fill="C0C0C0"/>
      </w:tcPr>
    </w:tblStylePr>
  </w:style>
  <w:style w:type="table" w:customStyle="1" w:styleId="226">
    <w:name w:val="中等深浅列表 1 - 着色 11"/>
    <w:basedOn w:val="43"/>
    <w:qFormat/>
    <w:uiPriority w:val="65"/>
    <w:rPr>
      <w:rFonts w:ascii="Cambria" w:hAnsi="Cambria" w:cs="宋体"/>
      <w:color w:val="000000"/>
    </w:rPr>
    <w:tblPr>
      <w:tblBorders>
        <w:top w:val="single" w:color="4F81BD" w:sz="8" w:space="0"/>
        <w:bottom w:val="single" w:color="4F81BD" w:sz="8" w:space="0"/>
      </w:tblBorders>
    </w:tblPr>
    <w:tblStylePr w:type="firstRow">
      <w:rPr>
        <w:rFonts w:ascii="Calibri" w:hAnsi="Calibri" w:eastAsia="黑体" w:cs="黑体"/>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table" w:customStyle="1" w:styleId="227">
    <w:name w:val="中等深浅列表 1 - 着色 21"/>
    <w:basedOn w:val="43"/>
    <w:qFormat/>
    <w:uiPriority w:val="65"/>
    <w:rPr>
      <w:rFonts w:ascii="Cambria" w:hAnsi="Cambria" w:cs="宋体"/>
      <w:color w:val="000000"/>
    </w:rPr>
    <w:tblPr>
      <w:tblBorders>
        <w:top w:val="single" w:color="C0504D" w:sz="8" w:space="0"/>
        <w:bottom w:val="single" w:color="C0504D" w:sz="8" w:space="0"/>
      </w:tblBorders>
    </w:tblPr>
    <w:tblStylePr w:type="firstRow">
      <w:rPr>
        <w:rFonts w:ascii="Calibri" w:hAnsi="Calibri" w:eastAsia="黑体" w:cs="黑体"/>
      </w:rPr>
      <w:tcPr>
        <w:tcBorders>
          <w:top w:val="nil"/>
          <w:bottom w:val="single" w:color="C0504D" w:sz="8" w:space="0"/>
        </w:tcBorders>
      </w:tcPr>
    </w:tblStylePr>
    <w:tblStylePr w:type="lastRow">
      <w:rPr>
        <w:b/>
        <w:bCs/>
        <w:color w:val="1F497D"/>
      </w:rPr>
      <w:tcPr>
        <w:tcBorders>
          <w:top w:val="single" w:color="C0504D" w:sz="8" w:space="0"/>
          <w:bottom w:val="single" w:color="C0504D" w:sz="8" w:space="0"/>
        </w:tcBorders>
      </w:tcPr>
    </w:tblStylePr>
    <w:tblStylePr w:type="firstCol">
      <w:rPr>
        <w:b/>
        <w:bCs/>
      </w:rPr>
    </w:tblStylePr>
    <w:tblStylePr w:type="lastCol">
      <w:rPr>
        <w:b/>
        <w:bCs/>
      </w:rPr>
      <w:tcPr>
        <w:tcBorders>
          <w:top w:val="single" w:color="C0504D" w:sz="8" w:space="0"/>
          <w:bottom w:val="single" w:color="C0504D" w:sz="8" w:space="0"/>
        </w:tcBorders>
      </w:tcPr>
    </w:tblStylePr>
    <w:tblStylePr w:type="band1Vert">
      <w:tcPr>
        <w:shd w:val="clear" w:color="auto" w:fill="EFD3D2"/>
      </w:tcPr>
    </w:tblStylePr>
    <w:tblStylePr w:type="band1Horz">
      <w:tcPr>
        <w:shd w:val="clear" w:color="auto" w:fill="EFD3D2"/>
      </w:tcPr>
    </w:tblStylePr>
  </w:style>
  <w:style w:type="table" w:customStyle="1" w:styleId="228">
    <w:name w:val="中等深浅列表 1 - 着色 31"/>
    <w:basedOn w:val="43"/>
    <w:qFormat/>
    <w:uiPriority w:val="65"/>
    <w:rPr>
      <w:rFonts w:ascii="Cambria" w:hAnsi="Cambria" w:cs="宋体"/>
      <w:color w:val="000000"/>
    </w:rPr>
    <w:tblPr>
      <w:tblBorders>
        <w:top w:val="single" w:color="9BBB59" w:sz="8" w:space="0"/>
        <w:bottom w:val="single" w:color="9BBB59" w:sz="8" w:space="0"/>
      </w:tblBorders>
    </w:tblPr>
    <w:tblStylePr w:type="firstRow">
      <w:rPr>
        <w:rFonts w:ascii="Calibri" w:hAnsi="Calibri" w:eastAsia="黑体" w:cs="黑体"/>
      </w:rPr>
      <w:tcPr>
        <w:tcBorders>
          <w:top w:val="nil"/>
          <w:bottom w:val="single" w:color="9BBB59" w:sz="8" w:space="0"/>
        </w:tcBorders>
      </w:tcPr>
    </w:tblStylePr>
    <w:tblStylePr w:type="lastRow">
      <w:rPr>
        <w:b/>
        <w:bCs/>
        <w:color w:val="1F497D"/>
      </w:rPr>
      <w:tcPr>
        <w:tcBorders>
          <w:top w:val="single" w:color="9BBB59" w:sz="8" w:space="0"/>
          <w:bottom w:val="single" w:color="9BBB59" w:sz="8" w:space="0"/>
        </w:tcBorders>
      </w:tcPr>
    </w:tblStylePr>
    <w:tblStylePr w:type="firstCol">
      <w:rPr>
        <w:b/>
        <w:bCs/>
      </w:rPr>
    </w:tblStylePr>
    <w:tblStylePr w:type="lastCol">
      <w:rPr>
        <w:b/>
        <w:bCs/>
      </w:rPr>
      <w:tcPr>
        <w:tcBorders>
          <w:top w:val="single" w:color="9BBB59" w:sz="8" w:space="0"/>
          <w:bottom w:val="single" w:color="9BBB59" w:sz="8" w:space="0"/>
        </w:tcBorders>
      </w:tcPr>
    </w:tblStylePr>
    <w:tblStylePr w:type="band1Vert">
      <w:tcPr>
        <w:shd w:val="clear" w:color="auto" w:fill="E6EED5"/>
      </w:tcPr>
    </w:tblStylePr>
    <w:tblStylePr w:type="band1Horz">
      <w:tcPr>
        <w:shd w:val="clear" w:color="auto" w:fill="E6EED5"/>
      </w:tcPr>
    </w:tblStylePr>
  </w:style>
  <w:style w:type="table" w:customStyle="1" w:styleId="229">
    <w:name w:val="中等深浅列表 1 - 着色 41"/>
    <w:basedOn w:val="43"/>
    <w:qFormat/>
    <w:uiPriority w:val="65"/>
    <w:rPr>
      <w:rFonts w:ascii="Cambria" w:hAnsi="Cambria" w:cs="宋体"/>
      <w:color w:val="000000"/>
    </w:rPr>
    <w:tblPr>
      <w:tblBorders>
        <w:top w:val="single" w:color="8064A2" w:sz="8" w:space="0"/>
        <w:bottom w:val="single" w:color="8064A2" w:sz="8" w:space="0"/>
      </w:tblBorders>
    </w:tblPr>
    <w:tblStylePr w:type="firstRow">
      <w:rPr>
        <w:rFonts w:ascii="Calibri" w:hAnsi="Calibri" w:eastAsia="黑体" w:cs="黑体"/>
      </w:rPr>
      <w:tcPr>
        <w:tcBorders>
          <w:top w:val="nil"/>
          <w:bottom w:val="single" w:color="8064A2" w:sz="8" w:space="0"/>
        </w:tcBorders>
      </w:tcPr>
    </w:tblStylePr>
    <w:tblStylePr w:type="lastRow">
      <w:rPr>
        <w:b/>
        <w:bCs/>
        <w:color w:val="1F497D"/>
      </w:rPr>
      <w:tcPr>
        <w:tcBorders>
          <w:top w:val="single" w:color="8064A2" w:sz="8" w:space="0"/>
          <w:bottom w:val="single" w:color="8064A2" w:sz="8" w:space="0"/>
        </w:tcBorders>
      </w:tcPr>
    </w:tblStylePr>
    <w:tblStylePr w:type="firstCol">
      <w:rPr>
        <w:b/>
        <w:bCs/>
      </w:rPr>
    </w:tblStylePr>
    <w:tblStylePr w:type="lastCol">
      <w:rPr>
        <w:b/>
        <w:bCs/>
      </w:rPr>
      <w:tcPr>
        <w:tcBorders>
          <w:top w:val="single" w:color="8064A2" w:sz="8" w:space="0"/>
          <w:bottom w:val="single" w:color="8064A2" w:sz="8" w:space="0"/>
        </w:tcBorders>
      </w:tcPr>
    </w:tblStylePr>
    <w:tblStylePr w:type="band1Vert">
      <w:tcPr>
        <w:shd w:val="clear" w:color="auto" w:fill="DFD8E8"/>
      </w:tcPr>
    </w:tblStylePr>
    <w:tblStylePr w:type="band1Horz">
      <w:tcPr>
        <w:shd w:val="clear" w:color="auto" w:fill="DFD8E8"/>
      </w:tcPr>
    </w:tblStylePr>
  </w:style>
  <w:style w:type="table" w:customStyle="1" w:styleId="230">
    <w:name w:val="中等深浅列表 1 - 着色 51"/>
    <w:basedOn w:val="43"/>
    <w:qFormat/>
    <w:uiPriority w:val="65"/>
    <w:rPr>
      <w:rFonts w:ascii="Cambria" w:hAnsi="Cambria" w:cs="宋体"/>
      <w:color w:val="000000"/>
    </w:rPr>
    <w:tblPr>
      <w:tblBorders>
        <w:top w:val="single" w:color="4BACC6" w:sz="8" w:space="0"/>
        <w:bottom w:val="single" w:color="4BACC6" w:sz="8" w:space="0"/>
      </w:tblBorders>
    </w:tblPr>
    <w:tblStylePr w:type="firstRow">
      <w:rPr>
        <w:rFonts w:ascii="Calibri" w:hAnsi="Calibri" w:eastAsia="黑体" w:cs="黑体"/>
      </w:rPr>
      <w:tcPr>
        <w:tcBorders>
          <w:top w:val="nil"/>
          <w:bottom w:val="single" w:color="4BACC6" w:sz="8" w:space="0"/>
        </w:tcBorders>
      </w:tcPr>
    </w:tblStylePr>
    <w:tblStylePr w:type="lastRow">
      <w:rPr>
        <w:b/>
        <w:bCs/>
        <w:color w:val="1F497D"/>
      </w:rPr>
      <w:tcPr>
        <w:tcBorders>
          <w:top w:val="single" w:color="4BACC6" w:sz="8" w:space="0"/>
          <w:bottom w:val="single" w:color="4BACC6" w:sz="8" w:space="0"/>
        </w:tcBorders>
      </w:tcPr>
    </w:tblStylePr>
    <w:tblStylePr w:type="firstCol">
      <w:rPr>
        <w:b/>
        <w:bCs/>
      </w:rPr>
    </w:tblStylePr>
    <w:tblStylePr w:type="lastCol">
      <w:rPr>
        <w:b/>
        <w:bCs/>
      </w:rPr>
      <w:tcPr>
        <w:tcBorders>
          <w:top w:val="single" w:color="4BACC6" w:sz="8" w:space="0"/>
          <w:bottom w:val="single" w:color="4BACC6" w:sz="8" w:space="0"/>
        </w:tcBorders>
      </w:tcPr>
    </w:tblStylePr>
    <w:tblStylePr w:type="band1Vert">
      <w:tcPr>
        <w:shd w:val="clear" w:color="auto" w:fill="D2EAF1"/>
      </w:tcPr>
    </w:tblStylePr>
    <w:tblStylePr w:type="band1Horz">
      <w:tcPr>
        <w:shd w:val="clear" w:color="auto" w:fill="D2EAF1"/>
      </w:tcPr>
    </w:tblStylePr>
  </w:style>
  <w:style w:type="table" w:customStyle="1" w:styleId="231">
    <w:name w:val="中等深浅列表 1 - 着色 61"/>
    <w:basedOn w:val="43"/>
    <w:qFormat/>
    <w:uiPriority w:val="65"/>
    <w:rPr>
      <w:rFonts w:ascii="Cambria" w:hAnsi="Cambria" w:cs="宋体"/>
      <w:color w:val="000000"/>
    </w:rPr>
    <w:tblPr>
      <w:tblBorders>
        <w:top w:val="single" w:color="F79646" w:sz="8" w:space="0"/>
        <w:bottom w:val="single" w:color="F79646" w:sz="8" w:space="0"/>
      </w:tblBorders>
    </w:tblPr>
    <w:tblStylePr w:type="firstRow">
      <w:rPr>
        <w:rFonts w:ascii="Calibri" w:hAnsi="Calibri" w:eastAsia="黑体" w:cs="黑体"/>
      </w:rPr>
      <w:tcPr>
        <w:tcBorders>
          <w:top w:val="nil"/>
          <w:bottom w:val="single" w:color="F79646" w:sz="8" w:space="0"/>
        </w:tcBorders>
      </w:tcPr>
    </w:tblStylePr>
    <w:tblStylePr w:type="lastRow">
      <w:rPr>
        <w:b/>
        <w:bCs/>
        <w:color w:val="1F497D"/>
      </w:rPr>
      <w:tcPr>
        <w:tcBorders>
          <w:top w:val="single" w:color="F79646" w:sz="8" w:space="0"/>
          <w:bottom w:val="single" w:color="F79646" w:sz="8" w:space="0"/>
        </w:tcBorders>
      </w:tcPr>
    </w:tblStylePr>
    <w:tblStylePr w:type="firstCol">
      <w:rPr>
        <w:b/>
        <w:bCs/>
      </w:rPr>
    </w:tblStylePr>
    <w:tblStylePr w:type="lastCol">
      <w:rPr>
        <w:b/>
        <w:bCs/>
      </w:rPr>
      <w:tcPr>
        <w:tcBorders>
          <w:top w:val="single" w:color="F79646" w:sz="8" w:space="0"/>
          <w:bottom w:val="single" w:color="F79646" w:sz="8" w:space="0"/>
        </w:tcBorders>
      </w:tcPr>
    </w:tblStylePr>
    <w:tblStylePr w:type="band1Vert">
      <w:tcPr>
        <w:shd w:val="clear" w:color="auto" w:fill="FDE4D0"/>
      </w:tcPr>
    </w:tblStylePr>
    <w:tblStylePr w:type="band1Horz">
      <w:tcPr>
        <w:shd w:val="clear" w:color="auto" w:fill="FDE4D0"/>
      </w:tcPr>
    </w:tblStylePr>
  </w:style>
  <w:style w:type="table" w:customStyle="1" w:styleId="232">
    <w:name w:val="中等深浅列表 21"/>
    <w:basedOn w:val="43"/>
    <w:qFormat/>
    <w:uiPriority w:val="66"/>
    <w:rPr>
      <w:rFonts w:ascii="Calibri" w:hAnsi="Calibri" w:eastAsia="黑体" w:cs="黑体"/>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cBorders>
        <w:shd w:val="clear" w:color="auto" w:fill="FFFFFF"/>
      </w:tcPr>
    </w:tblStylePr>
    <w:tblStylePr w:type="lastRow">
      <w:tcPr>
        <w:tcBorders>
          <w:top w:val="single" w:color="000000" w:sz="8" w:space="0"/>
          <w:left w:val="nil"/>
          <w:bottom w:val="nil"/>
          <w:right w:val="nil"/>
          <w:insideH w:val="nil"/>
          <w:insideV w:val="nil"/>
        </w:tcBorders>
        <w:shd w:val="clear" w:color="auto" w:fill="FFFFFF"/>
      </w:tcPr>
    </w:tblStylePr>
    <w:tblStylePr w:type="firstCol">
      <w:tcPr>
        <w:tcBorders>
          <w:top w:val="nil"/>
          <w:left w:val="nil"/>
          <w:bottom w:val="nil"/>
          <w:right w:val="single" w:color="000000" w:sz="8" w:space="0"/>
          <w:insideH w:val="nil"/>
          <w:insideV w:val="nil"/>
        </w:tcBorders>
        <w:shd w:val="clear" w:color="auto" w:fill="FFFFFF"/>
      </w:tcPr>
    </w:tblStylePr>
    <w:tblStylePr w:type="lastCol">
      <w:tcPr>
        <w:tcBorders>
          <w:top w:val="nil"/>
          <w:left w:val="single" w:color="000000"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C0C0C0"/>
      </w:tcPr>
    </w:tblStylePr>
    <w:tblStylePr w:type="band1Horz">
      <w:tcPr>
        <w:tcBorders>
          <w:top w:val="nil"/>
          <w:bottom w:val="nil"/>
          <w:insideH w:val="nil"/>
          <w:insideV w:val="nil"/>
        </w:tcBorders>
        <w:shd w:val="clear" w:color="auto" w:fill="C0C0C0"/>
      </w:tcPr>
    </w:tblStylePr>
    <w:tblStylePr w:type="nwCell">
      <w:tcPr>
        <w:shd w:val="clear" w:color="auto" w:fill="FFFFFF"/>
      </w:tcPr>
    </w:tblStylePr>
    <w:tblStylePr w:type="swCell">
      <w:tcPr>
        <w:tcBorders>
          <w:top w:val="nil"/>
        </w:tcBorders>
      </w:tcPr>
    </w:tblStylePr>
  </w:style>
  <w:style w:type="table" w:customStyle="1" w:styleId="233">
    <w:name w:val="中等深浅列表 2 - 着色 11"/>
    <w:basedOn w:val="43"/>
    <w:qFormat/>
    <w:uiPriority w:val="66"/>
    <w:rPr>
      <w:rFonts w:ascii="Calibri" w:hAnsi="Calibri" w:eastAsia="黑体" w:cs="黑体"/>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cPr>
        <w:tcBorders>
          <w:top w:val="nil"/>
          <w:left w:val="nil"/>
          <w:bottom w:val="single" w:color="4F81BD" w:sz="24" w:space="0"/>
          <w:right w:val="nil"/>
          <w:insideH w:val="nil"/>
          <w:insideV w:val="nil"/>
        </w:tcBorders>
        <w:shd w:val="clear" w:color="auto" w:fill="FFFFFF"/>
      </w:tcPr>
    </w:tblStylePr>
    <w:tblStylePr w:type="lastRow">
      <w:tcPr>
        <w:tcBorders>
          <w:top w:val="single" w:color="4F81BD" w:sz="8" w:space="0"/>
          <w:left w:val="nil"/>
          <w:bottom w:val="nil"/>
          <w:right w:val="nil"/>
          <w:insideH w:val="nil"/>
          <w:insideV w:val="nil"/>
        </w:tcBorders>
        <w:shd w:val="clear" w:color="auto" w:fill="FFFFFF"/>
      </w:tcPr>
    </w:tblStylePr>
    <w:tblStylePr w:type="firstCol">
      <w:tcPr>
        <w:tcBorders>
          <w:top w:val="nil"/>
          <w:left w:val="nil"/>
          <w:bottom w:val="nil"/>
          <w:right w:val="single" w:color="4F81BD" w:sz="8" w:space="0"/>
          <w:insideH w:val="nil"/>
          <w:insideV w:val="nil"/>
        </w:tcBorders>
        <w:shd w:val="clear" w:color="auto" w:fill="FFFFFF"/>
      </w:tcPr>
    </w:tblStylePr>
    <w:tblStylePr w:type="lastCol">
      <w:tcPr>
        <w:tcBorders>
          <w:top w:val="nil"/>
          <w:left w:val="single" w:color="4F81B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3DFEE"/>
      </w:tcPr>
    </w:tblStylePr>
    <w:tblStylePr w:type="band1Horz">
      <w:tcPr>
        <w:tcBorders>
          <w:top w:val="nil"/>
          <w:bottom w:val="nil"/>
          <w:insideH w:val="nil"/>
          <w:insideV w:val="nil"/>
        </w:tcBorders>
        <w:shd w:val="clear" w:color="auto" w:fill="D3DFEE"/>
      </w:tcPr>
    </w:tblStylePr>
    <w:tblStylePr w:type="nwCell">
      <w:tcPr>
        <w:shd w:val="clear" w:color="auto" w:fill="FFFFFF"/>
      </w:tcPr>
    </w:tblStylePr>
    <w:tblStylePr w:type="swCell">
      <w:tcPr>
        <w:tcBorders>
          <w:top w:val="nil"/>
        </w:tcBorders>
      </w:tcPr>
    </w:tblStylePr>
  </w:style>
  <w:style w:type="table" w:customStyle="1" w:styleId="234">
    <w:name w:val="中等深浅列表 2 - 着色 21"/>
    <w:basedOn w:val="43"/>
    <w:qFormat/>
    <w:uiPriority w:val="66"/>
    <w:rPr>
      <w:rFonts w:ascii="Calibri" w:hAnsi="Calibri" w:eastAsia="黑体" w:cs="黑体"/>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cPr>
        <w:tcBorders>
          <w:top w:val="nil"/>
          <w:left w:val="nil"/>
          <w:bottom w:val="single" w:color="C0504D" w:sz="24" w:space="0"/>
          <w:right w:val="nil"/>
          <w:insideH w:val="nil"/>
          <w:insideV w:val="nil"/>
        </w:tcBorders>
        <w:shd w:val="clear" w:color="auto" w:fill="FFFFFF"/>
      </w:tcPr>
    </w:tblStylePr>
    <w:tblStylePr w:type="lastRow">
      <w:tcPr>
        <w:tcBorders>
          <w:top w:val="single" w:color="C0504D" w:sz="8" w:space="0"/>
          <w:left w:val="nil"/>
          <w:bottom w:val="nil"/>
          <w:right w:val="nil"/>
          <w:insideH w:val="nil"/>
          <w:insideV w:val="nil"/>
        </w:tcBorders>
        <w:shd w:val="clear" w:color="auto" w:fill="FFFFFF"/>
      </w:tcPr>
    </w:tblStylePr>
    <w:tblStylePr w:type="firstCol">
      <w:tcPr>
        <w:tcBorders>
          <w:top w:val="nil"/>
          <w:left w:val="nil"/>
          <w:bottom w:val="nil"/>
          <w:right w:val="single" w:color="C0504D" w:sz="8" w:space="0"/>
          <w:insideH w:val="nil"/>
          <w:insideV w:val="nil"/>
        </w:tcBorders>
        <w:shd w:val="clear" w:color="auto" w:fill="FFFFFF"/>
      </w:tcPr>
    </w:tblStylePr>
    <w:tblStylePr w:type="lastCol">
      <w:tcPr>
        <w:tcBorders>
          <w:top w:val="nil"/>
          <w:left w:val="single" w:color="C0504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FD3D2"/>
      </w:tcPr>
    </w:tblStylePr>
    <w:tblStylePr w:type="band1Horz">
      <w:tcPr>
        <w:tcBorders>
          <w:top w:val="nil"/>
          <w:bottom w:val="nil"/>
          <w:insideH w:val="nil"/>
          <w:insideV w:val="nil"/>
        </w:tcBorders>
        <w:shd w:val="clear" w:color="auto" w:fill="EFD3D2"/>
      </w:tcPr>
    </w:tblStylePr>
    <w:tblStylePr w:type="nwCell">
      <w:tcPr>
        <w:shd w:val="clear" w:color="auto" w:fill="FFFFFF"/>
      </w:tcPr>
    </w:tblStylePr>
    <w:tblStylePr w:type="swCell">
      <w:tcPr>
        <w:tcBorders>
          <w:top w:val="nil"/>
        </w:tcBorders>
      </w:tcPr>
    </w:tblStylePr>
  </w:style>
  <w:style w:type="table" w:customStyle="1" w:styleId="235">
    <w:name w:val="中等深浅列表 2 - 着色 31"/>
    <w:basedOn w:val="43"/>
    <w:qFormat/>
    <w:uiPriority w:val="66"/>
    <w:rPr>
      <w:rFonts w:ascii="Calibri" w:hAnsi="Calibri" w:eastAsia="黑体" w:cs="黑体"/>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cPr>
        <w:tcBorders>
          <w:top w:val="nil"/>
          <w:left w:val="nil"/>
          <w:bottom w:val="single" w:color="9BBB59" w:sz="24" w:space="0"/>
          <w:right w:val="nil"/>
          <w:insideH w:val="nil"/>
          <w:insideV w:val="nil"/>
        </w:tcBorders>
        <w:shd w:val="clear" w:color="auto" w:fill="FFFFFF"/>
      </w:tcPr>
    </w:tblStylePr>
    <w:tblStylePr w:type="lastRow">
      <w:tcPr>
        <w:tcBorders>
          <w:top w:val="single" w:color="9BBB59" w:sz="8" w:space="0"/>
          <w:left w:val="nil"/>
          <w:bottom w:val="nil"/>
          <w:right w:val="nil"/>
          <w:insideH w:val="nil"/>
          <w:insideV w:val="nil"/>
        </w:tcBorders>
        <w:shd w:val="clear" w:color="auto" w:fill="FFFFFF"/>
      </w:tcPr>
    </w:tblStylePr>
    <w:tblStylePr w:type="firstCol">
      <w:tcPr>
        <w:tcBorders>
          <w:top w:val="nil"/>
          <w:left w:val="nil"/>
          <w:bottom w:val="nil"/>
          <w:right w:val="single" w:color="9BBB59" w:sz="8" w:space="0"/>
          <w:insideH w:val="nil"/>
          <w:insideV w:val="nil"/>
        </w:tcBorders>
        <w:shd w:val="clear" w:color="auto" w:fill="FFFFFF"/>
      </w:tcPr>
    </w:tblStylePr>
    <w:tblStylePr w:type="lastCol">
      <w:tcPr>
        <w:tcBorders>
          <w:top w:val="nil"/>
          <w:left w:val="single" w:color="9BBB59"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6EED5"/>
      </w:tcPr>
    </w:tblStylePr>
    <w:tblStylePr w:type="band1Horz">
      <w:tcPr>
        <w:tcBorders>
          <w:top w:val="nil"/>
          <w:bottom w:val="nil"/>
          <w:insideH w:val="nil"/>
          <w:insideV w:val="nil"/>
        </w:tcBorders>
        <w:shd w:val="clear" w:color="auto" w:fill="E6EED5"/>
      </w:tcPr>
    </w:tblStylePr>
    <w:tblStylePr w:type="nwCell">
      <w:tcPr>
        <w:shd w:val="clear" w:color="auto" w:fill="FFFFFF"/>
      </w:tcPr>
    </w:tblStylePr>
    <w:tblStylePr w:type="swCell">
      <w:tcPr>
        <w:tcBorders>
          <w:top w:val="nil"/>
        </w:tcBorders>
      </w:tcPr>
    </w:tblStylePr>
  </w:style>
  <w:style w:type="table" w:customStyle="1" w:styleId="236">
    <w:name w:val="中等深浅列表 2 - 着色 41"/>
    <w:basedOn w:val="43"/>
    <w:qFormat/>
    <w:uiPriority w:val="66"/>
    <w:rPr>
      <w:rFonts w:ascii="Calibri" w:hAnsi="Calibri" w:eastAsia="黑体" w:cs="黑体"/>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cPr>
        <w:tcBorders>
          <w:top w:val="nil"/>
          <w:left w:val="nil"/>
          <w:bottom w:val="single" w:color="8064A2" w:sz="24" w:space="0"/>
          <w:right w:val="nil"/>
          <w:insideH w:val="nil"/>
          <w:insideV w:val="nil"/>
        </w:tcBorders>
        <w:shd w:val="clear" w:color="auto" w:fill="FFFFFF"/>
      </w:tcPr>
    </w:tblStylePr>
    <w:tblStylePr w:type="lastRow">
      <w:tcPr>
        <w:tcBorders>
          <w:top w:val="single" w:color="8064A2" w:sz="8" w:space="0"/>
          <w:left w:val="nil"/>
          <w:bottom w:val="nil"/>
          <w:right w:val="nil"/>
          <w:insideH w:val="nil"/>
          <w:insideV w:val="nil"/>
        </w:tcBorders>
        <w:shd w:val="clear" w:color="auto" w:fill="FFFFFF"/>
      </w:tcPr>
    </w:tblStylePr>
    <w:tblStylePr w:type="firstCol">
      <w:tcPr>
        <w:tcBorders>
          <w:top w:val="nil"/>
          <w:left w:val="nil"/>
          <w:bottom w:val="nil"/>
          <w:right w:val="single" w:color="8064A2" w:sz="8" w:space="0"/>
          <w:insideH w:val="nil"/>
          <w:insideV w:val="nil"/>
        </w:tcBorders>
        <w:shd w:val="clear" w:color="auto" w:fill="FFFFFF"/>
      </w:tcPr>
    </w:tblStylePr>
    <w:tblStylePr w:type="lastCol">
      <w:tcPr>
        <w:tcBorders>
          <w:top w:val="nil"/>
          <w:left w:val="single" w:color="8064A2"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FD8E8"/>
      </w:tcPr>
    </w:tblStylePr>
    <w:tblStylePr w:type="band1Horz">
      <w:tcPr>
        <w:tcBorders>
          <w:top w:val="nil"/>
          <w:bottom w:val="nil"/>
          <w:insideH w:val="nil"/>
          <w:insideV w:val="nil"/>
        </w:tcBorders>
        <w:shd w:val="clear" w:color="auto" w:fill="DFD8E8"/>
      </w:tcPr>
    </w:tblStylePr>
    <w:tblStylePr w:type="nwCell">
      <w:tcPr>
        <w:shd w:val="clear" w:color="auto" w:fill="FFFFFF"/>
      </w:tcPr>
    </w:tblStylePr>
    <w:tblStylePr w:type="swCell">
      <w:tcPr>
        <w:tcBorders>
          <w:top w:val="nil"/>
        </w:tcBorders>
      </w:tcPr>
    </w:tblStylePr>
  </w:style>
  <w:style w:type="table" w:customStyle="1" w:styleId="237">
    <w:name w:val="中等深浅列表 2 - 着色 51"/>
    <w:basedOn w:val="43"/>
    <w:qFormat/>
    <w:uiPriority w:val="66"/>
    <w:rPr>
      <w:rFonts w:ascii="Calibri" w:hAnsi="Calibri" w:eastAsia="黑体" w:cs="黑体"/>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cPr>
        <w:tcBorders>
          <w:top w:val="nil"/>
          <w:left w:val="nil"/>
          <w:bottom w:val="single" w:color="4BACC6" w:sz="24" w:space="0"/>
          <w:right w:val="nil"/>
          <w:insideH w:val="nil"/>
          <w:insideV w:val="nil"/>
        </w:tcBorders>
        <w:shd w:val="clear" w:color="auto" w:fill="FFFFFF"/>
      </w:tcPr>
    </w:tblStylePr>
    <w:tblStylePr w:type="lastRow">
      <w:tcPr>
        <w:tcBorders>
          <w:top w:val="single" w:color="4BACC6" w:sz="8" w:space="0"/>
          <w:left w:val="nil"/>
          <w:bottom w:val="nil"/>
          <w:right w:val="nil"/>
          <w:insideH w:val="nil"/>
          <w:insideV w:val="nil"/>
        </w:tcBorders>
        <w:shd w:val="clear" w:color="auto" w:fill="FFFFFF"/>
      </w:tcPr>
    </w:tblStylePr>
    <w:tblStylePr w:type="firstCol">
      <w:tcPr>
        <w:tcBorders>
          <w:top w:val="nil"/>
          <w:left w:val="nil"/>
          <w:bottom w:val="nil"/>
          <w:right w:val="single" w:color="4BACC6" w:sz="8" w:space="0"/>
          <w:insideH w:val="nil"/>
          <w:insideV w:val="nil"/>
        </w:tcBorders>
        <w:shd w:val="clear" w:color="auto" w:fill="FFFFFF"/>
      </w:tcPr>
    </w:tblStylePr>
    <w:tblStylePr w:type="lastCol">
      <w:tcPr>
        <w:tcBorders>
          <w:top w:val="nil"/>
          <w:left w:val="single" w:color="4BACC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2EAF1"/>
      </w:tcPr>
    </w:tblStylePr>
    <w:tblStylePr w:type="band1Horz">
      <w:tcPr>
        <w:tcBorders>
          <w:top w:val="nil"/>
          <w:bottom w:val="nil"/>
          <w:insideH w:val="nil"/>
          <w:insideV w:val="nil"/>
        </w:tcBorders>
        <w:shd w:val="clear" w:color="auto" w:fill="D2EAF1"/>
      </w:tcPr>
    </w:tblStylePr>
    <w:tblStylePr w:type="nwCell">
      <w:tcPr>
        <w:shd w:val="clear" w:color="auto" w:fill="FFFFFF"/>
      </w:tcPr>
    </w:tblStylePr>
    <w:tblStylePr w:type="swCell">
      <w:tcPr>
        <w:tcBorders>
          <w:top w:val="nil"/>
        </w:tcBorders>
      </w:tcPr>
    </w:tblStylePr>
  </w:style>
  <w:style w:type="table" w:customStyle="1" w:styleId="238">
    <w:name w:val="中等深浅列表 2 - 着色 61"/>
    <w:basedOn w:val="43"/>
    <w:qFormat/>
    <w:uiPriority w:val="66"/>
    <w:rPr>
      <w:rFonts w:ascii="Calibri" w:hAnsi="Calibri" w:eastAsia="黑体" w:cs="黑体"/>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cPr>
        <w:tcBorders>
          <w:top w:val="nil"/>
          <w:left w:val="nil"/>
          <w:bottom w:val="single" w:color="F79646" w:sz="24" w:space="0"/>
          <w:right w:val="nil"/>
          <w:insideH w:val="nil"/>
          <w:insideV w:val="nil"/>
        </w:tcBorders>
        <w:shd w:val="clear" w:color="auto" w:fill="FFFFFF"/>
      </w:tcPr>
    </w:tblStylePr>
    <w:tblStylePr w:type="lastRow">
      <w:tcPr>
        <w:tcBorders>
          <w:top w:val="single" w:color="F79646" w:sz="8" w:space="0"/>
          <w:left w:val="nil"/>
          <w:bottom w:val="nil"/>
          <w:right w:val="nil"/>
          <w:insideH w:val="nil"/>
          <w:insideV w:val="nil"/>
        </w:tcBorders>
        <w:shd w:val="clear" w:color="auto" w:fill="FFFFFF"/>
      </w:tcPr>
    </w:tblStylePr>
    <w:tblStylePr w:type="firstCol">
      <w:tcPr>
        <w:tcBorders>
          <w:top w:val="nil"/>
          <w:left w:val="nil"/>
          <w:bottom w:val="nil"/>
          <w:right w:val="single" w:color="F79646" w:sz="8" w:space="0"/>
          <w:insideH w:val="nil"/>
          <w:insideV w:val="nil"/>
        </w:tcBorders>
        <w:shd w:val="clear" w:color="auto" w:fill="FFFFFF"/>
      </w:tcPr>
    </w:tblStylePr>
    <w:tblStylePr w:type="lastCol">
      <w:tcPr>
        <w:tcBorders>
          <w:top w:val="nil"/>
          <w:left w:val="single" w:color="F7964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FDE4D0"/>
      </w:tcPr>
    </w:tblStylePr>
    <w:tblStylePr w:type="band1Horz">
      <w:tcPr>
        <w:tcBorders>
          <w:top w:val="nil"/>
          <w:bottom w:val="nil"/>
          <w:insideH w:val="nil"/>
          <w:insideV w:val="nil"/>
        </w:tcBorders>
        <w:shd w:val="clear" w:color="auto" w:fill="FDE4D0"/>
      </w:tcPr>
    </w:tblStylePr>
    <w:tblStylePr w:type="nwCell">
      <w:tcPr>
        <w:shd w:val="clear" w:color="auto" w:fill="FFFFFF"/>
      </w:tcPr>
    </w:tblStylePr>
    <w:tblStylePr w:type="swCell">
      <w:tcPr>
        <w:tcBorders>
          <w:top w:val="nil"/>
        </w:tcBorders>
      </w:tcPr>
    </w:tblStylePr>
  </w:style>
  <w:style w:type="table" w:customStyle="1" w:styleId="239">
    <w:name w:val="中等深浅网格 11"/>
    <w:basedOn w:val="43"/>
    <w:qFormat/>
    <w:uiPriority w:val="67"/>
    <w:rPr>
      <w:rFonts w:ascii="Cambria" w:hAnsi="Cambria" w:cs="宋体"/>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000000" w:sz="18" w:space="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240">
    <w:name w:val="中等深浅网格 1 - 着色 11"/>
    <w:basedOn w:val="43"/>
    <w:qFormat/>
    <w:uiPriority w:val="67"/>
    <w:rPr>
      <w:rFonts w:ascii="Cambria" w:hAnsi="Cambria" w:cs="宋体"/>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cPr>
        <w:tcBorders>
          <w:top w:val="single" w:color="4F81BD" w:sz="18" w:space="0"/>
        </w:tcBorders>
      </w:tcPr>
    </w:tblStylePr>
    <w:tblStylePr w:type="firstCol">
      <w:rPr>
        <w:b/>
        <w:bCs/>
      </w:rPr>
    </w:tblStylePr>
    <w:tblStylePr w:type="lastCol">
      <w:rPr>
        <w:b/>
        <w:bCs/>
      </w:rPr>
    </w:tblStylePr>
    <w:tblStylePr w:type="band1Vert">
      <w:tcPr>
        <w:shd w:val="clear" w:color="auto" w:fill="A7BFDE"/>
      </w:tcPr>
    </w:tblStylePr>
    <w:tblStylePr w:type="band1Horz">
      <w:tcPr>
        <w:shd w:val="clear" w:color="auto" w:fill="A7BFDE"/>
      </w:tcPr>
    </w:tblStylePr>
  </w:style>
  <w:style w:type="table" w:customStyle="1" w:styleId="241">
    <w:name w:val="中等深浅网格 1 - 着色 21"/>
    <w:basedOn w:val="43"/>
    <w:qFormat/>
    <w:uiPriority w:val="67"/>
    <w:rPr>
      <w:rFonts w:ascii="Cambria" w:hAnsi="Cambria" w:cs="宋体"/>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cPr>
        <w:tcBorders>
          <w:top w:val="single" w:color="C0504D"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242">
    <w:name w:val="中等深浅网格 1 - 着色 31"/>
    <w:basedOn w:val="43"/>
    <w:qFormat/>
    <w:uiPriority w:val="67"/>
    <w:rPr>
      <w:rFonts w:ascii="Cambria" w:hAnsi="Cambria" w:cs="宋体"/>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cPr>
        <w:tcBorders>
          <w:top w:val="single" w:color="9BBB59" w:sz="18" w:space="0"/>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customStyle="1" w:styleId="243">
    <w:name w:val="中等深浅网格 1 - 着色 41"/>
    <w:basedOn w:val="43"/>
    <w:qFormat/>
    <w:uiPriority w:val="67"/>
    <w:rPr>
      <w:rFonts w:ascii="Cambria" w:hAnsi="Cambria" w:cs="宋体"/>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cPr>
        <w:tcBorders>
          <w:top w:val="single" w:color="8064A2"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244">
    <w:name w:val="中等深浅网格 1 - 着色 51"/>
    <w:basedOn w:val="43"/>
    <w:qFormat/>
    <w:uiPriority w:val="67"/>
    <w:rPr>
      <w:rFonts w:ascii="Cambria" w:hAnsi="Cambria" w:cs="宋体"/>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cPr>
        <w:tcBorders>
          <w:top w:val="single" w:color="4BACC6"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customStyle="1" w:styleId="245">
    <w:name w:val="中等深浅网格 1 - 着色 61"/>
    <w:basedOn w:val="43"/>
    <w:qFormat/>
    <w:uiPriority w:val="67"/>
    <w:rPr>
      <w:rFonts w:ascii="Cambria" w:hAnsi="Cambria" w:cs="宋体"/>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cPr>
        <w:tcBorders>
          <w:top w:val="single" w:color="F79646" w:sz="18" w:space="0"/>
        </w:tcBorders>
      </w:tcPr>
    </w:tblStylePr>
    <w:tblStylePr w:type="firstCol">
      <w:rPr>
        <w:b/>
        <w:bCs/>
      </w:rPr>
    </w:tblStylePr>
    <w:tblStylePr w:type="lastCol">
      <w:rPr>
        <w:b/>
        <w:bCs/>
      </w:rPr>
    </w:tblStylePr>
    <w:tblStylePr w:type="band1Vert">
      <w:tcPr>
        <w:shd w:val="clear" w:color="auto" w:fill="FBCAA2"/>
      </w:tcPr>
    </w:tblStylePr>
    <w:tblStylePr w:type="band1Horz">
      <w:tcPr>
        <w:shd w:val="clear" w:color="auto" w:fill="FBCAA2"/>
      </w:tcPr>
    </w:tblStylePr>
  </w:style>
  <w:style w:type="table" w:customStyle="1" w:styleId="246">
    <w:name w:val="中等深浅网格 21"/>
    <w:basedOn w:val="43"/>
    <w:qFormat/>
    <w:uiPriority w:val="68"/>
    <w:rPr>
      <w:rFonts w:ascii="Calibri" w:hAnsi="Calibri" w:eastAsia="黑体" w:cs="黑体"/>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CCCCCC"/>
      </w:tcPr>
    </w:tblStylePr>
    <w:tblStylePr w:type="band1Vert">
      <w:tcPr>
        <w:shd w:val="clear" w:color="auto" w:fill="808080"/>
      </w:tcPr>
    </w:tblStylePr>
    <w:tblStylePr w:type="band1Horz">
      <w:tcPr>
        <w:tcBorders>
          <w:insideH w:val="single" w:sz="6" w:space="0"/>
          <w:insideV w:val="single" w:sz="6" w:space="0"/>
        </w:tcBorders>
        <w:shd w:val="clear" w:color="auto" w:fill="808080"/>
      </w:tcPr>
    </w:tblStylePr>
    <w:tblStylePr w:type="nwCell">
      <w:tcPr>
        <w:shd w:val="clear" w:color="auto" w:fill="FFFFFF"/>
      </w:tcPr>
    </w:tblStylePr>
  </w:style>
  <w:style w:type="table" w:customStyle="1" w:styleId="247">
    <w:name w:val="中等深浅网格 2 - 着色 11"/>
    <w:basedOn w:val="43"/>
    <w:qFormat/>
    <w:uiPriority w:val="68"/>
    <w:rPr>
      <w:rFonts w:ascii="Calibri" w:hAnsi="Calibri" w:eastAsia="黑体" w:cs="黑体"/>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cPr>
        <w:shd w:val="clear" w:color="auto" w:fill="EDF2F8"/>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BE5F1"/>
      </w:tcPr>
    </w:tblStylePr>
    <w:tblStylePr w:type="band1Vert">
      <w:tcPr>
        <w:shd w:val="clear" w:color="auto" w:fill="A7BFDE"/>
      </w:tcPr>
    </w:tblStylePr>
    <w:tblStylePr w:type="band1Horz">
      <w:tcPr>
        <w:tcBorders>
          <w:insideH w:val="single" w:sz="6" w:space="0"/>
          <w:insideV w:val="single" w:sz="6" w:space="0"/>
        </w:tcBorders>
        <w:shd w:val="clear" w:color="auto" w:fill="A7BFDE"/>
      </w:tcPr>
    </w:tblStylePr>
    <w:tblStylePr w:type="nwCell">
      <w:tcPr>
        <w:shd w:val="clear" w:color="auto" w:fill="FFFFFF"/>
      </w:tcPr>
    </w:tblStylePr>
  </w:style>
  <w:style w:type="table" w:customStyle="1" w:styleId="248">
    <w:name w:val="中等深浅网格 2 - 着色 21"/>
    <w:basedOn w:val="43"/>
    <w:qFormat/>
    <w:uiPriority w:val="68"/>
    <w:rPr>
      <w:rFonts w:ascii="Calibri" w:hAnsi="Calibri" w:eastAsia="黑体" w:cs="黑体"/>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cPr>
        <w:shd w:val="clear" w:color="auto" w:fill="F8EDED"/>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2DBDB"/>
      </w:tcPr>
    </w:tblStylePr>
    <w:tblStylePr w:type="band1Vert">
      <w:tcPr>
        <w:shd w:val="clear" w:color="auto" w:fill="DFA7A6"/>
      </w:tcPr>
    </w:tblStylePr>
    <w:tblStylePr w:type="band1Horz">
      <w:tcPr>
        <w:tcBorders>
          <w:insideH w:val="single" w:sz="6" w:space="0"/>
          <w:insideV w:val="single" w:sz="6" w:space="0"/>
        </w:tcBorders>
        <w:shd w:val="clear" w:color="auto" w:fill="DFA7A6"/>
      </w:tcPr>
    </w:tblStylePr>
    <w:tblStylePr w:type="nwCell">
      <w:tcPr>
        <w:shd w:val="clear" w:color="auto" w:fill="FFFFFF"/>
      </w:tcPr>
    </w:tblStylePr>
  </w:style>
  <w:style w:type="table" w:customStyle="1" w:styleId="249">
    <w:name w:val="中等深浅网格 2 - 着色 31"/>
    <w:basedOn w:val="43"/>
    <w:qFormat/>
    <w:uiPriority w:val="68"/>
    <w:rPr>
      <w:rFonts w:ascii="Calibri" w:hAnsi="Calibri" w:eastAsia="黑体" w:cs="黑体"/>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cPr>
        <w:shd w:val="clear" w:color="auto" w:fill="F5F8EE"/>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AF1DD"/>
      </w:tcPr>
    </w:tblStylePr>
    <w:tblStylePr w:type="band1Vert">
      <w:tcPr>
        <w:shd w:val="clear" w:color="auto" w:fill="CDDDAC"/>
      </w:tcPr>
    </w:tblStylePr>
    <w:tblStylePr w:type="band1Horz">
      <w:tcPr>
        <w:tcBorders>
          <w:insideH w:val="single" w:sz="6" w:space="0"/>
          <w:insideV w:val="single" w:sz="6" w:space="0"/>
        </w:tcBorders>
        <w:shd w:val="clear" w:color="auto" w:fill="CDDDAC"/>
      </w:tcPr>
    </w:tblStylePr>
    <w:tblStylePr w:type="nwCell">
      <w:tcPr>
        <w:shd w:val="clear" w:color="auto" w:fill="FFFFFF"/>
      </w:tcPr>
    </w:tblStylePr>
  </w:style>
  <w:style w:type="table" w:customStyle="1" w:styleId="250">
    <w:name w:val="中等深浅网格 2 - 着色 41"/>
    <w:basedOn w:val="43"/>
    <w:qFormat/>
    <w:uiPriority w:val="68"/>
    <w:rPr>
      <w:rFonts w:ascii="Calibri" w:hAnsi="Calibri" w:eastAsia="黑体" w:cs="黑体"/>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cPr>
        <w:shd w:val="clear" w:color="auto" w:fill="F2EFF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5DFEC"/>
      </w:tcPr>
    </w:tblStylePr>
    <w:tblStylePr w:type="band1Vert">
      <w:tcPr>
        <w:shd w:val="clear" w:color="auto" w:fill="BFB1D0"/>
      </w:tcPr>
    </w:tblStylePr>
    <w:tblStylePr w:type="band1Horz">
      <w:tcPr>
        <w:tcBorders>
          <w:insideH w:val="single" w:sz="6" w:space="0"/>
          <w:insideV w:val="single" w:sz="6" w:space="0"/>
        </w:tcBorders>
        <w:shd w:val="clear" w:color="auto" w:fill="BFB1D0"/>
      </w:tcPr>
    </w:tblStylePr>
    <w:tblStylePr w:type="nwCell">
      <w:tcPr>
        <w:shd w:val="clear" w:color="auto" w:fill="FFFFFF"/>
      </w:tcPr>
    </w:tblStylePr>
  </w:style>
  <w:style w:type="table" w:customStyle="1" w:styleId="251">
    <w:name w:val="中等深浅网格 2 - 着色 51"/>
    <w:basedOn w:val="43"/>
    <w:qFormat/>
    <w:uiPriority w:val="68"/>
    <w:rPr>
      <w:rFonts w:ascii="Calibri" w:hAnsi="Calibri" w:eastAsia="黑体" w:cs="黑体"/>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cPr>
        <w:shd w:val="clear" w:color="auto" w:fill="EDF6F9"/>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AEEF3"/>
      </w:tcPr>
    </w:tblStylePr>
    <w:tblStylePr w:type="band1Vert">
      <w:tcPr>
        <w:shd w:val="clear" w:color="auto" w:fill="A5D5E2"/>
      </w:tcPr>
    </w:tblStylePr>
    <w:tblStylePr w:type="band1Horz">
      <w:tcPr>
        <w:tcBorders>
          <w:insideH w:val="single" w:sz="6" w:space="0"/>
          <w:insideV w:val="single" w:sz="6" w:space="0"/>
        </w:tcBorders>
        <w:shd w:val="clear" w:color="auto" w:fill="A5D5E2"/>
      </w:tcPr>
    </w:tblStylePr>
    <w:tblStylePr w:type="nwCell">
      <w:tcPr>
        <w:shd w:val="clear" w:color="auto" w:fill="FFFFFF"/>
      </w:tcPr>
    </w:tblStylePr>
  </w:style>
  <w:style w:type="table" w:customStyle="1" w:styleId="252">
    <w:name w:val="中等深浅网格 2 - 着色 61"/>
    <w:basedOn w:val="43"/>
    <w:qFormat/>
    <w:uiPriority w:val="68"/>
    <w:rPr>
      <w:rFonts w:ascii="Calibri" w:hAnsi="Calibri" w:eastAsia="黑体" w:cs="黑体"/>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cPr>
        <w:shd w:val="clear" w:color="auto" w:fill="FEF4EC"/>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DE9D9"/>
      </w:tcPr>
    </w:tblStylePr>
    <w:tblStylePr w:type="band1Vert">
      <w:tcPr>
        <w:shd w:val="clear" w:color="auto" w:fill="FBCAA2"/>
      </w:tcPr>
    </w:tblStylePr>
    <w:tblStylePr w:type="band1Horz">
      <w:tcPr>
        <w:tcBorders>
          <w:insideH w:val="single" w:sz="6" w:space="0"/>
          <w:insideV w:val="single" w:sz="6" w:space="0"/>
        </w:tcBorders>
        <w:shd w:val="clear" w:color="auto" w:fill="FBCAA2"/>
      </w:tcPr>
    </w:tblStylePr>
    <w:tblStylePr w:type="nwCell">
      <w:tcPr>
        <w:shd w:val="clear" w:color="auto" w:fill="FFFFFF"/>
      </w:tcPr>
    </w:tblStylePr>
  </w:style>
  <w:style w:type="table" w:customStyle="1" w:styleId="253">
    <w:name w:val="中等深浅网格 31"/>
    <w:basedOn w:val="43"/>
    <w:qFormat/>
    <w:uiPriority w:val="69"/>
    <w:rPr>
      <w:rFonts w:ascii="Cambria" w:hAnsi="Cambria" w:cs="宋体"/>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color w:val="FFFFFF"/>
      </w:rPr>
      <w:tcPr>
        <w:tcBorders>
          <w:left w:val="single" w:color="FFFFFF" w:sz="8" w:space="0"/>
          <w:right w:val="single" w:color="FFFFFF" w:sz="24" w:space="0"/>
          <w:insideH w:val="nil"/>
          <w:insideV w:val="nil"/>
        </w:tcBorders>
        <w:shd w:val="clear" w:color="auto" w:fill="000000"/>
      </w:tcPr>
    </w:tblStylePr>
    <w:tblStylePr w:type="lastCol">
      <w:rPr>
        <w:b/>
        <w:bCs/>
        <w:i w:val="0"/>
        <w:color w:val="FFFFFF"/>
      </w:rPr>
      <w:tcPr>
        <w:tcBorders>
          <w:top w:val="nil"/>
          <w:left w:val="single" w:color="FFFFFF" w:sz="24" w:space="0"/>
          <w:bottom w:val="nil"/>
          <w:right w:val="nil"/>
          <w:insideH w:val="nil"/>
          <w:insideV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customStyle="1" w:styleId="254">
    <w:name w:val="中等深浅网格 3 - 着色 11"/>
    <w:basedOn w:val="43"/>
    <w:qFormat/>
    <w:uiPriority w:val="69"/>
    <w:rPr>
      <w:rFonts w:ascii="Cambria" w:hAnsi="Cambria" w:cs="宋体"/>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color w:val="FFFFFF"/>
      </w:rPr>
      <w:tcPr>
        <w:tcBorders>
          <w:left w:val="single" w:color="FFFFFF" w:sz="8" w:space="0"/>
          <w:right w:val="single" w:color="FFFFFF" w:sz="24" w:space="0"/>
          <w:insideH w:val="nil"/>
          <w:insideV w:val="nil"/>
        </w:tcBorders>
        <w:shd w:val="clear" w:color="auto" w:fill="4F81BD"/>
      </w:tcPr>
    </w:tblStylePr>
    <w:tblStylePr w:type="lastCol">
      <w:rPr>
        <w:b/>
        <w:bCs/>
        <w:i w:val="0"/>
        <w:color w:val="FFFFFF"/>
      </w:rPr>
      <w:tcPr>
        <w:tcBorders>
          <w:top w:val="nil"/>
          <w:left w:val="single" w:color="FFFFFF" w:sz="24" w:space="0"/>
          <w:bottom w:val="nil"/>
          <w:right w:val="nil"/>
          <w:insideH w:val="nil"/>
          <w:insideV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customStyle="1" w:styleId="255">
    <w:name w:val="中等深浅网格 3 - 着色 21"/>
    <w:basedOn w:val="43"/>
    <w:qFormat/>
    <w:uiPriority w:val="69"/>
    <w:rPr>
      <w:rFonts w:ascii="Cambria" w:hAnsi="Cambria" w:cs="宋体"/>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color w:val="FFFFFF"/>
      </w:rPr>
      <w:tcPr>
        <w:tcBorders>
          <w:left w:val="single" w:color="FFFFFF" w:sz="8" w:space="0"/>
          <w:right w:val="single" w:color="FFFFFF" w:sz="24" w:space="0"/>
          <w:insideH w:val="nil"/>
          <w:insideV w:val="nil"/>
        </w:tcBorders>
        <w:shd w:val="clear" w:color="auto" w:fill="C0504D"/>
      </w:tcPr>
    </w:tblStylePr>
    <w:tblStylePr w:type="lastCol">
      <w:rPr>
        <w:b/>
        <w:bCs/>
        <w:i w:val="0"/>
        <w:color w:val="FFFFFF"/>
      </w:rPr>
      <w:tcPr>
        <w:tcBorders>
          <w:top w:val="nil"/>
          <w:left w:val="single" w:color="FFFFFF" w:sz="24" w:space="0"/>
          <w:bottom w:val="nil"/>
          <w:right w:val="nil"/>
          <w:insideH w:val="nil"/>
          <w:insideV w:val="nil"/>
        </w:tcBorders>
        <w:shd w:val="clear" w:color="auto" w:fill="C0504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customStyle="1" w:styleId="256">
    <w:name w:val="中等深浅网格 3 - 着色 31"/>
    <w:basedOn w:val="43"/>
    <w:qFormat/>
    <w:uiPriority w:val="69"/>
    <w:rPr>
      <w:rFonts w:ascii="Cambria" w:hAnsi="Cambria" w:cs="宋体"/>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color w:val="FFFFFF"/>
      </w:rPr>
      <w:tcPr>
        <w:tcBorders>
          <w:left w:val="single" w:color="FFFFFF" w:sz="8" w:space="0"/>
          <w:right w:val="single" w:color="FFFFFF" w:sz="24" w:space="0"/>
          <w:insideH w:val="nil"/>
          <w:insideV w:val="nil"/>
        </w:tcBorders>
        <w:shd w:val="clear" w:color="auto" w:fill="9BBB59"/>
      </w:tcPr>
    </w:tblStylePr>
    <w:tblStylePr w:type="lastCol">
      <w:rPr>
        <w:b/>
        <w:bCs/>
        <w:i w:val="0"/>
        <w:color w:val="FFFFFF"/>
      </w:rPr>
      <w:tcPr>
        <w:tcBorders>
          <w:top w:val="nil"/>
          <w:left w:val="single" w:color="FFFFFF" w:sz="24" w:space="0"/>
          <w:bottom w:val="nil"/>
          <w:right w:val="nil"/>
          <w:insideH w:val="nil"/>
          <w:insideV w:val="nil"/>
        </w:tcBorders>
        <w:shd w:val="clear" w:color="auto" w:fill="9BBB59"/>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customStyle="1" w:styleId="257">
    <w:name w:val="中等深浅网格 3 - 着色 41"/>
    <w:basedOn w:val="43"/>
    <w:qFormat/>
    <w:uiPriority w:val="69"/>
    <w:rPr>
      <w:rFonts w:ascii="Cambria" w:hAnsi="Cambria" w:cs="宋体"/>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color w:val="FFFFFF"/>
      </w:rPr>
      <w:tcPr>
        <w:tcBorders>
          <w:left w:val="single" w:color="FFFFFF" w:sz="8" w:space="0"/>
          <w:right w:val="single" w:color="FFFFFF" w:sz="24" w:space="0"/>
          <w:insideH w:val="nil"/>
          <w:insideV w:val="nil"/>
        </w:tcBorders>
        <w:shd w:val="clear" w:color="auto" w:fill="8064A2"/>
      </w:tcPr>
    </w:tblStylePr>
    <w:tblStylePr w:type="lastCol">
      <w:rPr>
        <w:b/>
        <w:bCs/>
        <w:i w:val="0"/>
        <w:color w:val="FFFFFF"/>
      </w:rPr>
      <w:tcPr>
        <w:tcBorders>
          <w:top w:val="nil"/>
          <w:left w:val="single" w:color="FFFFFF" w:sz="24" w:space="0"/>
          <w:bottom w:val="nil"/>
          <w:right w:val="nil"/>
          <w:insideH w:val="nil"/>
          <w:insideV w:val="nil"/>
        </w:tcBorders>
        <w:shd w:val="clear" w:color="auto" w:fill="8064A2"/>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customStyle="1" w:styleId="258">
    <w:name w:val="中等深浅网格 3 - 着色 51"/>
    <w:basedOn w:val="43"/>
    <w:qFormat/>
    <w:uiPriority w:val="69"/>
    <w:rPr>
      <w:rFonts w:ascii="Cambria" w:hAnsi="Cambria" w:cs="宋体"/>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color w:val="FFFFFF"/>
      </w:rPr>
      <w:tcPr>
        <w:tcBorders>
          <w:left w:val="single" w:color="FFFFFF" w:sz="8" w:space="0"/>
          <w:right w:val="single" w:color="FFFFFF" w:sz="24" w:space="0"/>
          <w:insideH w:val="nil"/>
          <w:insideV w:val="nil"/>
        </w:tcBorders>
        <w:shd w:val="clear" w:color="auto" w:fill="4BACC6"/>
      </w:tcPr>
    </w:tblStylePr>
    <w:tblStylePr w:type="lastCol">
      <w:rPr>
        <w:b/>
        <w:bCs/>
        <w:i w:val="0"/>
        <w:color w:val="FFFFFF"/>
      </w:rPr>
      <w:tcPr>
        <w:tcBorders>
          <w:top w:val="nil"/>
          <w:left w:val="single" w:color="FFFFFF" w:sz="24" w:space="0"/>
          <w:bottom w:val="nil"/>
          <w:right w:val="nil"/>
          <w:insideH w:val="nil"/>
          <w:insideV w:val="nil"/>
        </w:tcBorders>
        <w:shd w:val="clear" w:color="auto" w:fill="4BACC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customStyle="1" w:styleId="259">
    <w:name w:val="中等深浅网格 3 - 着色 61"/>
    <w:basedOn w:val="43"/>
    <w:qFormat/>
    <w:uiPriority w:val="69"/>
    <w:rPr>
      <w:rFonts w:ascii="Cambria" w:hAnsi="Cambria" w:cs="宋体"/>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color w:val="FFFFFF"/>
      </w:rPr>
      <w:tcPr>
        <w:tcBorders>
          <w:left w:val="single" w:color="FFFFFF" w:sz="8" w:space="0"/>
          <w:right w:val="single" w:color="FFFFFF" w:sz="24" w:space="0"/>
          <w:insideH w:val="nil"/>
          <w:insideV w:val="nil"/>
        </w:tcBorders>
        <w:shd w:val="clear" w:color="auto" w:fill="F79646"/>
      </w:tcPr>
    </w:tblStylePr>
    <w:tblStylePr w:type="lastCol">
      <w:rPr>
        <w:b/>
        <w:bCs/>
        <w:i w:val="0"/>
        <w:color w:val="FFFFFF"/>
      </w:rPr>
      <w:tcPr>
        <w:tcBorders>
          <w:top w:val="nil"/>
          <w:left w:val="single" w:color="FFFFFF" w:sz="24" w:space="0"/>
          <w:bottom w:val="nil"/>
          <w:right w:val="nil"/>
          <w:insideH w:val="nil"/>
          <w:insideV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customStyle="1" w:styleId="260">
    <w:name w:val="深色列表1"/>
    <w:basedOn w:val="43"/>
    <w:qFormat/>
    <w:uiPriority w:val="70"/>
    <w:rPr>
      <w:rFonts w:ascii="Cambria" w:hAnsi="Cambria" w:cs="宋体"/>
      <w:color w:val="FFFFFF"/>
    </w:rPr>
    <w:tcPr>
      <w:shd w:val="clear" w:color="auto" w:fill="000000"/>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000000"/>
      </w:tcPr>
    </w:tblStylePr>
    <w:tblStylePr w:type="firstCol">
      <w:tcPr>
        <w:tcBorders>
          <w:top w:val="nil"/>
          <w:left w:val="nil"/>
          <w:bottom w:val="nil"/>
          <w:right w:val="single" w:color="FFFFFF" w:sz="18" w:space="0"/>
          <w:insideH w:val="nil"/>
          <w:insideV w:val="nil"/>
        </w:tcBorders>
        <w:shd w:val="clear" w:color="auto" w:fill="000000"/>
      </w:tcPr>
    </w:tblStylePr>
    <w:tblStylePr w:type="lastCol">
      <w:tcPr>
        <w:tcBorders>
          <w:top w:val="nil"/>
          <w:left w:val="single" w:color="FFFFFF" w:sz="18" w:space="0"/>
          <w:bottom w:val="nil"/>
          <w:right w:val="nil"/>
          <w:insideH w:val="nil"/>
          <w:insideV w:val="nil"/>
        </w:tcBorders>
        <w:shd w:val="clear" w:color="auto" w:fill="000000"/>
      </w:tcPr>
    </w:tblStylePr>
    <w:tblStylePr w:type="band1Vert">
      <w:tcPr>
        <w:tcBorders>
          <w:top w:val="nil"/>
          <w:left w:val="nil"/>
          <w:bottom w:val="nil"/>
          <w:right w:val="nil"/>
          <w:insideH w:val="nil"/>
          <w:insideV w:val="nil"/>
        </w:tcBorders>
        <w:shd w:val="clear" w:color="auto" w:fill="000000"/>
      </w:tcPr>
    </w:tblStylePr>
    <w:tblStylePr w:type="band1Horz">
      <w:tcPr>
        <w:tcBorders>
          <w:top w:val="nil"/>
          <w:left w:val="nil"/>
          <w:bottom w:val="nil"/>
          <w:right w:val="nil"/>
          <w:insideH w:val="nil"/>
          <w:insideV w:val="nil"/>
        </w:tcBorders>
        <w:shd w:val="clear" w:color="auto" w:fill="000000"/>
      </w:tcPr>
    </w:tblStylePr>
  </w:style>
  <w:style w:type="table" w:customStyle="1" w:styleId="261">
    <w:name w:val="深色列表 - 着色 11"/>
    <w:basedOn w:val="43"/>
    <w:qFormat/>
    <w:uiPriority w:val="70"/>
    <w:rPr>
      <w:rFonts w:ascii="Cambria" w:hAnsi="Cambria" w:cs="宋体"/>
      <w:color w:val="FFFFFF"/>
    </w:rPr>
    <w:tcPr>
      <w:shd w:val="clear" w:color="auto" w:fill="4F81B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43F60"/>
      </w:tcPr>
    </w:tblStylePr>
    <w:tblStylePr w:type="firstCol">
      <w:tcPr>
        <w:tcBorders>
          <w:top w:val="nil"/>
          <w:left w:val="nil"/>
          <w:bottom w:val="nil"/>
          <w:right w:val="single" w:color="FFFFFF" w:sz="18" w:space="0"/>
          <w:insideH w:val="nil"/>
          <w:insideV w:val="nil"/>
        </w:tcBorders>
        <w:shd w:val="clear" w:color="auto" w:fill="365F91"/>
      </w:tcPr>
    </w:tblStylePr>
    <w:tblStylePr w:type="lastCol">
      <w:tcPr>
        <w:tcBorders>
          <w:top w:val="nil"/>
          <w:left w:val="single" w:color="FFFFFF" w:sz="18" w:space="0"/>
          <w:bottom w:val="nil"/>
          <w:right w:val="nil"/>
          <w:insideH w:val="nil"/>
          <w:insideV w:val="nil"/>
        </w:tcBorders>
        <w:shd w:val="clear" w:color="auto" w:fill="365F91"/>
      </w:tcPr>
    </w:tblStylePr>
    <w:tblStylePr w:type="band1Vert">
      <w:tcPr>
        <w:tcBorders>
          <w:top w:val="nil"/>
          <w:left w:val="nil"/>
          <w:bottom w:val="nil"/>
          <w:right w:val="nil"/>
          <w:insideH w:val="nil"/>
          <w:insideV w:val="nil"/>
        </w:tcBorders>
        <w:shd w:val="clear" w:color="auto" w:fill="365F91"/>
      </w:tcPr>
    </w:tblStylePr>
    <w:tblStylePr w:type="band1Horz">
      <w:tcPr>
        <w:tcBorders>
          <w:top w:val="nil"/>
          <w:left w:val="nil"/>
          <w:bottom w:val="nil"/>
          <w:right w:val="nil"/>
          <w:insideH w:val="nil"/>
          <w:insideV w:val="nil"/>
        </w:tcBorders>
        <w:shd w:val="clear" w:color="auto" w:fill="365F91"/>
      </w:tcPr>
    </w:tblStylePr>
  </w:style>
  <w:style w:type="table" w:customStyle="1" w:styleId="262">
    <w:name w:val="深色列表 - 着色 21"/>
    <w:basedOn w:val="43"/>
    <w:qFormat/>
    <w:uiPriority w:val="70"/>
    <w:rPr>
      <w:rFonts w:ascii="Cambria" w:hAnsi="Cambria" w:cs="宋体"/>
      <w:color w:val="FFFFFF"/>
    </w:rPr>
    <w:tcPr>
      <w:shd w:val="clear" w:color="auto" w:fill="C0504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622423"/>
      </w:tcPr>
    </w:tblStylePr>
    <w:tblStylePr w:type="firstCol">
      <w:tcPr>
        <w:tcBorders>
          <w:top w:val="nil"/>
          <w:left w:val="nil"/>
          <w:bottom w:val="nil"/>
          <w:right w:val="single" w:color="FFFFFF" w:sz="18" w:space="0"/>
          <w:insideH w:val="nil"/>
          <w:insideV w:val="nil"/>
        </w:tcBorders>
        <w:shd w:val="clear" w:color="auto" w:fill="943634"/>
      </w:tcPr>
    </w:tblStylePr>
    <w:tblStylePr w:type="lastCol">
      <w:tcPr>
        <w:tcBorders>
          <w:top w:val="nil"/>
          <w:left w:val="single" w:color="FFFFFF" w:sz="18" w:space="0"/>
          <w:bottom w:val="nil"/>
          <w:right w:val="nil"/>
          <w:insideH w:val="nil"/>
          <w:insideV w:val="nil"/>
        </w:tcBorders>
        <w:shd w:val="clear" w:color="auto" w:fill="943634"/>
      </w:tcPr>
    </w:tblStylePr>
    <w:tblStylePr w:type="band1Vert">
      <w:tcPr>
        <w:tcBorders>
          <w:top w:val="nil"/>
          <w:left w:val="nil"/>
          <w:bottom w:val="nil"/>
          <w:right w:val="nil"/>
          <w:insideH w:val="nil"/>
          <w:insideV w:val="nil"/>
        </w:tcBorders>
        <w:shd w:val="clear" w:color="auto" w:fill="943634"/>
      </w:tcPr>
    </w:tblStylePr>
    <w:tblStylePr w:type="band1Horz">
      <w:tcPr>
        <w:tcBorders>
          <w:top w:val="nil"/>
          <w:left w:val="nil"/>
          <w:bottom w:val="nil"/>
          <w:right w:val="nil"/>
          <w:insideH w:val="nil"/>
          <w:insideV w:val="nil"/>
        </w:tcBorders>
        <w:shd w:val="clear" w:color="auto" w:fill="943634"/>
      </w:tcPr>
    </w:tblStylePr>
  </w:style>
  <w:style w:type="table" w:customStyle="1" w:styleId="263">
    <w:name w:val="深色列表 - 着色 31"/>
    <w:basedOn w:val="43"/>
    <w:qFormat/>
    <w:uiPriority w:val="70"/>
    <w:rPr>
      <w:rFonts w:ascii="Cambria" w:hAnsi="Cambria" w:cs="宋体"/>
      <w:color w:val="FFFFFF"/>
    </w:rPr>
    <w:tcPr>
      <w:shd w:val="clear" w:color="auto" w:fill="9BBB59"/>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4E6128"/>
      </w:tcPr>
    </w:tblStylePr>
    <w:tblStylePr w:type="firstCol">
      <w:tcPr>
        <w:tcBorders>
          <w:top w:val="nil"/>
          <w:left w:val="nil"/>
          <w:bottom w:val="nil"/>
          <w:right w:val="single" w:color="FFFFFF" w:sz="18" w:space="0"/>
          <w:insideH w:val="nil"/>
          <w:insideV w:val="nil"/>
        </w:tcBorders>
        <w:shd w:val="clear" w:color="auto" w:fill="76923C"/>
      </w:tcPr>
    </w:tblStylePr>
    <w:tblStylePr w:type="lastCol">
      <w:tcPr>
        <w:tcBorders>
          <w:top w:val="nil"/>
          <w:left w:val="single" w:color="FFFFFF" w:sz="18" w:space="0"/>
          <w:bottom w:val="nil"/>
          <w:right w:val="nil"/>
          <w:insideH w:val="nil"/>
          <w:insideV w:val="nil"/>
        </w:tcBorders>
        <w:shd w:val="clear" w:color="auto" w:fill="76923C"/>
      </w:tcPr>
    </w:tblStylePr>
    <w:tblStylePr w:type="band1Vert">
      <w:tcPr>
        <w:tcBorders>
          <w:top w:val="nil"/>
          <w:left w:val="nil"/>
          <w:bottom w:val="nil"/>
          <w:right w:val="nil"/>
          <w:insideH w:val="nil"/>
          <w:insideV w:val="nil"/>
        </w:tcBorders>
        <w:shd w:val="clear" w:color="auto" w:fill="76923C"/>
      </w:tcPr>
    </w:tblStylePr>
    <w:tblStylePr w:type="band1Horz">
      <w:tcPr>
        <w:tcBorders>
          <w:top w:val="nil"/>
          <w:left w:val="nil"/>
          <w:bottom w:val="nil"/>
          <w:right w:val="nil"/>
          <w:insideH w:val="nil"/>
          <w:insideV w:val="nil"/>
        </w:tcBorders>
        <w:shd w:val="clear" w:color="auto" w:fill="76923C"/>
      </w:tcPr>
    </w:tblStylePr>
  </w:style>
  <w:style w:type="table" w:customStyle="1" w:styleId="264">
    <w:name w:val="深色列表 - 着色 41"/>
    <w:basedOn w:val="43"/>
    <w:qFormat/>
    <w:uiPriority w:val="70"/>
    <w:rPr>
      <w:rFonts w:ascii="Cambria" w:hAnsi="Cambria" w:cs="宋体"/>
      <w:color w:val="FFFFFF"/>
    </w:rPr>
    <w:tcPr>
      <w:shd w:val="clear" w:color="auto" w:fill="8064A2"/>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3F3151"/>
      </w:tcPr>
    </w:tblStylePr>
    <w:tblStylePr w:type="firstCol">
      <w:tcPr>
        <w:tcBorders>
          <w:top w:val="nil"/>
          <w:left w:val="nil"/>
          <w:bottom w:val="nil"/>
          <w:right w:val="single" w:color="FFFFFF" w:sz="18" w:space="0"/>
          <w:insideH w:val="nil"/>
          <w:insideV w:val="nil"/>
        </w:tcBorders>
        <w:shd w:val="clear" w:color="auto" w:fill="5F497A"/>
      </w:tcPr>
    </w:tblStylePr>
    <w:tblStylePr w:type="lastCol">
      <w:tcPr>
        <w:tcBorders>
          <w:top w:val="nil"/>
          <w:left w:val="single" w:color="FFFFFF" w:sz="18" w:space="0"/>
          <w:bottom w:val="nil"/>
          <w:right w:val="nil"/>
          <w:insideH w:val="nil"/>
          <w:insideV w:val="nil"/>
        </w:tcBorders>
        <w:shd w:val="clear" w:color="auto" w:fill="5F497A"/>
      </w:tcPr>
    </w:tblStylePr>
    <w:tblStylePr w:type="band1Vert">
      <w:tcPr>
        <w:tcBorders>
          <w:top w:val="nil"/>
          <w:left w:val="nil"/>
          <w:bottom w:val="nil"/>
          <w:right w:val="nil"/>
          <w:insideH w:val="nil"/>
          <w:insideV w:val="nil"/>
        </w:tcBorders>
        <w:shd w:val="clear" w:color="auto" w:fill="5F497A"/>
      </w:tcPr>
    </w:tblStylePr>
    <w:tblStylePr w:type="band1Horz">
      <w:tcPr>
        <w:tcBorders>
          <w:top w:val="nil"/>
          <w:left w:val="nil"/>
          <w:bottom w:val="nil"/>
          <w:right w:val="nil"/>
          <w:insideH w:val="nil"/>
          <w:insideV w:val="nil"/>
        </w:tcBorders>
        <w:shd w:val="clear" w:color="auto" w:fill="5F497A"/>
      </w:tcPr>
    </w:tblStylePr>
  </w:style>
  <w:style w:type="table" w:customStyle="1" w:styleId="265">
    <w:name w:val="深色列表 - 着色 51"/>
    <w:basedOn w:val="43"/>
    <w:qFormat/>
    <w:uiPriority w:val="70"/>
    <w:rPr>
      <w:rFonts w:ascii="Cambria" w:hAnsi="Cambria" w:cs="宋体"/>
      <w:color w:val="FFFFFF"/>
    </w:rPr>
    <w:tcPr>
      <w:shd w:val="clear" w:color="auto" w:fill="4BACC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05867"/>
      </w:tcPr>
    </w:tblStylePr>
    <w:tblStylePr w:type="firstCol">
      <w:tcPr>
        <w:tcBorders>
          <w:top w:val="nil"/>
          <w:left w:val="nil"/>
          <w:bottom w:val="nil"/>
          <w:right w:val="single" w:color="FFFFFF" w:sz="18" w:space="0"/>
          <w:insideH w:val="nil"/>
          <w:insideV w:val="nil"/>
        </w:tcBorders>
        <w:shd w:val="clear" w:color="auto" w:fill="31849B"/>
      </w:tcPr>
    </w:tblStylePr>
    <w:tblStylePr w:type="lastCol">
      <w:tcPr>
        <w:tcBorders>
          <w:top w:val="nil"/>
          <w:left w:val="single" w:color="FFFFFF" w:sz="18" w:space="0"/>
          <w:bottom w:val="nil"/>
          <w:right w:val="nil"/>
          <w:insideH w:val="nil"/>
          <w:insideV w:val="nil"/>
        </w:tcBorders>
        <w:shd w:val="clear" w:color="auto" w:fill="31849B"/>
      </w:tcPr>
    </w:tblStylePr>
    <w:tblStylePr w:type="band1Vert">
      <w:tcPr>
        <w:tcBorders>
          <w:top w:val="nil"/>
          <w:left w:val="nil"/>
          <w:bottom w:val="nil"/>
          <w:right w:val="nil"/>
          <w:insideH w:val="nil"/>
          <w:insideV w:val="nil"/>
        </w:tcBorders>
        <w:shd w:val="clear" w:color="auto" w:fill="31849B"/>
      </w:tcPr>
    </w:tblStylePr>
    <w:tblStylePr w:type="band1Horz">
      <w:tcPr>
        <w:tcBorders>
          <w:top w:val="nil"/>
          <w:left w:val="nil"/>
          <w:bottom w:val="nil"/>
          <w:right w:val="nil"/>
          <w:insideH w:val="nil"/>
          <w:insideV w:val="nil"/>
        </w:tcBorders>
        <w:shd w:val="clear" w:color="auto" w:fill="31849B"/>
      </w:tcPr>
    </w:tblStylePr>
  </w:style>
  <w:style w:type="table" w:customStyle="1" w:styleId="266">
    <w:name w:val="深色列表 - 着色 61"/>
    <w:basedOn w:val="43"/>
    <w:qFormat/>
    <w:uiPriority w:val="70"/>
    <w:rPr>
      <w:rFonts w:ascii="Cambria" w:hAnsi="Cambria" w:cs="宋体"/>
      <w:color w:val="FFFFFF"/>
    </w:rPr>
    <w:tcPr>
      <w:shd w:val="clear" w:color="auto" w:fill="F7964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974706"/>
      </w:tcPr>
    </w:tblStylePr>
    <w:tblStylePr w:type="firstCol">
      <w:tcPr>
        <w:tcBorders>
          <w:top w:val="nil"/>
          <w:left w:val="nil"/>
          <w:bottom w:val="nil"/>
          <w:right w:val="single" w:color="FFFFFF" w:sz="18" w:space="0"/>
          <w:insideH w:val="nil"/>
          <w:insideV w:val="nil"/>
        </w:tcBorders>
        <w:shd w:val="clear" w:color="auto" w:fill="E36C0A"/>
      </w:tcPr>
    </w:tblStylePr>
    <w:tblStylePr w:type="lastCol">
      <w:tcPr>
        <w:tcBorders>
          <w:top w:val="nil"/>
          <w:left w:val="single" w:color="FFFFFF" w:sz="18" w:space="0"/>
          <w:bottom w:val="nil"/>
          <w:right w:val="nil"/>
          <w:insideH w:val="nil"/>
          <w:insideV w:val="nil"/>
        </w:tcBorders>
        <w:shd w:val="clear" w:color="auto" w:fill="E36C0A"/>
      </w:tcPr>
    </w:tblStylePr>
    <w:tblStylePr w:type="band1Vert">
      <w:tcPr>
        <w:tcBorders>
          <w:top w:val="nil"/>
          <w:left w:val="nil"/>
          <w:bottom w:val="nil"/>
          <w:right w:val="nil"/>
          <w:insideH w:val="nil"/>
          <w:insideV w:val="nil"/>
        </w:tcBorders>
        <w:shd w:val="clear" w:color="auto" w:fill="E36C0A"/>
      </w:tcPr>
    </w:tblStylePr>
    <w:tblStylePr w:type="band1Horz">
      <w:tcPr>
        <w:tcBorders>
          <w:top w:val="nil"/>
          <w:left w:val="nil"/>
          <w:bottom w:val="nil"/>
          <w:right w:val="nil"/>
          <w:insideH w:val="nil"/>
          <w:insideV w:val="nil"/>
        </w:tcBorders>
        <w:shd w:val="clear" w:color="auto" w:fill="E36C0A"/>
      </w:tcPr>
    </w:tblStylePr>
  </w:style>
  <w:style w:type="table" w:customStyle="1" w:styleId="267">
    <w:name w:val="彩色底纹1"/>
    <w:basedOn w:val="43"/>
    <w:qFormat/>
    <w:uiPriority w:val="71"/>
    <w:rPr>
      <w:rFonts w:ascii="Cambria" w:hAnsi="Cambria" w:cs="宋体"/>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000000"/>
      </w:tcPr>
    </w:tblStylePr>
    <w:tblStylePr w:type="firstCol">
      <w:rPr>
        <w:color w:val="FFFFFF"/>
      </w:rPr>
      <w:tcPr>
        <w:tcBorders>
          <w:top w:val="nil"/>
          <w:left w:val="nil"/>
          <w:bottom w:val="nil"/>
          <w:right w:val="nil"/>
          <w:insideH w:val="single" w:sz="4" w:space="0"/>
          <w:insideV w:val="nil"/>
        </w:tcBorders>
        <w:shd w:val="clear" w:color="auto" w:fill="000000"/>
      </w:tcPr>
    </w:tblStylePr>
    <w:tblStylePr w:type="lastCol">
      <w:rPr>
        <w:color w:val="FFFFFF"/>
      </w:rPr>
      <w:tcPr>
        <w:tcBorders>
          <w:top w:val="nil"/>
          <w:left w:val="nil"/>
          <w:bottom w:val="nil"/>
          <w:right w:val="nil"/>
          <w:insideH w:val="nil"/>
          <w:insideV w:val="nil"/>
        </w:tcBorders>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268">
    <w:name w:val="彩色底纹 - 着色 11"/>
    <w:basedOn w:val="43"/>
    <w:qFormat/>
    <w:uiPriority w:val="71"/>
    <w:rPr>
      <w:rFonts w:ascii="Cambria" w:hAnsi="Cambria" w:cs="宋体"/>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C4C74"/>
      </w:tcPr>
    </w:tblStylePr>
    <w:tblStylePr w:type="firstCol">
      <w:rPr>
        <w:color w:val="FFFFFF"/>
      </w:rPr>
      <w:tcPr>
        <w:tcBorders>
          <w:top w:val="nil"/>
          <w:left w:val="nil"/>
          <w:bottom w:val="nil"/>
          <w:right w:val="nil"/>
          <w:insideH w:val="single" w:sz="4" w:space="0"/>
          <w:insideV w:val="nil"/>
        </w:tcBorders>
        <w:shd w:val="clear" w:color="auto" w:fill="2C4C74"/>
      </w:tcPr>
    </w:tblStylePr>
    <w:tblStylePr w:type="lastCol">
      <w:rPr>
        <w:color w:val="FFFFFF"/>
      </w:rPr>
      <w:tcPr>
        <w:tcBorders>
          <w:top w:val="nil"/>
          <w:left w:val="nil"/>
          <w:bottom w:val="nil"/>
          <w:right w:val="nil"/>
          <w:insideH w:val="nil"/>
          <w:insideV w:val="nil"/>
        </w:tcBorders>
        <w:shd w:val="clear" w:color="auto" w:fill="2C4C74"/>
      </w:tcPr>
    </w:tblStylePr>
    <w:tblStylePr w:type="band1Vert">
      <w:tcPr>
        <w:shd w:val="clear" w:color="auto" w:fill="B8CCE4"/>
      </w:tcPr>
    </w:tblStylePr>
    <w:tblStylePr w:type="band1Horz">
      <w:tcPr>
        <w:shd w:val="clear" w:color="auto" w:fill="A7BFDE"/>
      </w:tcPr>
    </w:tblStylePr>
    <w:tblStylePr w:type="neCell">
      <w:rPr>
        <w:color w:val="000000"/>
      </w:rPr>
    </w:tblStylePr>
    <w:tblStylePr w:type="nwCell">
      <w:rPr>
        <w:color w:val="000000"/>
      </w:rPr>
    </w:tblStylePr>
  </w:style>
  <w:style w:type="table" w:customStyle="1" w:styleId="269">
    <w:name w:val="彩色底纹 - 着色 21"/>
    <w:basedOn w:val="43"/>
    <w:qFormat/>
    <w:uiPriority w:val="71"/>
    <w:rPr>
      <w:rFonts w:ascii="Cambria" w:hAnsi="Cambria" w:cs="宋体"/>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772C2A"/>
      </w:tcPr>
    </w:tblStylePr>
    <w:tblStylePr w:type="firstCol">
      <w:rPr>
        <w:color w:val="FFFFFF"/>
      </w:rPr>
      <w:tcPr>
        <w:tcBorders>
          <w:top w:val="nil"/>
          <w:left w:val="nil"/>
          <w:bottom w:val="nil"/>
          <w:right w:val="nil"/>
          <w:insideH w:val="single" w:sz="4" w:space="0"/>
          <w:insideV w:val="nil"/>
        </w:tcBorders>
        <w:shd w:val="clear" w:color="auto" w:fill="772C2A"/>
      </w:tcPr>
    </w:tblStylePr>
    <w:tblStylePr w:type="lastCol">
      <w:rPr>
        <w:color w:val="FFFFFF"/>
      </w:rPr>
      <w:tcPr>
        <w:tcBorders>
          <w:top w:val="nil"/>
          <w:left w:val="nil"/>
          <w:bottom w:val="nil"/>
          <w:right w:val="nil"/>
          <w:insideH w:val="nil"/>
          <w:insideV w:val="nil"/>
        </w:tcBorders>
        <w:shd w:val="clear" w:color="auto" w:fill="772C2A"/>
      </w:tcPr>
    </w:tblStylePr>
    <w:tblStylePr w:type="band1Vert">
      <w:tcPr>
        <w:shd w:val="clear" w:color="auto" w:fill="E5B8B7"/>
      </w:tcPr>
    </w:tblStylePr>
    <w:tblStylePr w:type="band1Horz">
      <w:tcPr>
        <w:shd w:val="clear" w:color="auto" w:fill="DFA7A6"/>
      </w:tcPr>
    </w:tblStylePr>
    <w:tblStylePr w:type="neCell">
      <w:rPr>
        <w:color w:val="000000"/>
      </w:rPr>
    </w:tblStylePr>
    <w:tblStylePr w:type="nwCell">
      <w:rPr>
        <w:color w:val="000000"/>
      </w:rPr>
    </w:tblStylePr>
  </w:style>
  <w:style w:type="table" w:customStyle="1" w:styleId="270">
    <w:name w:val="彩色底纹 - 着色 31"/>
    <w:basedOn w:val="43"/>
    <w:qFormat/>
    <w:uiPriority w:val="71"/>
    <w:rPr>
      <w:rFonts w:ascii="Cambria" w:hAnsi="Cambria" w:cs="宋体"/>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cPr>
        <w:tcBorders>
          <w:top w:val="nil"/>
          <w:left w:val="nil"/>
          <w:bottom w:val="single" w:color="8064A2"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5E7530"/>
      </w:tcPr>
    </w:tblStylePr>
    <w:tblStylePr w:type="firstCol">
      <w:rPr>
        <w:color w:val="FFFFFF"/>
      </w:rPr>
      <w:tcPr>
        <w:tcBorders>
          <w:top w:val="nil"/>
          <w:left w:val="nil"/>
          <w:bottom w:val="nil"/>
          <w:right w:val="nil"/>
          <w:insideH w:val="single" w:sz="4" w:space="0"/>
          <w:insideV w:val="nil"/>
        </w:tcBorders>
        <w:shd w:val="clear" w:color="auto" w:fill="5E7530"/>
      </w:tcPr>
    </w:tblStylePr>
    <w:tblStylePr w:type="lastCol">
      <w:rPr>
        <w:color w:val="FFFFFF"/>
      </w:rPr>
      <w:tcPr>
        <w:tcBorders>
          <w:top w:val="nil"/>
          <w:left w:val="nil"/>
          <w:bottom w:val="nil"/>
          <w:right w:val="nil"/>
          <w:insideH w:val="nil"/>
          <w:insideV w:val="nil"/>
        </w:tcBorders>
        <w:shd w:val="clear" w:color="auto" w:fill="5E7530"/>
      </w:tcPr>
    </w:tblStylePr>
    <w:tblStylePr w:type="band1Vert">
      <w:tcPr>
        <w:shd w:val="clear" w:color="auto" w:fill="D6E3BC"/>
      </w:tcPr>
    </w:tblStylePr>
    <w:tblStylePr w:type="band1Horz">
      <w:tcPr>
        <w:shd w:val="clear" w:color="auto" w:fill="CDDDAC"/>
      </w:tcPr>
    </w:tblStylePr>
  </w:style>
  <w:style w:type="table" w:customStyle="1" w:styleId="271">
    <w:name w:val="彩色底纹 - 着色 41"/>
    <w:basedOn w:val="43"/>
    <w:qFormat/>
    <w:uiPriority w:val="71"/>
    <w:rPr>
      <w:rFonts w:ascii="Cambria" w:hAnsi="Cambria" w:cs="宋体"/>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cPr>
        <w:tcBorders>
          <w:top w:val="nil"/>
          <w:left w:val="nil"/>
          <w:bottom w:val="single" w:color="9BBB59"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4C3B62"/>
      </w:tcPr>
    </w:tblStylePr>
    <w:tblStylePr w:type="firstCol">
      <w:rPr>
        <w:color w:val="FFFFFF"/>
      </w:rPr>
      <w:tcPr>
        <w:tcBorders>
          <w:top w:val="nil"/>
          <w:left w:val="nil"/>
          <w:bottom w:val="nil"/>
          <w:right w:val="nil"/>
          <w:insideH w:val="single" w:sz="4" w:space="0"/>
          <w:insideV w:val="nil"/>
        </w:tcBorders>
        <w:shd w:val="clear" w:color="auto" w:fill="4C3B62"/>
      </w:tcPr>
    </w:tblStylePr>
    <w:tblStylePr w:type="lastCol">
      <w:rPr>
        <w:color w:val="FFFFFF"/>
      </w:rPr>
      <w:tcPr>
        <w:tcBorders>
          <w:top w:val="nil"/>
          <w:left w:val="nil"/>
          <w:bottom w:val="nil"/>
          <w:right w:val="nil"/>
          <w:insideH w:val="nil"/>
          <w:insideV w:val="nil"/>
        </w:tcBorders>
        <w:shd w:val="clear" w:color="auto" w:fill="4C3B62"/>
      </w:tcPr>
    </w:tblStylePr>
    <w:tblStylePr w:type="band1Vert">
      <w:tcPr>
        <w:shd w:val="clear" w:color="auto" w:fill="CCC0D9"/>
      </w:tcPr>
    </w:tblStylePr>
    <w:tblStylePr w:type="band1Horz">
      <w:tcPr>
        <w:shd w:val="clear" w:color="auto" w:fill="BFB1D0"/>
      </w:tcPr>
    </w:tblStylePr>
    <w:tblStylePr w:type="neCell">
      <w:rPr>
        <w:color w:val="000000"/>
      </w:rPr>
    </w:tblStylePr>
    <w:tblStylePr w:type="nwCell">
      <w:rPr>
        <w:color w:val="000000"/>
      </w:rPr>
    </w:tblStylePr>
  </w:style>
  <w:style w:type="table" w:customStyle="1" w:styleId="272">
    <w:name w:val="彩色底纹 - 着色 51"/>
    <w:basedOn w:val="43"/>
    <w:qFormat/>
    <w:uiPriority w:val="71"/>
    <w:rPr>
      <w:rFonts w:ascii="Cambria" w:hAnsi="Cambria" w:cs="宋体"/>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cPr>
        <w:tcBorders>
          <w:top w:val="nil"/>
          <w:left w:val="nil"/>
          <w:bottom w:val="single" w:color="F7964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76A7C"/>
      </w:tcPr>
    </w:tblStylePr>
    <w:tblStylePr w:type="firstCol">
      <w:rPr>
        <w:color w:val="FFFFFF"/>
      </w:rPr>
      <w:tcPr>
        <w:tcBorders>
          <w:top w:val="nil"/>
          <w:left w:val="nil"/>
          <w:bottom w:val="nil"/>
          <w:right w:val="nil"/>
          <w:insideH w:val="single" w:sz="4" w:space="0"/>
          <w:insideV w:val="nil"/>
        </w:tcBorders>
        <w:shd w:val="clear" w:color="auto" w:fill="276A7C"/>
      </w:tcPr>
    </w:tblStylePr>
    <w:tblStylePr w:type="lastCol">
      <w:rPr>
        <w:color w:val="FFFFFF"/>
      </w:rPr>
      <w:tcPr>
        <w:tcBorders>
          <w:top w:val="nil"/>
          <w:left w:val="nil"/>
          <w:bottom w:val="nil"/>
          <w:right w:val="nil"/>
          <w:insideH w:val="nil"/>
          <w:insideV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273">
    <w:name w:val="彩色底纹 - 着色 61"/>
    <w:basedOn w:val="43"/>
    <w:qFormat/>
    <w:uiPriority w:val="71"/>
    <w:rPr>
      <w:rFonts w:ascii="Cambria" w:hAnsi="Cambria" w:cs="宋体"/>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cPr>
        <w:tcBorders>
          <w:top w:val="nil"/>
          <w:left w:val="nil"/>
          <w:bottom w:val="single" w:color="4BACC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B65608"/>
      </w:tcPr>
    </w:tblStylePr>
    <w:tblStylePr w:type="firstCol">
      <w:rPr>
        <w:color w:val="FFFFFF"/>
      </w:rPr>
      <w:tcPr>
        <w:tcBorders>
          <w:top w:val="nil"/>
          <w:left w:val="nil"/>
          <w:bottom w:val="nil"/>
          <w:right w:val="nil"/>
          <w:insideH w:val="single" w:sz="4" w:space="0"/>
          <w:insideV w:val="nil"/>
        </w:tcBorders>
        <w:shd w:val="clear" w:color="auto" w:fill="B65608"/>
      </w:tcPr>
    </w:tblStylePr>
    <w:tblStylePr w:type="lastCol">
      <w:rPr>
        <w:color w:val="FFFFFF"/>
      </w:rPr>
      <w:tcPr>
        <w:tcBorders>
          <w:top w:val="nil"/>
          <w:left w:val="nil"/>
          <w:bottom w:val="nil"/>
          <w:right w:val="nil"/>
          <w:insideH w:val="nil"/>
          <w:insideV w:val="nil"/>
        </w:tcBorders>
        <w:shd w:val="clear" w:color="auto" w:fill="B65608"/>
      </w:tcPr>
    </w:tblStylePr>
    <w:tblStylePr w:type="band1Vert">
      <w:tcPr>
        <w:shd w:val="clear" w:color="auto" w:fill="FBD4B4"/>
      </w:tcPr>
    </w:tblStylePr>
    <w:tblStylePr w:type="band1Horz">
      <w:tcPr>
        <w:shd w:val="clear" w:color="auto" w:fill="FBCAA2"/>
      </w:tcPr>
    </w:tblStylePr>
    <w:tblStylePr w:type="neCell">
      <w:rPr>
        <w:color w:val="000000"/>
      </w:rPr>
    </w:tblStylePr>
    <w:tblStylePr w:type="nwCell">
      <w:rPr>
        <w:color w:val="000000"/>
      </w:rPr>
    </w:tblStylePr>
  </w:style>
  <w:style w:type="table" w:customStyle="1" w:styleId="274">
    <w:name w:val="彩色列表1"/>
    <w:basedOn w:val="43"/>
    <w:qFormat/>
    <w:uiPriority w:val="72"/>
    <w:rPr>
      <w:rFonts w:ascii="Cambria" w:hAnsi="Cambria" w:cs="宋体"/>
      <w:color w:val="000000"/>
    </w:rPr>
    <w:tcPr>
      <w:shd w:val="clear" w:color="auto" w:fill="E6E6E6"/>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cPr>
    </w:tblStylePr>
    <w:tblStylePr w:type="band1Horz">
      <w:tcPr>
        <w:shd w:val="clear" w:color="auto" w:fill="CCCCCC"/>
      </w:tcPr>
    </w:tblStylePr>
  </w:style>
  <w:style w:type="table" w:customStyle="1" w:styleId="275">
    <w:name w:val="彩色列表 - 着色 11"/>
    <w:basedOn w:val="43"/>
    <w:qFormat/>
    <w:uiPriority w:val="72"/>
    <w:rPr>
      <w:rFonts w:ascii="Cambria" w:hAnsi="Cambria" w:cs="宋体"/>
      <w:color w:val="000000"/>
    </w:rPr>
    <w:tcPr>
      <w:shd w:val="clear" w:color="auto" w:fill="EDF2F8"/>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cPr>
    </w:tblStylePr>
    <w:tblStylePr w:type="band1Horz">
      <w:tcPr>
        <w:shd w:val="clear" w:color="auto" w:fill="DBE5F1"/>
      </w:tcPr>
    </w:tblStylePr>
  </w:style>
  <w:style w:type="table" w:customStyle="1" w:styleId="276">
    <w:name w:val="彩色列表 - 着色 21"/>
    <w:basedOn w:val="43"/>
    <w:qFormat/>
    <w:uiPriority w:val="72"/>
    <w:rPr>
      <w:rFonts w:ascii="Cambria" w:hAnsi="Cambria" w:cs="宋体"/>
      <w:color w:val="000000"/>
    </w:rPr>
    <w:tcPr>
      <w:shd w:val="clear" w:color="auto" w:fill="F8EDED"/>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2"/>
      </w:tcPr>
    </w:tblStylePr>
    <w:tblStylePr w:type="band1Horz">
      <w:tcPr>
        <w:shd w:val="clear" w:color="auto" w:fill="F2DBDB"/>
      </w:tcPr>
    </w:tblStylePr>
  </w:style>
  <w:style w:type="table" w:customStyle="1" w:styleId="277">
    <w:name w:val="彩色列表 - 着色 31"/>
    <w:basedOn w:val="43"/>
    <w:qFormat/>
    <w:uiPriority w:val="72"/>
    <w:rPr>
      <w:rFonts w:ascii="Cambria" w:hAnsi="Cambria" w:cs="宋体"/>
      <w:color w:val="000000"/>
    </w:rPr>
    <w:tcPr>
      <w:shd w:val="clear" w:color="auto" w:fill="F5F8EE"/>
    </w:tcPr>
    <w:tblStylePr w:type="firstRow">
      <w:rPr>
        <w:b/>
        <w:bCs/>
        <w:color w:val="FFFFFF"/>
      </w:rPr>
      <w:tcPr>
        <w:tcBorders>
          <w:bottom w:val="single" w:color="FFFFFF" w:sz="12" w:space="0"/>
        </w:tcBorders>
        <w:shd w:val="clear" w:color="auto" w:fill="664E82"/>
      </w:tcPr>
    </w:tblStylePr>
    <w:tblStylePr w:type="lastRow">
      <w:rPr>
        <w:b/>
        <w:bCs/>
        <w:color w:val="664E82"/>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cPr>
    </w:tblStylePr>
    <w:tblStylePr w:type="band1Horz">
      <w:tcPr>
        <w:shd w:val="clear" w:color="auto" w:fill="EAF1DD"/>
      </w:tcPr>
    </w:tblStylePr>
  </w:style>
  <w:style w:type="table" w:customStyle="1" w:styleId="278">
    <w:name w:val="彩色列表 - 着色 41"/>
    <w:basedOn w:val="43"/>
    <w:qFormat/>
    <w:uiPriority w:val="72"/>
    <w:rPr>
      <w:rFonts w:ascii="Cambria" w:hAnsi="Cambria" w:cs="宋体"/>
      <w:color w:val="000000"/>
    </w:rPr>
    <w:tcPr>
      <w:shd w:val="clear" w:color="auto" w:fill="F2EFF6"/>
    </w:tcPr>
    <w:tblStylePr w:type="firstRow">
      <w:rPr>
        <w:b/>
        <w:bCs/>
        <w:color w:val="FFFFFF"/>
      </w:rPr>
      <w:tcPr>
        <w:tcBorders>
          <w:bottom w:val="single" w:color="FFFFFF" w:sz="12" w:space="0"/>
        </w:tcBorders>
        <w:shd w:val="clear" w:color="auto" w:fill="7E9C40"/>
      </w:tcPr>
    </w:tblStylePr>
    <w:tblStylePr w:type="lastRow">
      <w:rPr>
        <w:b/>
        <w:bCs/>
        <w:color w:val="7E9C40"/>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cPr>
    </w:tblStylePr>
    <w:tblStylePr w:type="band1Horz">
      <w:tcPr>
        <w:shd w:val="clear" w:color="auto" w:fill="E5DFEC"/>
      </w:tcPr>
    </w:tblStylePr>
  </w:style>
  <w:style w:type="table" w:customStyle="1" w:styleId="279">
    <w:name w:val="彩色列表 - 着色 51"/>
    <w:basedOn w:val="43"/>
    <w:qFormat/>
    <w:uiPriority w:val="72"/>
    <w:rPr>
      <w:rFonts w:ascii="Cambria" w:hAnsi="Cambria" w:cs="宋体"/>
      <w:color w:val="000000"/>
    </w:rPr>
    <w:tcPr>
      <w:shd w:val="clear" w:color="auto" w:fill="EDF6F9"/>
    </w:tcPr>
    <w:tblStylePr w:type="firstRow">
      <w:rPr>
        <w:b/>
        <w:bCs/>
        <w:color w:val="FFFFFF"/>
      </w:rPr>
      <w:tcPr>
        <w:tcBorders>
          <w:bottom w:val="single" w:color="FFFFFF" w:sz="12" w:space="0"/>
        </w:tcBorders>
        <w:shd w:val="clear" w:color="auto" w:fill="F2730A"/>
      </w:tcPr>
    </w:tblStylePr>
    <w:tblStylePr w:type="lastRow">
      <w:rPr>
        <w:b/>
        <w:bCs/>
        <w:color w:val="F2730A"/>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cPr>
    </w:tblStylePr>
    <w:tblStylePr w:type="band1Horz">
      <w:tcPr>
        <w:shd w:val="clear" w:color="auto" w:fill="DAEEF3"/>
      </w:tcPr>
    </w:tblStylePr>
  </w:style>
  <w:style w:type="table" w:customStyle="1" w:styleId="280">
    <w:name w:val="彩色列表 - 着色 61"/>
    <w:basedOn w:val="43"/>
    <w:qFormat/>
    <w:uiPriority w:val="72"/>
    <w:rPr>
      <w:rFonts w:ascii="Cambria" w:hAnsi="Cambria" w:cs="宋体"/>
      <w:color w:val="000000"/>
    </w:rPr>
    <w:tcPr>
      <w:shd w:val="clear" w:color="auto" w:fill="FEF4EC"/>
    </w:tcPr>
    <w:tblStylePr w:type="firstRow">
      <w:rPr>
        <w:b/>
        <w:bCs/>
        <w:color w:val="FFFFFF"/>
      </w:rPr>
      <w:tcPr>
        <w:tcBorders>
          <w:bottom w:val="single" w:color="FFFFFF" w:sz="12" w:space="0"/>
        </w:tcBorders>
        <w:shd w:val="clear" w:color="auto" w:fill="348DA5"/>
      </w:tcPr>
    </w:tblStylePr>
    <w:tblStylePr w:type="lastRow">
      <w:rPr>
        <w:b/>
        <w:bCs/>
        <w:color w:val="348DA5"/>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cPr>
    </w:tblStylePr>
    <w:tblStylePr w:type="band1Horz">
      <w:tcPr>
        <w:shd w:val="clear" w:color="auto" w:fill="FDE9D9"/>
      </w:tcPr>
    </w:tblStylePr>
  </w:style>
  <w:style w:type="table" w:customStyle="1" w:styleId="281">
    <w:name w:val="彩色网格1"/>
    <w:basedOn w:val="43"/>
    <w:qFormat/>
    <w:uiPriority w:val="73"/>
    <w:rPr>
      <w:rFonts w:ascii="Cambria" w:hAnsi="Cambria" w:cs="宋体"/>
      <w:color w:val="000000"/>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282">
    <w:name w:val="彩色网格 - 着色 11"/>
    <w:basedOn w:val="43"/>
    <w:qFormat/>
    <w:uiPriority w:val="73"/>
    <w:rPr>
      <w:rFonts w:ascii="Cambria" w:hAnsi="Cambria" w:cs="宋体"/>
      <w:color w:val="000000"/>
    </w:rPr>
    <w:tblPr>
      <w:tblBorders>
        <w:insideH w:val="single" w:color="FFFFFF" w:sz="4" w:space="0"/>
      </w:tblBorders>
    </w:tblPr>
    <w:tcPr>
      <w:shd w:val="clear" w:color="auto" w:fill="DBE5F1"/>
    </w:tcPr>
    <w:tblStylePr w:type="firstRow">
      <w:rPr>
        <w:b/>
        <w:bCs/>
      </w:rPr>
      <w:tcPr>
        <w:shd w:val="clear" w:color="auto" w:fill="B8CCE4"/>
      </w:tcPr>
    </w:tblStylePr>
    <w:tblStylePr w:type="lastRow">
      <w:rPr>
        <w:b/>
        <w:bCs/>
        <w:color w:val="000000"/>
      </w:r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cPr>
        <w:shd w:val="clear" w:color="auto" w:fill="A7BFDE"/>
      </w:tcPr>
    </w:tblStylePr>
    <w:tblStylePr w:type="band1Horz">
      <w:tcPr>
        <w:shd w:val="clear" w:color="auto" w:fill="A7BFDE"/>
      </w:tcPr>
    </w:tblStylePr>
  </w:style>
  <w:style w:type="table" w:customStyle="1" w:styleId="283">
    <w:name w:val="彩色网格 - 着色 21"/>
    <w:basedOn w:val="43"/>
    <w:qFormat/>
    <w:uiPriority w:val="73"/>
    <w:rPr>
      <w:rFonts w:ascii="Cambria" w:hAnsi="Cambria" w:cs="宋体"/>
      <w:color w:val="000000"/>
    </w:rPr>
    <w:tblPr>
      <w:tblBorders>
        <w:insideH w:val="single" w:color="FFFFFF" w:sz="4" w:space="0"/>
      </w:tblBorders>
    </w:tblPr>
    <w:tcPr>
      <w:shd w:val="clear" w:color="auto" w:fill="F2DBDB"/>
    </w:tcPr>
    <w:tblStylePr w:type="firstRow">
      <w:rPr>
        <w:b/>
        <w:bCs/>
      </w:rPr>
      <w:tcPr>
        <w:shd w:val="clear" w:color="auto" w:fill="E5B8B7"/>
      </w:tcPr>
    </w:tblStylePr>
    <w:tblStylePr w:type="lastRow">
      <w:rPr>
        <w:b/>
        <w:bCs/>
        <w:color w:val="000000"/>
      </w:rPr>
      <w:tcPr>
        <w:shd w:val="clear" w:color="auto" w:fill="E5B8B7"/>
      </w:tcPr>
    </w:tblStylePr>
    <w:tblStylePr w:type="firstCol">
      <w:rPr>
        <w:color w:val="FFFFFF"/>
      </w:rPr>
      <w:tcPr>
        <w:shd w:val="clear" w:color="auto" w:fill="943634"/>
      </w:tcPr>
    </w:tblStylePr>
    <w:tblStylePr w:type="lastCol">
      <w:rPr>
        <w:color w:val="FFFFFF"/>
      </w:rPr>
      <w:tcPr>
        <w:shd w:val="clear" w:color="auto" w:fill="943634"/>
      </w:tcPr>
    </w:tblStylePr>
    <w:tblStylePr w:type="band1Vert">
      <w:tcPr>
        <w:shd w:val="clear" w:color="auto" w:fill="DFA7A6"/>
      </w:tcPr>
    </w:tblStylePr>
    <w:tblStylePr w:type="band1Horz">
      <w:tcPr>
        <w:shd w:val="clear" w:color="auto" w:fill="DFA7A6"/>
      </w:tcPr>
    </w:tblStylePr>
  </w:style>
  <w:style w:type="table" w:customStyle="1" w:styleId="284">
    <w:name w:val="彩色网格 - 着色 31"/>
    <w:basedOn w:val="43"/>
    <w:qFormat/>
    <w:uiPriority w:val="73"/>
    <w:rPr>
      <w:rFonts w:ascii="Cambria" w:hAnsi="Cambria" w:cs="宋体"/>
      <w:color w:val="000000"/>
    </w:rPr>
    <w:tblPr>
      <w:tblBorders>
        <w:insideH w:val="single" w:color="FFFFFF" w:sz="4" w:space="0"/>
      </w:tblBorders>
    </w:tblPr>
    <w:tcPr>
      <w:shd w:val="clear" w:color="auto" w:fill="EAF1DD"/>
    </w:tcPr>
    <w:tblStylePr w:type="firstRow">
      <w:rPr>
        <w:b/>
        <w:bCs/>
      </w:rPr>
      <w:tcPr>
        <w:shd w:val="clear" w:color="auto" w:fill="D6E3BC"/>
      </w:tcPr>
    </w:tblStylePr>
    <w:tblStylePr w:type="lastRow">
      <w:rPr>
        <w:b/>
        <w:bCs/>
        <w:color w:val="000000"/>
      </w:rPr>
      <w:tcPr>
        <w:shd w:val="clear" w:color="auto" w:fill="D6E3BC"/>
      </w:tcPr>
    </w:tblStylePr>
    <w:tblStylePr w:type="firstCol">
      <w:rPr>
        <w:color w:val="FFFFFF"/>
      </w:rPr>
      <w:tcPr>
        <w:shd w:val="clear" w:color="auto" w:fill="76923C"/>
      </w:tcPr>
    </w:tblStylePr>
    <w:tblStylePr w:type="lastCol">
      <w:rPr>
        <w:color w:val="FFFFFF"/>
      </w:rPr>
      <w:tcPr>
        <w:shd w:val="clear" w:color="auto" w:fill="76923C"/>
      </w:tcPr>
    </w:tblStylePr>
    <w:tblStylePr w:type="band1Vert">
      <w:tcPr>
        <w:shd w:val="clear" w:color="auto" w:fill="CDDDAC"/>
      </w:tcPr>
    </w:tblStylePr>
    <w:tblStylePr w:type="band1Horz">
      <w:tcPr>
        <w:shd w:val="clear" w:color="auto" w:fill="CDDDAC"/>
      </w:tcPr>
    </w:tblStylePr>
  </w:style>
  <w:style w:type="table" w:customStyle="1" w:styleId="285">
    <w:name w:val="彩色网格 - 着色 41"/>
    <w:basedOn w:val="43"/>
    <w:qFormat/>
    <w:uiPriority w:val="73"/>
    <w:rPr>
      <w:rFonts w:ascii="Cambria" w:hAnsi="Cambria" w:cs="宋体"/>
      <w:color w:val="000000"/>
    </w:rPr>
    <w:tblPr>
      <w:tblBorders>
        <w:insideH w:val="single" w:color="FFFFFF" w:sz="4" w:space="0"/>
      </w:tblBorders>
    </w:tblPr>
    <w:tcPr>
      <w:shd w:val="clear" w:color="auto" w:fill="E5DFEC"/>
    </w:tcPr>
    <w:tblStylePr w:type="firstRow">
      <w:rPr>
        <w:b/>
        <w:bCs/>
      </w:rPr>
      <w:tcPr>
        <w:shd w:val="clear" w:color="auto" w:fill="CCC0D9"/>
      </w:tcPr>
    </w:tblStylePr>
    <w:tblStylePr w:type="lastRow">
      <w:rPr>
        <w:b/>
        <w:bCs/>
        <w:color w:val="000000"/>
      </w:rPr>
      <w:tcPr>
        <w:shd w:val="clear" w:color="auto" w:fill="CCC0D9"/>
      </w:tcPr>
    </w:tblStylePr>
    <w:tblStylePr w:type="firstCol">
      <w:rPr>
        <w:color w:val="FFFFFF"/>
      </w:rPr>
      <w:tcPr>
        <w:shd w:val="clear" w:color="auto" w:fill="5F497A"/>
      </w:tcPr>
    </w:tblStylePr>
    <w:tblStylePr w:type="lastCol">
      <w:rPr>
        <w:color w:val="FFFFFF"/>
      </w:rPr>
      <w:tcPr>
        <w:shd w:val="clear" w:color="auto" w:fill="5F497A"/>
      </w:tcPr>
    </w:tblStylePr>
    <w:tblStylePr w:type="band1Vert">
      <w:tcPr>
        <w:shd w:val="clear" w:color="auto" w:fill="BFB1D0"/>
      </w:tcPr>
    </w:tblStylePr>
    <w:tblStylePr w:type="band1Horz">
      <w:tcPr>
        <w:shd w:val="clear" w:color="auto" w:fill="BFB1D0"/>
      </w:tcPr>
    </w:tblStylePr>
  </w:style>
  <w:style w:type="table" w:customStyle="1" w:styleId="286">
    <w:name w:val="彩色网格 - 着色 51"/>
    <w:basedOn w:val="43"/>
    <w:qFormat/>
    <w:uiPriority w:val="73"/>
    <w:rPr>
      <w:rFonts w:ascii="Cambria" w:hAnsi="Cambria" w:cs="宋体"/>
      <w:color w:val="000000"/>
    </w:rPr>
    <w:tblPr>
      <w:tblBorders>
        <w:insideH w:val="single" w:color="FFFFFF" w:sz="4" w:space="0"/>
      </w:tblBorders>
    </w:tblPr>
    <w:tcPr>
      <w:shd w:val="clear" w:color="auto" w:fill="DAEEF3"/>
    </w:tcPr>
    <w:tblStylePr w:type="firstRow">
      <w:rPr>
        <w:b/>
        <w:bCs/>
      </w:rPr>
      <w:tcPr>
        <w:shd w:val="clear" w:color="auto" w:fill="B6DDE8"/>
      </w:tcPr>
    </w:tblStylePr>
    <w:tblStylePr w:type="lastRow">
      <w:rPr>
        <w:b/>
        <w:bCs/>
        <w:color w:val="000000"/>
      </w:rPr>
      <w:tcPr>
        <w:shd w:val="clear" w:color="auto" w:fill="B6DDE8"/>
      </w:tcPr>
    </w:tblStylePr>
    <w:tblStylePr w:type="firstCol">
      <w:rPr>
        <w:color w:val="FFFFFF"/>
      </w:rPr>
      <w:tcPr>
        <w:shd w:val="clear" w:color="auto" w:fill="31849B"/>
      </w:tcPr>
    </w:tblStylePr>
    <w:tblStylePr w:type="lastCol">
      <w:rPr>
        <w:color w:val="FFFFFF"/>
      </w:rPr>
      <w:tcPr>
        <w:shd w:val="clear" w:color="auto" w:fill="31849B"/>
      </w:tcPr>
    </w:tblStylePr>
    <w:tblStylePr w:type="band1Vert">
      <w:tcPr>
        <w:shd w:val="clear" w:color="auto" w:fill="A5D5E2"/>
      </w:tcPr>
    </w:tblStylePr>
    <w:tblStylePr w:type="band1Horz">
      <w:tcPr>
        <w:shd w:val="clear" w:color="auto" w:fill="A5D5E2"/>
      </w:tcPr>
    </w:tblStylePr>
  </w:style>
  <w:style w:type="table" w:customStyle="1" w:styleId="287">
    <w:name w:val="彩色网格 - 着色 61"/>
    <w:basedOn w:val="43"/>
    <w:qFormat/>
    <w:uiPriority w:val="73"/>
    <w:rPr>
      <w:rFonts w:ascii="Cambria" w:hAnsi="Cambria" w:cs="宋体"/>
      <w:color w:val="000000"/>
    </w:rPr>
    <w:tblPr>
      <w:tblBorders>
        <w:insideH w:val="single" w:color="FFFFFF" w:sz="4" w:space="0"/>
      </w:tblBorders>
    </w:tblPr>
    <w:tcPr>
      <w:shd w:val="clear" w:color="auto" w:fill="FDE9D9"/>
    </w:tcPr>
    <w:tblStylePr w:type="firstRow">
      <w:rPr>
        <w:b/>
        <w:bCs/>
      </w:rPr>
      <w:tcPr>
        <w:shd w:val="clear" w:color="auto" w:fill="FBD4B4"/>
      </w:tcPr>
    </w:tblStylePr>
    <w:tblStylePr w:type="lastRow">
      <w:rPr>
        <w:b/>
        <w:bCs/>
        <w:color w:val="000000"/>
      </w:rPr>
      <w:tcPr>
        <w:shd w:val="clear" w:color="auto" w:fill="FBD4B4"/>
      </w:tcPr>
    </w:tblStylePr>
    <w:tblStylePr w:type="firstCol">
      <w:rPr>
        <w:color w:val="FFFFFF"/>
      </w:rPr>
      <w:tcPr>
        <w:shd w:val="clear" w:color="auto" w:fill="E36C0A"/>
      </w:tcPr>
    </w:tblStylePr>
    <w:tblStylePr w:type="lastCol">
      <w:rPr>
        <w:color w:val="FFFFFF"/>
      </w:rPr>
      <w:tcPr>
        <w:shd w:val="clear" w:color="auto" w:fill="E36C0A"/>
      </w:tcPr>
    </w:tblStylePr>
    <w:tblStylePr w:type="band1Vert">
      <w:tcPr>
        <w:shd w:val="clear" w:color="auto" w:fill="FBCAA2"/>
      </w:tcPr>
    </w:tblStylePr>
    <w:tblStylePr w:type="band1Horz">
      <w:tcPr>
        <w:shd w:val="clear" w:color="auto" w:fill="FBCAA2"/>
      </w:tcPr>
    </w:tblStylePr>
  </w:style>
  <w:style w:type="paragraph" w:customStyle="1" w:styleId="288">
    <w:name w:val="Revision"/>
    <w:hidden/>
    <w:unhideWhenUsed/>
    <w:qFormat/>
    <w:uiPriority w:val="99"/>
    <w:rPr>
      <w:rFonts w:asciiTheme="minorHAnsi" w:hAnsiTheme="minorHAnsi" w:eastAsiaTheme="minorEastAsia" w:cstheme="minorBidi"/>
      <w:kern w:val="2"/>
      <w:sz w:val="21"/>
      <w:szCs w:val="22"/>
      <w:lang w:val="en-US" w:eastAsia="zh-CN" w:bidi="ar-SA"/>
    </w:rPr>
  </w:style>
  <w:style w:type="character" w:styleId="289">
    <w:name w:val="Placeholder Text"/>
    <w:basedOn w:val="143"/>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A9C73-1828-3649-BBBB-2CAF9BD56109}">
  <ds:schemaRefs/>
</ds:datastoreItem>
</file>

<file path=docProps/app.xml><?xml version="1.0" encoding="utf-8"?>
<Properties xmlns="http://schemas.openxmlformats.org/officeDocument/2006/extended-properties" xmlns:vt="http://schemas.openxmlformats.org/officeDocument/2006/docPropsVTypes">
  <Template>Normal.dotm</Template>
  <Pages>59</Pages>
  <Words>8053</Words>
  <Characters>8718</Characters>
  <Lines>274</Lines>
  <Paragraphs>77</Paragraphs>
  <TotalTime>29</TotalTime>
  <ScaleCrop>false</ScaleCrop>
  <LinksUpToDate>false</LinksUpToDate>
  <CharactersWithSpaces>8860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2026-08-31T01:22:00Z</dcterms:created>
  <dc:creator>Microsoft Office User</dc:creator>
  <cp:lastModifiedBy>秦红</cp:lastModifiedBy>
  <dcterms:modified xsi:type="dcterms:W3CDTF">2026-09-09T01:32:15Z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6F3135F05E1E47559155662DC3780E40_13</vt:lpwstr>
  </property>
  <property fmtid="{D5CDD505-2E9C-101B-9397-08002B2CF9AE}" pid="4" name="KSOTemplateDocerSaveRecord">
    <vt:lpwstr>eyJoZGlkIjoiYzdkM2VkZmU0NzkyODIxNWEyYWVmZDY0MTY0YjJlNzQiLCJ1c2VySWQiOiIxODM5NTU4NzUzIn0=</vt:lpwstr>
  </property>
</Properties>
</file>