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 w:line="276" w:lineRule="auto"/>
      </w:pPr>
      <w:r>
        <w:rPr>
          <w:rFonts w:ascii="Arial" w:hAnsi="Arial" w:cs="Arial"/>
          <w:sz w:val="22"/>
        </w:rPr>
        <w:t>Contractor App User Guide</w:t>
      </w:r>
    </w:p>
    <w:p>
      <w:pPr>
        <w:pStyle w:val="Subtitle"/>
        <w:spacing w:after="140" w:line="276" w:lineRule="auto"/>
      </w:pPr>
      <w:r>
        <w:rPr>
          <w:rFonts w:ascii="Arial" w:hAnsi="Arial" w:cs="Arial"/>
          <w:sz w:val="22"/>
        </w:rPr>
        <w:t>Step-by-step project, budget and subcontracting workflows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 xml:space="preserve">en.connect4systems.com </w:t>
      </w:r>
      <w:r>
        <w:rPr>
          <w:rFonts w:ascii="Arial" w:hAnsi="Arial" w:cs="Arial"/>
          <w:sz w:val="22"/>
        </w:rPr>
        <w:t xml:space="preserve">| </w:t>
      </w:r>
      <w:r>
        <w:rPr>
          <w:rFonts w:ascii="Arial" w:hAnsi="Arial" w:cs="Arial"/>
          <w:sz w:val="22"/>
        </w:rPr>
        <w:t>2026-10-29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This guide combines application source review with authorized inspection of the live site. Screenshots are from the actual system and may show existing test data. Review covered sign-in, forms, tabs and selected dialogs/browser calculations. No invoices or financial certificates were created or submitted for this guide. A temporary CR draft was used to test fetching and deleted afterwards</w:t>
      </w:r>
      <w:r>
        <w:rPr>
          <w:rFonts w:ascii="Arial" w:hAnsi="Arial" w:cs="Arial"/>
          <w:sz w:val="22"/>
        </w:rPr>
        <w:t xml:space="preserve">; </w:t>
      </w:r>
      <w:r>
        <w:rPr>
          <w:rFonts w:ascii="Arial" w:hAnsi="Arial" w:cs="Arial"/>
          <w:sz w:val="22"/>
        </w:rPr>
        <w:t>its naming sequence may advance. Buttons and values can differ with your permissions and site settings. Login credentials are excluded.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 xml:space="preserve">ERPNext 15 </w:t>
      </w:r>
      <w:r>
        <w:rPr>
          <w:rFonts w:ascii="Arial" w:hAnsi="Arial" w:cs="Arial"/>
          <w:sz w:val="22"/>
        </w:rPr>
        <w:t xml:space="preserve">· </w:t>
      </w:r>
      <w:r>
        <w:rPr>
          <w:rFonts w:ascii="Arial" w:hAnsi="Arial" w:cs="Arial"/>
          <w:sz w:val="22"/>
        </w:rPr>
        <w:t xml:space="preserve">Frappe 15 </w:t>
      </w:r>
      <w:r>
        <w:rPr>
          <w:rFonts w:ascii="Arial" w:hAnsi="Arial" w:cs="Arial"/>
          <w:sz w:val="22"/>
        </w:rPr>
        <w:t xml:space="preserve">· </w:t>
      </w:r>
      <w:r>
        <w:rPr>
          <w:rFonts w:ascii="Arial" w:hAnsi="Arial" w:cs="Arial"/>
          <w:sz w:val="22"/>
        </w:rPr>
        <w:t>Contractor App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Contents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01. Sign in and find your documents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02. Prepare master data and Project Abbreviation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03. Create a Tender Analysis and its clauses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04. Create the Costing Note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05. Price BOQ resources for the full Project Quantity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06. Add equipment and reuse a Template BOQ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07. Apply selling margins and complete tender pricing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08. Create the Project Offer and Project Contract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09. Set taxes, discounts and contracting deductions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10. Create and approve the Project Budget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11. Monitor Project quantities and progress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12. Create a CR and enter contract clauses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13. Fetch Project clauses repeatedly without losing rows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14. Create the Subcontractor Contract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15. Issue a customer Project Clearnce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16. Issue a Subcontract Clearnce from Project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17. Review invoices, deductions and payments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18. Use Purchase Comparison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19. Use Item Coding Request and Subcontractor Custody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20. Use standard purchasing and project-based names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21. Correct, cancel and amend documents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22. Troubleshooting and daily checks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01. Sign in and find your documents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1.1  Open https://en.connect4systems.com and select Login. Enter the account assigned to you, then click Login.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1.2  Open the Tender workspace. Alternatively, use the search box at the top and enter the exact document name shown in this guide.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1.3  Open a list to review existing records. Select a record to open it, or use Add/New when creating a new document.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1.4  Use the tabs to move between Details, Clauses, Taxes and Totals, Contracting and Connections where available.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1.5  Save stores a draft. Submit approves a submittable document and may trigger downstream actions. If a Workflow is configured, use its permitted approval actions.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Check: Screenshots show the English interface. Button visibility depends on permissions, document status and the installed site version. Use the English labels to locate the corresponding Arabic interface controls.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Sign in and find your documents</w:t>
      </w:r>
    </w:p>
    <w:p>
      <w:r>
        <w:drawing>
          <wp:inline xmlns:a="http://schemas.openxmlformats.org/drawingml/2006/main" xmlns:pic="http://schemas.openxmlformats.org/drawingml/2006/picture">
            <wp:extent cx="6309360" cy="438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a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8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Site Access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Sign in and find your documents</w:t>
      </w:r>
    </w:p>
    <w:p>
      <w:r>
        <w:drawing>
          <wp:inline xmlns:a="http://schemas.openxmlformats.org/drawingml/2006/main" xmlns:pic="http://schemas.openxmlformats.org/drawingml/2006/picture">
            <wp:extent cx="6309360" cy="438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8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Desk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02. Prepare master data and Project Abbreviation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2.1  Ask the administrator to confirm Company, company abbreviation, default currency, Customer, Suppliers, Items and UOMs before starting.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2.2  Open Contract Type and check the available values: Arch, Civil, Elec, Mech and Service. CR uses this master, rather than Item Group.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2.3  Open Division to review construction divisions. Division has Title and Description</w:t>
      </w:r>
      <w:r>
        <w:rPr>
          <w:rFonts w:ascii="Arial" w:hAnsi="Arial" w:cs="Arial"/>
          <w:sz w:val="22"/>
        </w:rPr>
        <w:t xml:space="preserve">; </w:t>
      </w:r>
      <w:r>
        <w:rPr>
          <w:rFonts w:ascii="Arial" w:hAnsi="Arial" w:cs="Arial"/>
          <w:sz w:val="22"/>
        </w:rPr>
        <w:t>its name comes from Title. Division is not required on CR.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2.4  Open Cost Code and review the hierarchy and Cost Type. Cost Type links to Cost Center</w:t>
      </w:r>
      <w:r>
        <w:rPr>
          <w:rFonts w:ascii="Arial" w:hAnsi="Arial" w:cs="Arial"/>
          <w:sz w:val="22"/>
        </w:rPr>
        <w:t xml:space="preserve">; </w:t>
      </w:r>
      <w:r>
        <w:rPr>
          <w:rFonts w:ascii="Arial" w:hAnsi="Arial" w:cs="Arial"/>
          <w:sz w:val="22"/>
        </w:rPr>
        <w:t>it is not a separate custom DocType.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2.5  Open the operational Project, enter Project Abbreviation below Project Name, and Save. The technical field is custom_abbreviation. Use a short abbreviation such as TST.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2.6  If a field or newly added tab is missing, ask the administrator to check deployment/migration and refresh the browser. Do not create another field with the same purpose.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Check: Cost Type categories use the configured company abbreviation: Equipments, Labour, Material and Subcontractor. The workbook suffix C is not the required company abbreviation.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Prepare master data and Project Abbreviation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Project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Prepare master data and Project Abbreviation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act-typ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Contract Type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Prepare master data and Project Abbreviation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-c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Cost Code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03. Create a Tender Analysis and its clauses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3.1  Search for Tender Analysis and choose New. Enter Company, Title, Tender Number, Date, Party Type, Party Name, Currency and the desired Project name.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3.2  Open Contractual Clauses. Add a group heading with Is Group selected, then add its detail rows below it.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3.3  For each detail, enter Clause Title, a positive Qty and its UOM. Do not use a heading as a payable work item.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3.4  Choose Automatic numbering for series such as 1, 1_1 and 1_2. Save to generate the series.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3.5  To import instead, download Excel Template, enter literal values in the template, save the tender and select Upload Excel. Review the preview and choose Apply Rows.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3.6  Review the completed table, then click Create Contractual Clauses. Each row receives its own linked clause. Repeating the action creates only missing links.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Check: Excel import replaces the tender table and is offered before creating Contractual Clauses. Imported numbering uses From Excel. Project at this stage is a name, not an existing operational Project link.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Create a Tender Analysis and its clauses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der-analy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Tender Analysis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Create a Tender Analysis and its clauses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der-analysis-claus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Tender Analysis Clauses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04. Create the Costing Note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4.1  Save the Tender Analysis after generating all Contractual Clauses.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4.2  Select Create &gt; Costing Note. Check the source tender, currency, clauses, quantities and units.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4.3  Save the new Costing Note as a draft before creating BOQs.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4.4  Use the BOQ button on each detail row to open its matching BOQ. Group headings do not need resource pricing.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4.5  Return after submitting the BOQs and review each returned unit cost and total cost.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 xml:space="preserve">Check: Source rows and quantities follow the tender. If its structure or quantities change, recreate the affected draft Costing Note. Site review reproduced </w:t>
      </w:r>
      <w:r>
        <w:rPr>
          <w:rFonts w:ascii="Arial" w:hAnsi="Arial" w:cs="Arial"/>
          <w:sz w:val="22"/>
        </w:rPr>
        <w:t>“</w:t>
      </w:r>
      <w:r>
        <w:rPr>
          <w:rFonts w:ascii="Arial" w:hAnsi="Arial" w:cs="Arial"/>
          <w:sz w:val="22"/>
        </w:rPr>
        <w:t>field item not found</w:t>
      </w:r>
      <w:r>
        <w:rPr>
          <w:rFonts w:ascii="Arial" w:hAnsi="Arial" w:cs="Arial"/>
          <w:sz w:val="22"/>
        </w:rPr>
        <w:t xml:space="preserve">” </w:t>
      </w:r>
      <w:r>
        <w:rPr>
          <w:rFonts w:ascii="Arial" w:hAnsi="Arial" w:cs="Arial"/>
          <w:sz w:val="22"/>
        </w:rPr>
        <w:t>when opening an existing Costing Note</w:t>
      </w:r>
      <w:r>
        <w:rPr>
          <w:rFonts w:ascii="Arial" w:hAnsi="Arial" w:cs="Arial"/>
          <w:sz w:val="22"/>
        </w:rPr>
        <w:t xml:space="preserve">; </w:t>
      </w:r>
      <w:r>
        <w:rPr>
          <w:rFonts w:ascii="Arial" w:hAnsi="Arial" w:cs="Arial"/>
          <w:sz w:val="22"/>
        </w:rPr>
        <w:t>ask the administrator to resolve this compatibility issue before relying on its complete pricing cycle.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Create the Costing Note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ing-no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Costing Note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05. Price BOQ resources for the full Project Quantity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5.1  Open the BOQ from its Costing Note row. Check Clause Title, UOM and Project QTY. Tender-linked Project QTY follows the source row.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5.2  In Material, select each resource Item and UOM, enter the quantity required per clause unit and its cost rate.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5.3  Repeat for Labour, Contractors and Expenses. Review the calculated Project Quantity and Total Cost of each resource.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5.4  For example, Project QTY 100 and a resource coefficient of 2 give resource quantity 200. At rate 5 the resource total is 1,000.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5.5  Review Total Project Cost and Cost per Clause Unit. Save and Submit the BOQ to return its unit cost to the correct Costing Note row.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Check: Resource project quantity = quantity per clause unit × Project QTY. Total cost = resource project quantity × resource cost rate. Unit clause cost = total project cost ÷ Project QTY. Historical submitted BOQs may retain Per Unit basis.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Price BOQ resources for the full Project Quantity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q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Boq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06. Add equipment and reuse a Template BOQ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6.1  Open the BOQ Equipment tab, located before Expenses in the updated form.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6.2  Add an Equipment Costs row. Select the Equipment Item and UOM, then enter quantity per clause unit and the cost rate.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6.3  Review the automatically calculated Project Quantity, row Total Cost and Total Equipment Costs.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6.4  To reuse a resource breakdown, prepare Template BOQ with resource quantities per clause unit, including Equipment Costs.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6.5  On a new/draft BOQ, select BOQ Template. Review every copied resource and rate before saving</w:t>
      </w:r>
      <w:r>
        <w:rPr>
          <w:rFonts w:ascii="Arial" w:hAnsi="Arial" w:cs="Arial"/>
          <w:sz w:val="22"/>
        </w:rPr>
        <w:t xml:space="preserve">; </w:t>
      </w:r>
      <w:r>
        <w:rPr>
          <w:rFonts w:ascii="Arial" w:hAnsi="Arial" w:cs="Arial"/>
          <w:sz w:val="22"/>
        </w:rPr>
        <w:t>applying a template replaces the resource breakdown.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Check: Equipment costs feed BOQ cost, Costing Note pricing and Project Budget. Older custom equipment rows are retained. If Equipment is absent on the site, the new metadata/assets need deployment</w:t>
      </w:r>
      <w:r>
        <w:rPr>
          <w:rFonts w:ascii="Arial" w:hAnsi="Arial" w:cs="Arial"/>
          <w:sz w:val="22"/>
        </w:rPr>
        <w:t xml:space="preserve">; </w:t>
      </w:r>
      <w:r>
        <w:rPr>
          <w:rFonts w:ascii="Arial" w:hAnsi="Arial" w:cs="Arial"/>
          <w:sz w:val="22"/>
        </w:rPr>
        <w:t>a screenshot of an older form does not prove the new tab is installed.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Add equipment and reuse a Template BOQ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q-equipment-ent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Boq Equipment Entry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Add equipment and reuse a Template BOQ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-boq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Template Boq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07. Apply selling margins and complete tender pricing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7.1  Return to the saved Costing Note after submitting all required BOQs.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7.2  Enter the required profit margin and review the detail selling values and group summaries.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7.3  Check that total cost equals unit cost × clause quantity, and selling amount equals total cost × (1 + margin / 100).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7.4  Save, then Submit the Costing Note. Open Tender Analysis and verify the resulting selling rates and amounts.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7.5  To reprice an applied clause, first cancel the owning Costing Note and resolve downstream dependencies. Prepare and approve revised costing through the same cycle.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Check: One applied Costing Note owns a clause’s pricing at a time. All active Costing Notes must be submitted before creating the commercial offer/contract.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Apply selling margins and complete tender pricing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ing-no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Costing Note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Apply selling margins and complete tender pricing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der-analysis-claus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Tender Analysis Clauses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08. Create the Project Offer and Project Contract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8.1  Save the fully priced Tender Analysis. Use Create &gt; Project Offer when issuing an offer, or Create &gt; Project Contract for the direct contract route.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8.2  Check Customer, Company, Currency, conversion rate, Project name, dates and copied clauses. Complete addresses, payment terms and other commercial terms.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8.3  Review agreed quantities and selling rates in Clauses. Complete Taxes and Totals and Contracting as described next.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8.4  Save and Submit the Project Offer. To convert it, choose Create &gt; Project Contract and review the copied commercial values.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8.5  Save and Submit Project Contract after the agreed checks and workflow approvals. The Project name is used to create/link the operational Project.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8.6  Use Open Project or Created Project to open the result. Repeating conversion opens an existing active contract instead of creating another.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Check: The offer/contract is a commercial document and does not itself post revenue or move stock. The operational Project may require creation permissions. Project Budget is created from a submitted Project Contract.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Create the Project Offer and Project Contract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off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Project Offer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Create the Project Offer and Project Contract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contrac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Project Contract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09. Set taxes, discounts and contracting deductions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9.1  Open Taxes and Totals. On customer documents choose Sales Taxes and Charges Template</w:t>
      </w:r>
      <w:r>
        <w:rPr>
          <w:rFonts w:ascii="Arial" w:hAnsi="Arial" w:cs="Arial"/>
          <w:sz w:val="22"/>
        </w:rPr>
        <w:t xml:space="preserve">; </w:t>
      </w:r>
      <w:r>
        <w:rPr>
          <w:rFonts w:ascii="Arial" w:hAnsi="Arial" w:cs="Arial"/>
          <w:sz w:val="22"/>
        </w:rPr>
        <w:t>on CR/subcontract documents choose Purchase Taxes and Charges Template.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9.2  Use a template belonging to the document Company. Review each tax row’s account, charge type, rate and included-in-rate setting.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9.3  If needed, choose the additional discount basis and enter the percentage or fixed discount. Check Net Total, tax totals and Grand Total.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9.4  Open Contracting. Select Selling Deductions Template for customer documents, or Purchasing Deductions Template for subcontract documents.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9.5  Review or edit each deduction Title, Account and Percent. Confirm Total Deductions and Net Payable, then Save.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Check: Deductions use the document Grand Total</w:t>
      </w:r>
      <w:r>
        <w:rPr>
          <w:rFonts w:ascii="Arial" w:hAnsi="Arial" w:cs="Arial"/>
          <w:sz w:val="22"/>
        </w:rPr>
        <w:t xml:space="preserve">; </w:t>
      </w:r>
      <w:r>
        <w:rPr>
          <w:rFonts w:ascii="Arial" w:hAnsi="Arial" w:cs="Arial"/>
          <w:sz w:val="22"/>
        </w:rPr>
        <w:t>Net Payable = Grand Total − Total Deductions. Templates populate editable draft rows. Later edits do not update the source template. Actual tax amounts and fixed discounts start at zero on a new period certificate and must be entered for that period.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Set taxes, discounts and contracting deductions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contract-tax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Project Contract Taxes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Set taxes, discounts and contracting deductions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contract-contract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Project Contract Contracting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Set taxes, discounts and contracting deductions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-tax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Cr Taxes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10. Create and approve the Project Budget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10.1  Open the submitted Project Contract and confirm that its operational Project exists.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10.2  Choose Create &gt; Project Budget. The system opens a new draft or the existing active budget for that contract.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10.3  Check Details: Project Contract, Project, Tender Analysis, Company, Currency and Budget Date.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10.4  Open Total Budget and review Total Project Budget, Total Material, Total Labour, Total Subcontractor, Total Other Expenses and Total Equipment.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10.5  Open Contract Clauses Budget. Review each contract quantity, BOQ unit cost and total clause budget</w:t>
      </w:r>
      <w:r>
        <w:rPr>
          <w:rFonts w:ascii="Arial" w:hAnsi="Arial" w:cs="Arial"/>
          <w:sz w:val="22"/>
        </w:rPr>
        <w:t xml:space="preserve">; </w:t>
      </w:r>
      <w:r>
        <w:rPr>
          <w:rFonts w:ascii="Arial" w:hAnsi="Arial" w:cs="Arial"/>
          <w:sz w:val="22"/>
        </w:rPr>
        <w:t>expand rows for category amounts and source links.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10.6  Save and Submit after review. Source costs and quantities are verified by the server. A submitted budget is a snapshot, and does not post accounting entries.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Check: The budget is COST based. Clause budget = final contract quantity × normalized BOQ unit cost. Selling profit, taxes and deductions are excluded. Example: BOQ quantity 100 costs 2,300, unit cost 23</w:t>
      </w:r>
      <w:r>
        <w:rPr>
          <w:rFonts w:ascii="Arial" w:hAnsi="Arial" w:cs="Arial"/>
          <w:sz w:val="22"/>
        </w:rPr>
        <w:t xml:space="preserve">; </w:t>
      </w:r>
      <w:r>
        <w:rPr>
          <w:rFonts w:ascii="Arial" w:hAnsi="Arial" w:cs="Arial"/>
          <w:sz w:val="22"/>
        </w:rPr>
        <w:t>final contract quantity 150 produces budget 3,450, regardless of selling rate.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Create and approve the Project Budget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budge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Project Budget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Create and approve the Project Budget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budget-total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Project Budget Totals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Create and approve the Project Budget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budget-clauses-budge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Project Budget Clauses Budget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11. Monitor Project quantities and progress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11.1  Open the operational Project from its Project Contract or the Project list.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11.2  Review Project Name, Company, Customer, dates and Project Abbreviation. Save any permitted changes before using Create actions.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11.3  Open Project Clauses and review contractual, executed and remaining quantities for each detail clause.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11.4  Review Clause Groups and Progress for group summaries by UOM. Customer progress and subcontractor progress are independent measures.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11.5  Use Connections and the linked contract to review commercial values. The Project clause tables show quantities/progress and do not expose contract prices.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Check: Only submitted, noncancelled certificates contribute to progress. Group headings are not payable quantities. Quantities with different UOMs are not added together as one physical quantity.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Monitor Project quantities and progress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progres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Project Progress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Monitor Project quantities and progress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Project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12. Create a CR and enter contract clauses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12.1  Search for CR and choose New. Select the operational Project and Supplier.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12.2  Select Contract Type: Arch, Civil, Elec, Mech or Service. Complete Posting Date, End Date, Attach CR and notes.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12.3  Check Company, Currency and conversion rate. Enter manual group/detail clauses, import the supplied Excel Template, or use Fetch from Project.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12.4  For detail clauses enter Qty, UOM and Rate. Amount is calculated</w:t>
      </w:r>
      <w:r>
        <w:rPr>
          <w:rFonts w:ascii="Arial" w:hAnsi="Arial" w:cs="Arial"/>
          <w:sz w:val="22"/>
        </w:rPr>
        <w:t xml:space="preserve">; </w:t>
      </w:r>
      <w:r>
        <w:rPr>
          <w:rFonts w:ascii="Arial" w:hAnsi="Arial" w:cs="Arial"/>
          <w:sz w:val="22"/>
        </w:rPr>
        <w:t>group amounts summarize their details.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12.5  Complete Taxes and Totals and Contracting, then Save. Review all clauses and attachments before the configured approval/submission process.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Check: The Project must have Project Abbreviation for project-based naming. CR does not require Division. Keep source Project references by fetching clauses when they must count toward Project progress.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Create a CR and enter contract clauses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Cr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Create a CR and enter contract clauses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-claus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Cr Clauses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13. Fetch Project clauses repeatedly without losing rows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13.1  Save the CR draft with its selected Project, then click Fetch from Project.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13.2  Leave All Clauses selected to fetch the complete Project. Group Clause and group-selection controls are hidden in this mode.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13.3  For a specific group, clear All Clauses and select Group Clause.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13.4  Select Select All Clauses in This Group to fetch the whole group. Clear it to display the clause selection table.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13.5  In the table, tick the required clauses and enter their required quantities. You can switch groups to make further selections.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13.6  Click Insert Clauses. Review the appended rows, existing edits and quantities, then Save.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13.7  Repeat Fetch from Project whenever needed. Existing rows remain</w:t>
      </w:r>
      <w:r>
        <w:rPr>
          <w:rFonts w:ascii="Arial" w:hAnsi="Arial" w:cs="Arial"/>
          <w:sz w:val="22"/>
        </w:rPr>
        <w:t xml:space="preserve">; </w:t>
      </w:r>
      <w:r>
        <w:rPr>
          <w:rFonts w:ascii="Arial" w:hAnsi="Arial" w:cs="Arial"/>
          <w:sz w:val="22"/>
        </w:rPr>
        <w:t>already inserted source clauses are skipped rather than duplicated.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Check: Picker quantity changes affect the CR, not Project quantities. This additive Project fetch differs from Excel import replacement. Do not use the tender’s Excel replacement action as a way to append CR rows.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Fetch Project clauses repeatedly without losing rows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-picker-al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Cr Picker All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Fetch Project clauses repeatedly without losing rows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-picker-group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Cr Picker Group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Fetch Project clauses repeatedly without losing rows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-picker-tabl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Cr Picker Table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14. Create the Subcontractor Contract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14.1  Open an approved/submitted CR and choose Create &gt; Subcontractor Contract.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14.2  Review the copied Project, Supplier/Contractor, Contract Type, dates, clauses, rates, taxes, deductions and source CR link.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14.3  Upload the signed/agreed file to Attach Contract. Complete any remaining mandatory fields.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14.4  For a direct contract instead, create Subcontractor Contract from its list, fill the header and add clauses using the same manual, Excel or Project-fetch controls.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14.5  Review Taxes and Totals and Contracting. Confirm positive agreed rates for payable detail clauses, then Save and complete approval/Submit.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14.6  After submission, use Create &gt; Subcontract Clearnce for the next period certificate. Repeated CR conversion opens its existing active contract.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Check: Contract-backed certificates retain the agreed rates and source row identities. Manually entered/imported contract rows use contract quantity limits, but do not create Project progress rows without the original Project links.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Create the Subcontractor Contract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contractor-contrac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Subcontractor Contract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Create the Subcontractor Contract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contractor-contract-claus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Subcontractor Contract Clauses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Create the Subcontractor Contract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contractor-contract-contracti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Subcontractor Contract Contracting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15. Issue a customer Project Clearnce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15.1  Save the operational Project, then choose Create &gt; Project Clearnce.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15.2  Review Customer, Project Contract, currency, Posting Date and Cost Center.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15.3  Open Clauses. For each payable detail, review Total Required Qty, Previous Qty and Remaining Qty, then enter Current Qty for this period only.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15.4  Alternatively, use Current % of Remaining where appropriate. Do not enter the cumulative executed quantity as Current Qty.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15.5  Review contract rates, period amounts, taxes, period fixed charges and contracting deductions. Save the draft and obtain the required review.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15.6  Submit when ready to post. The system creates the Sales Invoice and, where applicable, the deduction Journal Entry, and updates Project progress.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Check: Submission is an accounting action. Rates come from Project Contract and quantities cannot exceed the contractual balance. A posting failure prevents completion of the certificate submission.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Issue a customer Project Clearnce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clearnc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Project Clearnce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Issue a customer Project Clearnce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clearnce-clause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Project Clearnce Clauses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16. Issue a Subcontract Clearnce from Project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16.1  Save the Project and choose Create &gt; Subcontract Clearnce.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16.2  Select Supplier first. The selector contains suppliers with submitted Subcontractor Contracts for this Project.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16.3  Select the required Subcontractor Contract for that Supplier and Project, then click Create Clearance.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16.4  Review the mapped document. Current-period quantities start at zero</w:t>
      </w:r>
      <w:r>
        <w:rPr>
          <w:rFonts w:ascii="Arial" w:hAnsi="Arial" w:cs="Arial"/>
          <w:sz w:val="22"/>
        </w:rPr>
        <w:t xml:space="preserve">; </w:t>
      </w:r>
      <w:r>
        <w:rPr>
          <w:rFonts w:ascii="Arial" w:hAnsi="Arial" w:cs="Arial"/>
          <w:sz w:val="22"/>
        </w:rPr>
        <w:t>enter only this period’s Current Qty. The selected contract supplies the agreed rates.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16.5  Check Previous Qty, Project Previous Qty and Remaining Qty. Review taxes, period Actual charges, discounts, deductions and Cost Center.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16.6  Save and review, then Submit. Open the resulting Purchase Invoice and Deduction Entry if present, and verify updated Project progress.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Check: The system enforces the contract’s cumulative quantity limit. For Project-linked clauses it also enforces the Project-wide subcontract limit across suppliers. Changing Supplier clears the selected contract.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Issue a Subcontract Clearnce from Project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-subcontract-pick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Project Subcontract Picker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Issue a Subcontract Clearnce from Project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contract-clearnc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Subcontract Clearnce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Issue a Subcontract Clearnce from Project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contract-clearnce-claus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Subcontract Clearnce Clauses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17. Review invoices, deductions and payments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17.1  On a submitted certificate, choose Open Invoice and check the party, Project, currency, net work value, tax amounts and invoice total.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17.2  The invoice contains a single non-stock service item for the certified works. The detailed work measurement remains in the certificate clauses.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17.3  If deductions exist, open Deduction Entry and check its accounts and value. It settles the deduction against the party balance without posting the same work revenue/expense again.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17.4  Example without taxes: certified works 100 and deduction 10 produce invoice 100, deduction settlement 10 and net payable 90.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17.5  Record actual collection/payment using standard ERPNext Payment Entry against the appropriate outstanding invoice.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17.6  Use General Ledger and Accounts Receivable/Accounts Payable for balance reconciliation. Verify Company, party, date range and submitted transaction status.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Check: Company defaults, party accounts, income/expense accounts, Cost Center and rounding accounts must be configured before posting. The retained legacy Account Balances source is not a verified operational balance report.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Review invoices, deductions and payments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-invoice-sellin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Sales Invoice Selling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Review invoices, deductions and payments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rchase-invoice-buying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Purchase Invoice Buying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Review invoices, deductions and payments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-entry-sellin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Journal Entry Selling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Review invoices, deductions and payments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urnal-entry-buying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Journal Entry Buying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18. Use Purchase Comparison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18.1  Open Comparison directly. Where the Material Request workflow is configured, an approved/submitted Purchase request exposes Create Purchase Comparison to a Purchase User.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18.2  Review Project, Material Request and the requested items. In the comparison matrix, use Add Item for additional rows if needed.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18.3  Choose Attach Supplier for each supplier being compared. Enter each supplier rate for each item and review quantity × rate and supplier totals.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18.4  Enter technical ratings, attach supplier quotations and record Accepted Supplier, Amount and Notes as required.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18.5  Save and use the configured review/submission process. Export Excel downloads a CSV file</w:t>
      </w:r>
      <w:r>
        <w:rPr>
          <w:rFonts w:ascii="Arial" w:hAnsi="Arial" w:cs="Arial"/>
          <w:sz w:val="22"/>
        </w:rPr>
        <w:t xml:space="preserve">; </w:t>
      </w:r>
      <w:r>
        <w:rPr>
          <w:rFonts w:ascii="Arial" w:hAnsi="Arial" w:cs="Arial"/>
          <w:sz w:val="22"/>
        </w:rPr>
        <w:t>review it in Excel.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Check: The retained comparison feature depends on its site fields and configured Material Request workflow. Do not assume that approving Comparison automatically creates a Purchase Order.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Use Purchase Comparison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Comparison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19. Use Item Coding Request and Subcontractor Custody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19.1  For coding, open Item Coding Request, choose New, select Project and Date, and add item names, UOMs, descriptions and attachments in Items.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19.2  Save and send through the configured review process. Record the resulting Item Code links when the authorized master-data user has created the Items.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19.3  For custody, open Subcontractor Custody. Select Subcontractor, Project and Date, then choose Type Out for issue or Return for return.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19.4  Enter Items, positive quantities and correct UOMs</w:t>
      </w:r>
      <w:r>
        <w:rPr>
          <w:rFonts w:ascii="Arial" w:hAnsi="Arial" w:cs="Arial"/>
          <w:sz w:val="22"/>
        </w:rPr>
        <w:t xml:space="preserve">; </w:t>
      </w:r>
      <w:r>
        <w:rPr>
          <w:rFonts w:ascii="Arial" w:hAnsi="Arial" w:cs="Arial"/>
          <w:sz w:val="22"/>
        </w:rPr>
        <w:t>add a note. Check the Project warehouse and destination/source custody warehouse with the stock administrator.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19.5  Save and Submit only after stock review. The current custody controller creates and submits a Material Transfer Stock Entry.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 xml:space="preserve">Check: The current custody code uses Project custom_warehouse and the literal warehouse </w:t>
      </w:r>
      <w:r>
        <w:rPr>
          <w:rFonts w:ascii="Arial" w:hAnsi="Arial" w:cs="Arial"/>
          <w:sz w:val="22"/>
        </w:rPr>
        <w:t>“</w:t>
      </w:r>
      <w:r>
        <w:rPr>
          <w:rFonts w:ascii="Arial" w:hAnsi="Arial" w:cs="Arial"/>
          <w:sz w:val="22"/>
        </w:rPr>
        <w:t>Subcontractor - C</w:t>
      </w:r>
      <w:r>
        <w:rPr>
          <w:rFonts w:ascii="Arial" w:hAnsi="Arial" w:cs="Arial"/>
          <w:sz w:val="22"/>
        </w:rPr>
        <w:t xml:space="preserve">”. </w:t>
      </w:r>
      <w:r>
        <w:rPr>
          <w:rFonts w:ascii="Arial" w:hAnsi="Arial" w:cs="Arial"/>
          <w:sz w:val="22"/>
        </w:rPr>
        <w:t>Confirm this configuration before use</w:t>
      </w:r>
      <w:r>
        <w:rPr>
          <w:rFonts w:ascii="Arial" w:hAnsi="Arial" w:cs="Arial"/>
          <w:sz w:val="22"/>
        </w:rPr>
        <w:t xml:space="preserve">; </w:t>
      </w:r>
      <w:r>
        <w:rPr>
          <w:rFonts w:ascii="Arial" w:hAnsi="Arial" w:cs="Arial"/>
          <w:sz w:val="22"/>
        </w:rPr>
        <w:t>it is not the dynamic company-abbreviation logic used by Cost Type. Automatic Item creation is not implemented by the basic Item Coding Request controller.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Use Item Coding Request and Subcontractor Custody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m-coding-request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Item Coding Request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Use Item Coding Request and Subcontractor Custody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contractor-custody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Subcontractor Custody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20. Use standard purchasing and project-based names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20.1  Create Opportunity, Quotation, Sales Order, Sales Invoice, Purchase Order, Purchase Invoice and Purchase Receipt through their standard ERPNext forms.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20.2  For a new Purchase Order, select the native Project field before saving and confirm the linked Project has Project Abbreviation.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20.3  Save to receive a name such as PO-TST-0001. Purchase Receipt uses PRE-TST-0001 for the same Project abbreviation.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20.4  Use standard ERPNext items, taxes, receipts and invoicing actions. There is no custom Purchase Order Type selector in this app’s current purchasing flow.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Check: Naming is the retained Purchase Order/Purchase Receipt exception. Company abbreviation on Cost Centers and Project Abbreviation on document names are separate settings.</w:t>
      </w:r>
    </w:p>
    <w:p>
      <w:r>
        <w:br w:type="page"/>
      </w:r>
    </w:p>
    <w:p>
      <w:pPr>
        <w:pStyle w:val="Heading2"/>
        <w:spacing w:after="140" w:line="276" w:lineRule="auto"/>
      </w:pPr>
      <w:r>
        <w:rPr>
          <w:rFonts w:ascii="Arial" w:hAnsi="Arial" w:cs="Arial"/>
          <w:sz w:val="22"/>
        </w:rPr>
        <w:t>Use standard purchasing and project-based names</w:t>
      </w:r>
    </w:p>
    <w:p>
      <w:r>
        <w:drawing>
          <wp:inline xmlns:a="http://schemas.openxmlformats.org/drawingml/2006/main" xmlns:pic="http://schemas.openxmlformats.org/drawingml/2006/picture">
            <wp:extent cx="6309360" cy="4600575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-c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00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System screenshot: Cost Code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21. Correct, cancel and amend documents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21.1  Edit and Save drafts before submitting. Review the document status and linked documents in Connections.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21.2  To correct a submitted document, follow the configured Cancel/Amend permissions and resolve downstream links first.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21.3  Before cancelling a certificate, reconcile any payments or downstream documents blocking its invoice. Certificate cancellation reverses its generated deduction entry/invoice through the application flow.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21.4  Cancel/delete active certificates before cancelling their Subcontractor Contract, then resolve linked contracts before cancelling CR.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21.5  For Project Contract cancellation, resolve active budgets and other downstream links and set the related Project status as required. Do not alter source database references manually.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21.6  After permitted cancellation, verify recalculated quantities and financial balances. Create an amendment or replacement through the normal document actions.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Check: Historical Legacy Record certificates retain their older behavior. Do not use them as examples of the new clause-based accounting cycle.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22. Troubleshooting and daily checks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22.1  Missing Project Abbreviation: open the linked operational Project, fill the abbreviation and Save. If the field itself is missing, ask for the migration/metadata repair.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22.2  Missing creation button: Save the source, check submitted status, complete source pricing and confirm create/read permissions. A draft Costing Note blocks offer/contract creation.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22.3  No picker table: clear All Clauses, choose a group and clear Select All Clauses in This Group. Confirm that the group contains detail clauses.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22.4  No Supplier/Contract in the Project clearance dialog: confirm there is a submitted contract for that exact Project/Supplier and that your account can read it.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22.5  Budget creation blocked: check exact submitted BOQ/Costing Note links, UOM, currency and active-budget uniqueness. Do not substitute another clause with the same title.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22.6  Posting failure: ask Accounts to check party, income/expense, deduction and tax accounts, Company, Cost Center and rounding defaults. Keep the failed certificate in draft until resolved.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22.7  At day end, compare submitted certificates, invoices, deduction entries, Project progress and party outstanding balances.</w:t>
      </w:r>
    </w:p>
    <w:p>
      <w:r>
        <w:br w:type="page"/>
      </w:r>
    </w:p>
    <w:p>
      <w:pPr>
        <w:pStyle w:val="Heading1"/>
        <w:spacing w:after="140" w:line="276" w:lineRule="auto"/>
      </w:pPr>
      <w:r>
        <w:rPr>
          <w:rFonts w:ascii="Arial" w:hAnsi="Arial" w:cs="Arial"/>
          <w:sz w:val="22"/>
        </w:rPr>
        <w:t>Site verification scope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>20 of 20 document types opened during site review. All 172 local automated tests passed. These checks do not establish end-to-end accounting posting success.  A JavaScript message observed during navigation needs separate investigation: field item not found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 xml:space="preserve">CR All Clauses hides group field </w:t>
      </w:r>
      <w:r>
        <w:rPr>
          <w:rFonts w:ascii="Arial" w:hAnsi="Arial" w:cs="Arial"/>
          <w:sz w:val="22"/>
        </w:rPr>
        <w:t xml:space="preserve">— </w:t>
      </w:r>
      <w:r>
        <w:rPr>
          <w:rFonts w:ascii="Arial" w:hAnsi="Arial" w:cs="Arial"/>
          <w:sz w:val="22"/>
        </w:rPr>
        <w:t>Passed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 xml:space="preserve">CR selected group shows detail selection table </w:t>
      </w:r>
      <w:r>
        <w:rPr>
          <w:rFonts w:ascii="Arial" w:hAnsi="Arial" w:cs="Arial"/>
          <w:sz w:val="22"/>
        </w:rPr>
        <w:t xml:space="preserve">— </w:t>
      </w:r>
      <w:r>
        <w:rPr>
          <w:rFonts w:ascii="Arial" w:hAnsi="Arial" w:cs="Arial"/>
          <w:sz w:val="22"/>
        </w:rPr>
        <w:t>Passed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 xml:space="preserve">CR Select All in Group hides detail table </w:t>
      </w:r>
      <w:r>
        <w:rPr>
          <w:rFonts w:ascii="Arial" w:hAnsi="Arial" w:cs="Arial"/>
          <w:sz w:val="22"/>
        </w:rPr>
        <w:t xml:space="preserve">— </w:t>
      </w:r>
      <w:r>
        <w:rPr>
          <w:rFonts w:ascii="Arial" w:hAnsi="Arial" w:cs="Arial"/>
          <w:sz w:val="22"/>
        </w:rPr>
        <w:t>Passed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 xml:space="preserve">Repeated Project fetch preserves existing CR row and quantity without duplication </w:t>
      </w:r>
      <w:r>
        <w:rPr>
          <w:rFonts w:ascii="Arial" w:hAnsi="Arial" w:cs="Arial"/>
          <w:sz w:val="22"/>
        </w:rPr>
        <w:t xml:space="preserve">— </w:t>
      </w:r>
      <w:r>
        <w:rPr>
          <w:rFonts w:ascii="Arial" w:hAnsi="Arial" w:cs="Arial"/>
          <w:sz w:val="22"/>
        </w:rPr>
        <w:t>Passed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 xml:space="preserve">Temporary CR draft cleanup </w:t>
      </w:r>
      <w:r>
        <w:rPr>
          <w:rFonts w:ascii="Arial" w:hAnsi="Arial" w:cs="Arial"/>
          <w:sz w:val="22"/>
        </w:rPr>
        <w:t xml:space="preserve">— </w:t>
      </w:r>
      <w:r>
        <w:rPr>
          <w:rFonts w:ascii="Arial" w:hAnsi="Arial" w:cs="Arial"/>
          <w:sz w:val="22"/>
        </w:rPr>
        <w:t>Passed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 xml:space="preserve">Unsaved BOQ equipment quantity and costs </w:t>
      </w:r>
      <w:r>
        <w:rPr>
          <w:rFonts w:ascii="Arial" w:hAnsi="Arial" w:cs="Arial"/>
          <w:sz w:val="22"/>
        </w:rPr>
        <w:t xml:space="preserve">— </w:t>
      </w:r>
      <w:r>
        <w:rPr>
          <w:rFonts w:ascii="Arial" w:hAnsi="Arial" w:cs="Arial"/>
          <w:sz w:val="22"/>
        </w:rPr>
        <w:t>Passed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 xml:space="preserve">Existing Project Budget category and detail reconciliation </w:t>
      </w:r>
      <w:r>
        <w:rPr>
          <w:rFonts w:ascii="Arial" w:hAnsi="Arial" w:cs="Arial"/>
          <w:sz w:val="22"/>
        </w:rPr>
        <w:t xml:space="preserve">— </w:t>
      </w:r>
      <w:r>
        <w:rPr>
          <w:rFonts w:ascii="Arial" w:hAnsi="Arial" w:cs="Arial"/>
          <w:sz w:val="22"/>
        </w:rPr>
        <w:t>Passed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 xml:space="preserve">Project Supplier/Contract selection dialog </w:t>
      </w:r>
      <w:r>
        <w:rPr>
          <w:rFonts w:ascii="Arial" w:hAnsi="Arial" w:cs="Arial"/>
          <w:sz w:val="22"/>
        </w:rPr>
        <w:t xml:space="preserve">— </w:t>
      </w:r>
      <w:r>
        <w:rPr>
          <w:rFonts w:ascii="Arial" w:hAnsi="Arial" w:cs="Arial"/>
          <w:sz w:val="22"/>
        </w:rPr>
        <w:t>Passed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 xml:space="preserve">Project Clearnce existing invoice/deduction reconciliation </w:t>
      </w:r>
      <w:r>
        <w:rPr>
          <w:rFonts w:ascii="Arial" w:hAnsi="Arial" w:cs="Arial"/>
          <w:sz w:val="22"/>
        </w:rPr>
        <w:t xml:space="preserve">— </w:t>
      </w:r>
      <w:r>
        <w:rPr>
          <w:rFonts w:ascii="Arial" w:hAnsi="Arial" w:cs="Arial"/>
          <w:sz w:val="22"/>
        </w:rPr>
        <w:t>Passed</w:t>
      </w:r>
    </w:p>
    <w:p>
      <w:pPr>
        <w:spacing w:after="140" w:line="276" w:lineRule="auto"/>
      </w:pPr>
      <w:r>
        <w:rPr>
          <w:rFonts w:ascii="Arial" w:hAnsi="Arial" w:cs="Arial"/>
          <w:sz w:val="22"/>
        </w:rPr>
        <w:t xml:space="preserve">Subcontract Clearnce existing invoice/deduction reconciliation </w:t>
      </w:r>
      <w:r>
        <w:rPr>
          <w:rFonts w:ascii="Arial" w:hAnsi="Arial" w:cs="Arial"/>
          <w:sz w:val="22"/>
        </w:rPr>
        <w:t xml:space="preserve">— </w:t>
      </w:r>
      <w:r>
        <w:rPr>
          <w:rFonts w:ascii="Arial" w:hAnsi="Arial" w:cs="Arial"/>
          <w:sz w:val="22"/>
        </w:rPr>
        <w:t>Passed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140" w:line="276" w:lineRule="auto"/>
    </w:pPr>
    <w:r>
      <w:rPr>
        <w:rFonts w:ascii="Arial" w:hAnsi="Arial" w:cs="Arial"/>
        <w:sz w:val="22"/>
      </w:rPr>
      <w:t xml:space="preserve">2026-10-29  </w:t>
    </w:r>
    <w:r>
      <w:rPr>
        <w:rFonts w:ascii="Arial" w:hAnsi="Arial" w:cs="Arial"/>
        <w:sz w:val="22"/>
      </w:rPr>
      <w:t xml:space="preserve">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40" w:line="276" w:lineRule="auto"/>
    </w:pPr>
    <w:r>
      <w:rPr>
        <w:rFonts w:ascii="Arial" w:hAnsi="Arial" w:cs="Arial"/>
        <w:sz w:val="18"/>
      </w:rPr>
      <w:t xml:space="preserve">Contractor App </w:t>
    </w:r>
    <w:r>
      <w:rPr>
        <w:rFonts w:ascii="Arial" w:hAnsi="Arial" w:cs="Arial"/>
        <w:sz w:val="22"/>
      </w:rPr>
      <w:t xml:space="preserve">| </w:t>
    </w:r>
    <w:r>
      <w:rPr>
        <w:rFonts w:ascii="Arial" w:hAnsi="Arial" w:cs="Arial"/>
        <w:sz w:val="22"/>
      </w:rPr>
      <w:t>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F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