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2A853" w14:textId="77777777" w:rsidR="002933FC" w:rsidRDefault="002933FC" w:rsidP="002933FC">
      <w:pPr>
        <w:pStyle w:val="NormalWeb"/>
        <w:spacing w:before="0" w:beforeAutospacing="0" w:after="0" w:afterAutospacing="0"/>
        <w:rPr>
          <w:rFonts w:ascii="Arial" w:hAnsi="Arial" w:cs="Arial"/>
          <w:sz w:val="20"/>
          <w:szCs w:val="20"/>
        </w:rPr>
      </w:pPr>
      <w:r>
        <w:rPr>
          <w:rFonts w:ascii="Arial" w:hAnsi="Arial" w:cs="Arial"/>
          <w:sz w:val="20"/>
          <w:szCs w:val="20"/>
        </w:rPr>
        <w:t>REYNOLDS INTELLECTUAL ASSESSMENT SCALES – SECOND EDITION (RIAS-2)</w:t>
      </w:r>
    </w:p>
    <w:p w14:paraId="30B03898" w14:textId="77777777" w:rsidR="002933FC" w:rsidRDefault="002933FC" w:rsidP="002933FC">
      <w:pPr>
        <w:pStyle w:val="NormalWeb"/>
        <w:spacing w:before="0" w:beforeAutospacing="0" w:after="0" w:afterAutospacing="0"/>
        <w:rPr>
          <w:rFonts w:ascii="Arial" w:hAnsi="Arial" w:cs="Arial"/>
          <w:color w:val="000000"/>
          <w:sz w:val="20"/>
          <w:szCs w:val="20"/>
        </w:rPr>
      </w:pPr>
      <w:r w:rsidRPr="00FC2952">
        <w:rPr>
          <w:rFonts w:ascii="Arial" w:hAnsi="Arial" w:cs="Arial"/>
          <w:color w:val="000000"/>
          <w:sz w:val="20"/>
          <w:szCs w:val="20"/>
        </w:rPr>
        <w:t>The RIAS is an individually administered test of intelligence appropriate for ages 3-94 years, which includes a conformed, s</w:t>
      </w:r>
      <w:r>
        <w:rPr>
          <w:rFonts w:ascii="Arial" w:hAnsi="Arial" w:cs="Arial"/>
          <w:color w:val="000000"/>
          <w:sz w:val="20"/>
          <w:szCs w:val="20"/>
        </w:rPr>
        <w:t>upplemental measure of memory. </w:t>
      </w:r>
      <w:r w:rsidRPr="00FC2952">
        <w:rPr>
          <w:rFonts w:ascii="Arial" w:hAnsi="Arial" w:cs="Arial"/>
          <w:color w:val="000000"/>
          <w:sz w:val="20"/>
          <w:szCs w:val="20"/>
        </w:rPr>
        <w:t>The RIAS includes a two-subtest Verbal Intelligence Index (VIX), a two-subtest Nonverbal Intelligence Index (NIX), and a Composite Intelligence Index (CIX).  This cognitive assessment also renders a Composite Memory Index (CMX), which provides a summary estimate of verbal and nonverbal memory functions in general.</w:t>
      </w:r>
      <w:r>
        <w:rPr>
          <w:rFonts w:ascii="Arial" w:hAnsi="Arial" w:cs="Arial"/>
          <w:color w:val="000000"/>
          <w:sz w:val="20"/>
          <w:szCs w:val="20"/>
        </w:rPr>
        <w:t xml:space="preserve"> Subtest scores </w:t>
      </w:r>
      <w:proofErr w:type="gramStart"/>
      <w:r>
        <w:rPr>
          <w:rFonts w:ascii="Arial" w:hAnsi="Arial" w:cs="Arial"/>
          <w:color w:val="000000"/>
          <w:sz w:val="20"/>
          <w:szCs w:val="20"/>
        </w:rPr>
        <w:t>are reported</w:t>
      </w:r>
      <w:proofErr w:type="gramEnd"/>
      <w:r>
        <w:rPr>
          <w:rFonts w:ascii="Arial" w:hAnsi="Arial" w:cs="Arial"/>
          <w:color w:val="000000"/>
          <w:sz w:val="20"/>
          <w:szCs w:val="20"/>
        </w:rPr>
        <w:t xml:space="preserve"> as T-scores with a mean of 50 and standard deviation of 10. T-scores between 40 and 60 </w:t>
      </w:r>
      <w:proofErr w:type="gramStart"/>
      <w:r>
        <w:rPr>
          <w:rFonts w:ascii="Arial" w:hAnsi="Arial" w:cs="Arial"/>
          <w:color w:val="000000"/>
          <w:sz w:val="20"/>
          <w:szCs w:val="20"/>
        </w:rPr>
        <w:t>are considered</w:t>
      </w:r>
      <w:proofErr w:type="gramEnd"/>
      <w:r>
        <w:rPr>
          <w:rFonts w:ascii="Arial" w:hAnsi="Arial" w:cs="Arial"/>
          <w:color w:val="000000"/>
          <w:sz w:val="20"/>
          <w:szCs w:val="20"/>
        </w:rPr>
        <w:t xml:space="preserve"> to be within the Average range. Index scores </w:t>
      </w:r>
      <w:proofErr w:type="gramStart"/>
      <w:r>
        <w:rPr>
          <w:rFonts w:ascii="Arial" w:hAnsi="Arial" w:cs="Arial"/>
          <w:color w:val="000000"/>
          <w:sz w:val="20"/>
          <w:szCs w:val="20"/>
        </w:rPr>
        <w:t>are reported</w:t>
      </w:r>
      <w:proofErr w:type="gramEnd"/>
      <w:r>
        <w:rPr>
          <w:rFonts w:ascii="Arial" w:hAnsi="Arial" w:cs="Arial"/>
          <w:color w:val="000000"/>
          <w:sz w:val="20"/>
          <w:szCs w:val="20"/>
        </w:rPr>
        <w:t xml:space="preserve"> as Standard Scores with a mean of 100 and standard deviation of 15. Scores between 85 and 115 </w:t>
      </w:r>
      <w:proofErr w:type="gramStart"/>
      <w:r>
        <w:rPr>
          <w:rFonts w:ascii="Arial" w:hAnsi="Arial" w:cs="Arial"/>
          <w:color w:val="000000"/>
          <w:sz w:val="20"/>
          <w:szCs w:val="20"/>
        </w:rPr>
        <w:t>are considered</w:t>
      </w:r>
      <w:proofErr w:type="gramEnd"/>
      <w:r>
        <w:rPr>
          <w:rFonts w:ascii="Arial" w:hAnsi="Arial" w:cs="Arial"/>
          <w:color w:val="000000"/>
          <w:sz w:val="20"/>
          <w:szCs w:val="20"/>
        </w:rPr>
        <w:t xml:space="preserve"> to be within normal limits. </w:t>
      </w:r>
      <w:r>
        <w:rPr>
          <w:rFonts w:ascii="Arial" w:hAnsi="Arial" w:cs="Arial"/>
          <w:color w:val="000000"/>
          <w:sz w:val="20"/>
          <w:szCs w:val="20"/>
        </w:rPr>
        <w:t>STUDENT</w:t>
      </w:r>
      <w:r>
        <w:rPr>
          <w:rFonts w:ascii="Arial" w:hAnsi="Arial" w:cs="Arial"/>
          <w:color w:val="000000"/>
          <w:sz w:val="20"/>
          <w:szCs w:val="20"/>
        </w:rPr>
        <w:t xml:space="preserve">’s results </w:t>
      </w:r>
      <w:proofErr w:type="gramStart"/>
      <w:r>
        <w:rPr>
          <w:rFonts w:ascii="Arial" w:hAnsi="Arial" w:cs="Arial"/>
          <w:color w:val="000000"/>
          <w:sz w:val="20"/>
          <w:szCs w:val="20"/>
        </w:rPr>
        <w:t>can be found</w:t>
      </w:r>
      <w:proofErr w:type="gramEnd"/>
      <w:r>
        <w:rPr>
          <w:rFonts w:ascii="Arial" w:hAnsi="Arial" w:cs="Arial"/>
          <w:color w:val="000000"/>
          <w:sz w:val="20"/>
          <w:szCs w:val="20"/>
        </w:rPr>
        <w:t xml:space="preserve"> in the table below:</w:t>
      </w:r>
    </w:p>
    <w:p w14:paraId="7377DAC9" w14:textId="77777777" w:rsidR="002933FC" w:rsidRDefault="002933FC" w:rsidP="002933FC">
      <w:pPr>
        <w:pStyle w:val="NormalWeb"/>
        <w:spacing w:before="0" w:beforeAutospacing="0" w:after="0" w:afterAutospacing="0"/>
        <w:rPr>
          <w:rFonts w:ascii="Arial" w:hAnsi="Arial" w:cs="Arial"/>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3488"/>
        <w:gridCol w:w="1087"/>
        <w:gridCol w:w="1440"/>
        <w:gridCol w:w="2790"/>
      </w:tblGrid>
      <w:tr w:rsidR="002933FC" w:rsidRPr="00AE5C5E" w14:paraId="3ABD9618" w14:textId="77777777" w:rsidTr="005B5E82">
        <w:tc>
          <w:tcPr>
            <w:tcW w:w="3488" w:type="dxa"/>
            <w:tcBorders>
              <w:top w:val="double" w:sz="4" w:space="0" w:color="auto"/>
              <w:left w:val="double" w:sz="4" w:space="0" w:color="auto"/>
              <w:bottom w:val="double" w:sz="4" w:space="0" w:color="auto"/>
              <w:right w:val="double" w:sz="4" w:space="0" w:color="auto"/>
            </w:tcBorders>
            <w:shd w:val="clear" w:color="auto" w:fill="FFFFFF"/>
            <w:hideMark/>
          </w:tcPr>
          <w:p w14:paraId="58113A5E"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sidRPr="00AE5C5E">
              <w:rPr>
                <w:rFonts w:ascii="Times New Roman" w:eastAsia="Times New Roman" w:hAnsi="Times New Roman" w:cs="Times New Roman"/>
                <w:color w:val="212121"/>
                <w:sz w:val="24"/>
                <w:szCs w:val="24"/>
              </w:rPr>
              <w:t> </w:t>
            </w:r>
            <w:r w:rsidRPr="00AE5C5E">
              <w:rPr>
                <w:rFonts w:ascii="Times New Roman" w:eastAsia="Times New Roman" w:hAnsi="Times New Roman" w:cs="Times New Roman"/>
                <w:b/>
                <w:bCs/>
                <w:color w:val="212121"/>
                <w:sz w:val="24"/>
                <w:szCs w:val="24"/>
              </w:rPr>
              <w:t>Subtest</w:t>
            </w:r>
          </w:p>
        </w:tc>
        <w:tc>
          <w:tcPr>
            <w:tcW w:w="1087" w:type="dxa"/>
            <w:tcBorders>
              <w:top w:val="double" w:sz="4" w:space="0" w:color="auto"/>
              <w:left w:val="nil"/>
              <w:bottom w:val="double" w:sz="4" w:space="0" w:color="auto"/>
              <w:right w:val="double" w:sz="4" w:space="0" w:color="auto"/>
            </w:tcBorders>
            <w:shd w:val="clear" w:color="auto" w:fill="FFFFFF"/>
            <w:hideMark/>
          </w:tcPr>
          <w:p w14:paraId="27F910FA"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sidRPr="00AE5C5E">
              <w:rPr>
                <w:rFonts w:ascii="Times New Roman" w:eastAsia="Times New Roman" w:hAnsi="Times New Roman" w:cs="Times New Roman"/>
                <w:b/>
                <w:bCs/>
                <w:color w:val="212121"/>
                <w:sz w:val="24"/>
                <w:szCs w:val="24"/>
              </w:rPr>
              <w:t>T</w:t>
            </w:r>
            <w:r>
              <w:rPr>
                <w:rFonts w:ascii="Times New Roman" w:eastAsia="Times New Roman" w:hAnsi="Times New Roman" w:cs="Times New Roman"/>
                <w:b/>
                <w:bCs/>
                <w:color w:val="212121"/>
                <w:sz w:val="24"/>
                <w:szCs w:val="24"/>
              </w:rPr>
              <w:t>-</w:t>
            </w:r>
            <w:r w:rsidRPr="00AE5C5E">
              <w:rPr>
                <w:rFonts w:ascii="Times New Roman" w:eastAsia="Times New Roman" w:hAnsi="Times New Roman" w:cs="Times New Roman"/>
                <w:b/>
                <w:bCs/>
                <w:color w:val="212121"/>
                <w:sz w:val="24"/>
                <w:szCs w:val="24"/>
              </w:rPr>
              <w:t>S</w:t>
            </w:r>
            <w:r>
              <w:rPr>
                <w:rFonts w:ascii="Times New Roman" w:eastAsia="Times New Roman" w:hAnsi="Times New Roman" w:cs="Times New Roman"/>
                <w:b/>
                <w:bCs/>
                <w:color w:val="212121"/>
                <w:sz w:val="24"/>
                <w:szCs w:val="24"/>
              </w:rPr>
              <w:t>core</w:t>
            </w:r>
          </w:p>
        </w:tc>
        <w:tc>
          <w:tcPr>
            <w:tcW w:w="1440" w:type="dxa"/>
            <w:tcBorders>
              <w:top w:val="double" w:sz="4" w:space="0" w:color="auto"/>
              <w:left w:val="nil"/>
              <w:bottom w:val="double" w:sz="4" w:space="0" w:color="auto"/>
              <w:right w:val="double" w:sz="4" w:space="0" w:color="auto"/>
            </w:tcBorders>
            <w:shd w:val="clear" w:color="auto" w:fill="FFFFFF"/>
            <w:hideMark/>
          </w:tcPr>
          <w:p w14:paraId="190CFEB8"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sidRPr="00AE5C5E">
              <w:rPr>
                <w:rFonts w:ascii="Times New Roman" w:eastAsia="Times New Roman" w:hAnsi="Times New Roman" w:cs="Times New Roman"/>
                <w:b/>
                <w:bCs/>
                <w:color w:val="212121"/>
                <w:sz w:val="24"/>
                <w:szCs w:val="24"/>
              </w:rPr>
              <w:t>S</w:t>
            </w:r>
            <w:r>
              <w:rPr>
                <w:rFonts w:ascii="Times New Roman" w:eastAsia="Times New Roman" w:hAnsi="Times New Roman" w:cs="Times New Roman"/>
                <w:b/>
                <w:bCs/>
                <w:color w:val="212121"/>
                <w:sz w:val="24"/>
                <w:szCs w:val="24"/>
              </w:rPr>
              <w:t xml:space="preserve">tandard </w:t>
            </w:r>
            <w:r w:rsidRPr="00AE5C5E">
              <w:rPr>
                <w:rFonts w:ascii="Times New Roman" w:eastAsia="Times New Roman" w:hAnsi="Times New Roman" w:cs="Times New Roman"/>
                <w:b/>
                <w:bCs/>
                <w:color w:val="212121"/>
                <w:sz w:val="24"/>
                <w:szCs w:val="24"/>
              </w:rPr>
              <w:t>S</w:t>
            </w:r>
            <w:r>
              <w:rPr>
                <w:rFonts w:ascii="Times New Roman" w:eastAsia="Times New Roman" w:hAnsi="Times New Roman" w:cs="Times New Roman"/>
                <w:b/>
                <w:bCs/>
                <w:color w:val="212121"/>
                <w:sz w:val="24"/>
                <w:szCs w:val="24"/>
              </w:rPr>
              <w:t>core</w:t>
            </w:r>
          </w:p>
        </w:tc>
        <w:tc>
          <w:tcPr>
            <w:tcW w:w="2790" w:type="dxa"/>
            <w:tcBorders>
              <w:top w:val="double" w:sz="4" w:space="0" w:color="auto"/>
              <w:left w:val="nil"/>
              <w:bottom w:val="double" w:sz="4" w:space="0" w:color="auto"/>
              <w:right w:val="double" w:sz="4" w:space="0" w:color="auto"/>
            </w:tcBorders>
            <w:shd w:val="clear" w:color="auto" w:fill="FFFFFF"/>
            <w:hideMark/>
          </w:tcPr>
          <w:p w14:paraId="22949FA7"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Pr>
                <w:rFonts w:ascii="Times New Roman" w:eastAsia="Times New Roman" w:hAnsi="Times New Roman" w:cs="Times New Roman"/>
                <w:b/>
                <w:bCs/>
                <w:color w:val="212121"/>
                <w:sz w:val="24"/>
                <w:szCs w:val="24"/>
              </w:rPr>
              <w:t>Descriptor</w:t>
            </w:r>
          </w:p>
        </w:tc>
      </w:tr>
      <w:tr w:rsidR="002933FC" w:rsidRPr="00AE5C5E" w14:paraId="07DB041B" w14:textId="77777777" w:rsidTr="005B5E82">
        <w:tc>
          <w:tcPr>
            <w:tcW w:w="3488" w:type="dxa"/>
            <w:tcBorders>
              <w:top w:val="nil"/>
              <w:left w:val="double" w:sz="4" w:space="0" w:color="auto"/>
              <w:bottom w:val="single" w:sz="8" w:space="0" w:color="auto"/>
              <w:right w:val="single" w:sz="8" w:space="0" w:color="auto"/>
            </w:tcBorders>
            <w:shd w:val="clear" w:color="auto" w:fill="FFFFFF"/>
            <w:hideMark/>
          </w:tcPr>
          <w:p w14:paraId="1633FB0D"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sidRPr="00AE5C5E">
              <w:rPr>
                <w:rFonts w:ascii="Times New Roman" w:eastAsia="Times New Roman" w:hAnsi="Times New Roman" w:cs="Times New Roman"/>
                <w:color w:val="212121"/>
                <w:sz w:val="24"/>
                <w:szCs w:val="24"/>
              </w:rPr>
              <w:t>Guess What</w:t>
            </w:r>
          </w:p>
        </w:tc>
        <w:tc>
          <w:tcPr>
            <w:tcW w:w="1087" w:type="dxa"/>
            <w:tcBorders>
              <w:top w:val="nil"/>
              <w:left w:val="nil"/>
              <w:bottom w:val="single" w:sz="8" w:space="0" w:color="auto"/>
              <w:right w:val="single" w:sz="8" w:space="0" w:color="auto"/>
            </w:tcBorders>
            <w:shd w:val="clear" w:color="auto" w:fill="FFFFFF"/>
            <w:hideMark/>
          </w:tcPr>
          <w:p w14:paraId="6332DD83"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sidRPr="00AE5C5E">
              <w:rPr>
                <w:rFonts w:ascii="Times New Roman" w:eastAsia="Times New Roman" w:hAnsi="Times New Roman" w:cs="Times New Roman"/>
                <w:color w:val="212121"/>
                <w:sz w:val="24"/>
                <w:szCs w:val="24"/>
              </w:rPr>
              <w:t> </w:t>
            </w:r>
            <w:r>
              <w:rPr>
                <w:rFonts w:ascii="Times New Roman" w:eastAsia="Times New Roman" w:hAnsi="Times New Roman" w:cs="Times New Roman"/>
                <w:color w:val="212121"/>
                <w:sz w:val="24"/>
                <w:szCs w:val="24"/>
              </w:rPr>
              <w:t>No score</w:t>
            </w:r>
          </w:p>
        </w:tc>
        <w:tc>
          <w:tcPr>
            <w:tcW w:w="1440" w:type="dxa"/>
            <w:tcBorders>
              <w:top w:val="nil"/>
              <w:left w:val="nil"/>
              <w:bottom w:val="single" w:sz="8" w:space="0" w:color="auto"/>
              <w:right w:val="single" w:sz="8" w:space="0" w:color="auto"/>
            </w:tcBorders>
            <w:shd w:val="clear" w:color="auto" w:fill="BFBFBF" w:themeFill="background1" w:themeFillShade="BF"/>
            <w:hideMark/>
          </w:tcPr>
          <w:p w14:paraId="3168E8D8"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sidRPr="00AE5C5E">
              <w:rPr>
                <w:rFonts w:ascii="Times New Roman" w:eastAsia="Times New Roman" w:hAnsi="Times New Roman" w:cs="Times New Roman"/>
                <w:color w:val="212121"/>
                <w:sz w:val="24"/>
                <w:szCs w:val="24"/>
              </w:rPr>
              <w:t> </w:t>
            </w:r>
          </w:p>
        </w:tc>
        <w:tc>
          <w:tcPr>
            <w:tcW w:w="2790" w:type="dxa"/>
            <w:tcBorders>
              <w:top w:val="nil"/>
              <w:left w:val="nil"/>
              <w:bottom w:val="single" w:sz="8" w:space="0" w:color="auto"/>
              <w:right w:val="double" w:sz="4" w:space="0" w:color="auto"/>
            </w:tcBorders>
            <w:shd w:val="clear" w:color="auto" w:fill="FFFFFF"/>
            <w:hideMark/>
          </w:tcPr>
          <w:p w14:paraId="20B982C8"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sidRPr="00AE5C5E">
              <w:rPr>
                <w:rFonts w:ascii="Times New Roman" w:eastAsia="Times New Roman" w:hAnsi="Times New Roman" w:cs="Times New Roman"/>
                <w:color w:val="212121"/>
                <w:sz w:val="24"/>
                <w:szCs w:val="24"/>
              </w:rPr>
              <w:t> </w:t>
            </w:r>
            <w:r>
              <w:rPr>
                <w:rFonts w:ascii="Times New Roman" w:eastAsia="Times New Roman" w:hAnsi="Times New Roman" w:cs="Times New Roman"/>
                <w:color w:val="212121"/>
                <w:sz w:val="24"/>
                <w:szCs w:val="24"/>
              </w:rPr>
              <w:t>No Score</w:t>
            </w:r>
          </w:p>
        </w:tc>
      </w:tr>
      <w:tr w:rsidR="002933FC" w:rsidRPr="00AE5C5E" w14:paraId="7F2EEEF2" w14:textId="77777777" w:rsidTr="005B5E82">
        <w:tc>
          <w:tcPr>
            <w:tcW w:w="3488" w:type="dxa"/>
            <w:tcBorders>
              <w:top w:val="nil"/>
              <w:left w:val="double" w:sz="4" w:space="0" w:color="auto"/>
              <w:bottom w:val="double" w:sz="4" w:space="0" w:color="auto"/>
              <w:right w:val="single" w:sz="8" w:space="0" w:color="auto"/>
            </w:tcBorders>
            <w:shd w:val="clear" w:color="auto" w:fill="FFFFFF"/>
            <w:hideMark/>
          </w:tcPr>
          <w:p w14:paraId="7839444A"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sidRPr="00AE5C5E">
              <w:rPr>
                <w:rFonts w:ascii="Times New Roman" w:eastAsia="Times New Roman" w:hAnsi="Times New Roman" w:cs="Times New Roman"/>
                <w:color w:val="212121"/>
                <w:sz w:val="24"/>
                <w:szCs w:val="24"/>
              </w:rPr>
              <w:t>Verbal Reasoning</w:t>
            </w:r>
          </w:p>
        </w:tc>
        <w:tc>
          <w:tcPr>
            <w:tcW w:w="1087" w:type="dxa"/>
            <w:tcBorders>
              <w:top w:val="nil"/>
              <w:left w:val="nil"/>
              <w:bottom w:val="double" w:sz="4" w:space="0" w:color="auto"/>
              <w:right w:val="single" w:sz="8" w:space="0" w:color="auto"/>
            </w:tcBorders>
            <w:shd w:val="clear" w:color="auto" w:fill="FFFFFF"/>
            <w:hideMark/>
          </w:tcPr>
          <w:p w14:paraId="47FDCBD6"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Pr>
                <w:rFonts w:ascii="Times New Roman" w:eastAsia="Times New Roman" w:hAnsi="Times New Roman" w:cs="Times New Roman"/>
                <w:color w:val="212121"/>
                <w:sz w:val="24"/>
                <w:szCs w:val="24"/>
              </w:rPr>
              <w:t>No Score</w:t>
            </w:r>
          </w:p>
        </w:tc>
        <w:tc>
          <w:tcPr>
            <w:tcW w:w="1440" w:type="dxa"/>
            <w:tcBorders>
              <w:top w:val="nil"/>
              <w:left w:val="nil"/>
              <w:bottom w:val="double" w:sz="4" w:space="0" w:color="auto"/>
              <w:right w:val="single" w:sz="8" w:space="0" w:color="auto"/>
            </w:tcBorders>
            <w:shd w:val="clear" w:color="auto" w:fill="BFBFBF" w:themeFill="background1" w:themeFillShade="BF"/>
            <w:hideMark/>
          </w:tcPr>
          <w:p w14:paraId="6E819B71"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sidRPr="00AE5C5E">
              <w:rPr>
                <w:rFonts w:ascii="Times New Roman" w:eastAsia="Times New Roman" w:hAnsi="Times New Roman" w:cs="Times New Roman"/>
                <w:color w:val="212121"/>
                <w:sz w:val="24"/>
                <w:szCs w:val="24"/>
              </w:rPr>
              <w:t> </w:t>
            </w:r>
          </w:p>
        </w:tc>
        <w:tc>
          <w:tcPr>
            <w:tcW w:w="2790" w:type="dxa"/>
            <w:tcBorders>
              <w:top w:val="nil"/>
              <w:left w:val="nil"/>
              <w:bottom w:val="double" w:sz="4" w:space="0" w:color="auto"/>
              <w:right w:val="double" w:sz="4" w:space="0" w:color="auto"/>
            </w:tcBorders>
            <w:shd w:val="clear" w:color="auto" w:fill="FFFFFF"/>
            <w:hideMark/>
          </w:tcPr>
          <w:p w14:paraId="7D3541EC"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sidRPr="00AE5C5E">
              <w:rPr>
                <w:rFonts w:ascii="Times New Roman" w:eastAsia="Times New Roman" w:hAnsi="Times New Roman" w:cs="Times New Roman"/>
                <w:color w:val="212121"/>
                <w:sz w:val="24"/>
                <w:szCs w:val="24"/>
              </w:rPr>
              <w:t> </w:t>
            </w:r>
            <w:r>
              <w:rPr>
                <w:rFonts w:ascii="Times New Roman" w:eastAsia="Times New Roman" w:hAnsi="Times New Roman" w:cs="Times New Roman"/>
                <w:color w:val="212121"/>
                <w:sz w:val="24"/>
                <w:szCs w:val="24"/>
              </w:rPr>
              <w:t>No Score</w:t>
            </w:r>
          </w:p>
        </w:tc>
      </w:tr>
      <w:tr w:rsidR="002933FC" w:rsidRPr="00AE5C5E" w14:paraId="6545DBCE" w14:textId="77777777" w:rsidTr="005B5E82">
        <w:tc>
          <w:tcPr>
            <w:tcW w:w="3488" w:type="dxa"/>
            <w:tcBorders>
              <w:top w:val="nil"/>
              <w:left w:val="double" w:sz="4" w:space="0" w:color="auto"/>
              <w:bottom w:val="double" w:sz="4" w:space="0" w:color="auto"/>
              <w:right w:val="single" w:sz="8" w:space="0" w:color="auto"/>
            </w:tcBorders>
            <w:shd w:val="clear" w:color="auto" w:fill="FFFFFF"/>
            <w:hideMark/>
          </w:tcPr>
          <w:p w14:paraId="4691AFA0"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sidRPr="00AE5C5E">
              <w:rPr>
                <w:rFonts w:ascii="Times New Roman" w:eastAsia="Times New Roman" w:hAnsi="Times New Roman" w:cs="Times New Roman"/>
                <w:color w:val="212121"/>
                <w:sz w:val="24"/>
                <w:szCs w:val="24"/>
              </w:rPr>
              <w:t>Verbal Intelligence Index</w:t>
            </w:r>
          </w:p>
        </w:tc>
        <w:tc>
          <w:tcPr>
            <w:tcW w:w="1087" w:type="dxa"/>
            <w:tcBorders>
              <w:top w:val="nil"/>
              <w:left w:val="nil"/>
              <w:bottom w:val="double" w:sz="4" w:space="0" w:color="auto"/>
              <w:right w:val="single" w:sz="8" w:space="0" w:color="auto"/>
            </w:tcBorders>
            <w:shd w:val="clear" w:color="auto" w:fill="BFBFBF" w:themeFill="background1" w:themeFillShade="BF"/>
            <w:hideMark/>
          </w:tcPr>
          <w:p w14:paraId="5E0B74C0"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sidRPr="00AE5C5E">
              <w:rPr>
                <w:rFonts w:ascii="Times New Roman" w:eastAsia="Times New Roman" w:hAnsi="Times New Roman" w:cs="Times New Roman"/>
                <w:color w:val="212121"/>
                <w:sz w:val="24"/>
                <w:szCs w:val="24"/>
              </w:rPr>
              <w:t> </w:t>
            </w:r>
          </w:p>
        </w:tc>
        <w:tc>
          <w:tcPr>
            <w:tcW w:w="1440" w:type="dxa"/>
            <w:tcBorders>
              <w:top w:val="nil"/>
              <w:left w:val="nil"/>
              <w:bottom w:val="double" w:sz="4" w:space="0" w:color="auto"/>
              <w:right w:val="single" w:sz="8" w:space="0" w:color="auto"/>
            </w:tcBorders>
            <w:shd w:val="clear" w:color="auto" w:fill="FFFFFF"/>
            <w:hideMark/>
          </w:tcPr>
          <w:p w14:paraId="788ACB9A"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Pr>
                <w:rFonts w:ascii="Times New Roman" w:eastAsia="Times New Roman" w:hAnsi="Times New Roman" w:cs="Times New Roman"/>
                <w:color w:val="212121"/>
                <w:sz w:val="24"/>
                <w:szCs w:val="24"/>
              </w:rPr>
              <w:t>No score</w:t>
            </w:r>
          </w:p>
        </w:tc>
        <w:tc>
          <w:tcPr>
            <w:tcW w:w="2790" w:type="dxa"/>
            <w:tcBorders>
              <w:top w:val="nil"/>
              <w:left w:val="nil"/>
              <w:bottom w:val="double" w:sz="4" w:space="0" w:color="auto"/>
              <w:right w:val="double" w:sz="4" w:space="0" w:color="auto"/>
            </w:tcBorders>
            <w:shd w:val="clear" w:color="auto" w:fill="FFFFFF"/>
            <w:hideMark/>
          </w:tcPr>
          <w:p w14:paraId="7FB1DBB0"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sidRPr="00AE5C5E">
              <w:rPr>
                <w:rFonts w:ascii="Times New Roman" w:eastAsia="Times New Roman" w:hAnsi="Times New Roman" w:cs="Times New Roman"/>
                <w:color w:val="212121"/>
                <w:sz w:val="24"/>
                <w:szCs w:val="24"/>
              </w:rPr>
              <w:t> </w:t>
            </w:r>
            <w:r>
              <w:rPr>
                <w:rFonts w:ascii="Times New Roman" w:eastAsia="Times New Roman" w:hAnsi="Times New Roman" w:cs="Times New Roman"/>
                <w:color w:val="212121"/>
                <w:sz w:val="24"/>
                <w:szCs w:val="24"/>
              </w:rPr>
              <w:t>No Score</w:t>
            </w:r>
          </w:p>
        </w:tc>
      </w:tr>
      <w:tr w:rsidR="002933FC" w:rsidRPr="00AE5C5E" w14:paraId="38C512B6" w14:textId="77777777" w:rsidTr="005B5E82">
        <w:tc>
          <w:tcPr>
            <w:tcW w:w="3488" w:type="dxa"/>
            <w:tcBorders>
              <w:top w:val="nil"/>
              <w:left w:val="double" w:sz="4" w:space="0" w:color="auto"/>
              <w:bottom w:val="single" w:sz="8" w:space="0" w:color="auto"/>
              <w:right w:val="single" w:sz="8" w:space="0" w:color="auto"/>
            </w:tcBorders>
            <w:shd w:val="clear" w:color="auto" w:fill="FFFFFF"/>
            <w:hideMark/>
          </w:tcPr>
          <w:p w14:paraId="440E6B31"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sidRPr="00AE5C5E">
              <w:rPr>
                <w:rFonts w:ascii="Times New Roman" w:eastAsia="Times New Roman" w:hAnsi="Times New Roman" w:cs="Times New Roman"/>
                <w:color w:val="212121"/>
                <w:sz w:val="24"/>
                <w:szCs w:val="24"/>
              </w:rPr>
              <w:t>Odd-Item Out</w:t>
            </w:r>
          </w:p>
        </w:tc>
        <w:tc>
          <w:tcPr>
            <w:tcW w:w="1087" w:type="dxa"/>
            <w:tcBorders>
              <w:top w:val="nil"/>
              <w:left w:val="nil"/>
              <w:bottom w:val="single" w:sz="8" w:space="0" w:color="auto"/>
              <w:right w:val="single" w:sz="8" w:space="0" w:color="auto"/>
            </w:tcBorders>
            <w:shd w:val="clear" w:color="auto" w:fill="FFFFFF"/>
            <w:hideMark/>
          </w:tcPr>
          <w:p w14:paraId="78330C37"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Pr>
                <w:rFonts w:ascii="Times New Roman" w:eastAsia="Times New Roman" w:hAnsi="Times New Roman" w:cs="Times New Roman"/>
                <w:color w:val="212121"/>
                <w:sz w:val="24"/>
                <w:szCs w:val="24"/>
              </w:rPr>
              <w:t>16</w:t>
            </w:r>
          </w:p>
        </w:tc>
        <w:tc>
          <w:tcPr>
            <w:tcW w:w="1440" w:type="dxa"/>
            <w:tcBorders>
              <w:top w:val="nil"/>
              <w:left w:val="nil"/>
              <w:bottom w:val="single" w:sz="8" w:space="0" w:color="auto"/>
              <w:right w:val="single" w:sz="8" w:space="0" w:color="auto"/>
            </w:tcBorders>
            <w:shd w:val="clear" w:color="auto" w:fill="BFBFBF" w:themeFill="background1" w:themeFillShade="BF"/>
            <w:hideMark/>
          </w:tcPr>
          <w:p w14:paraId="59689CE1"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sidRPr="00AE5C5E">
              <w:rPr>
                <w:rFonts w:ascii="Times New Roman" w:eastAsia="Times New Roman" w:hAnsi="Times New Roman" w:cs="Times New Roman"/>
                <w:color w:val="212121"/>
                <w:sz w:val="24"/>
                <w:szCs w:val="24"/>
              </w:rPr>
              <w:t> </w:t>
            </w:r>
          </w:p>
        </w:tc>
        <w:tc>
          <w:tcPr>
            <w:tcW w:w="2790" w:type="dxa"/>
            <w:tcBorders>
              <w:top w:val="nil"/>
              <w:left w:val="nil"/>
              <w:bottom w:val="single" w:sz="8" w:space="0" w:color="auto"/>
              <w:right w:val="double" w:sz="4" w:space="0" w:color="auto"/>
            </w:tcBorders>
            <w:shd w:val="clear" w:color="auto" w:fill="FFFFFF"/>
            <w:hideMark/>
          </w:tcPr>
          <w:p w14:paraId="1D574A2B"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Pr>
                <w:rFonts w:ascii="Times New Roman" w:eastAsia="Times New Roman" w:hAnsi="Times New Roman" w:cs="Times New Roman"/>
                <w:color w:val="212121"/>
                <w:sz w:val="24"/>
                <w:szCs w:val="24"/>
              </w:rPr>
              <w:t>Extremely Below Average</w:t>
            </w:r>
          </w:p>
        </w:tc>
      </w:tr>
      <w:tr w:rsidR="002933FC" w:rsidRPr="00AE5C5E" w14:paraId="1EE54585" w14:textId="77777777" w:rsidTr="005B5E82">
        <w:tc>
          <w:tcPr>
            <w:tcW w:w="3488" w:type="dxa"/>
            <w:tcBorders>
              <w:top w:val="nil"/>
              <w:left w:val="double" w:sz="4" w:space="0" w:color="auto"/>
              <w:bottom w:val="double" w:sz="4" w:space="0" w:color="auto"/>
              <w:right w:val="single" w:sz="8" w:space="0" w:color="auto"/>
            </w:tcBorders>
            <w:shd w:val="clear" w:color="auto" w:fill="FFFFFF"/>
            <w:hideMark/>
          </w:tcPr>
          <w:p w14:paraId="7B6BA7B4"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sidRPr="00AE5C5E">
              <w:rPr>
                <w:rFonts w:ascii="Times New Roman" w:eastAsia="Times New Roman" w:hAnsi="Times New Roman" w:cs="Times New Roman"/>
                <w:color w:val="212121"/>
                <w:sz w:val="24"/>
                <w:szCs w:val="24"/>
              </w:rPr>
              <w:t>What's Missing</w:t>
            </w:r>
          </w:p>
        </w:tc>
        <w:tc>
          <w:tcPr>
            <w:tcW w:w="1087" w:type="dxa"/>
            <w:tcBorders>
              <w:top w:val="nil"/>
              <w:left w:val="nil"/>
              <w:bottom w:val="double" w:sz="4" w:space="0" w:color="auto"/>
              <w:right w:val="single" w:sz="8" w:space="0" w:color="auto"/>
            </w:tcBorders>
            <w:shd w:val="clear" w:color="auto" w:fill="FFFFFF"/>
            <w:hideMark/>
          </w:tcPr>
          <w:p w14:paraId="6C0DB18E"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Pr>
                <w:rFonts w:ascii="Times New Roman" w:eastAsia="Times New Roman" w:hAnsi="Times New Roman" w:cs="Times New Roman"/>
                <w:color w:val="212121"/>
                <w:sz w:val="24"/>
                <w:szCs w:val="24"/>
              </w:rPr>
              <w:t>19</w:t>
            </w:r>
          </w:p>
        </w:tc>
        <w:tc>
          <w:tcPr>
            <w:tcW w:w="1440" w:type="dxa"/>
            <w:tcBorders>
              <w:top w:val="nil"/>
              <w:left w:val="nil"/>
              <w:bottom w:val="double" w:sz="4" w:space="0" w:color="auto"/>
              <w:right w:val="single" w:sz="8" w:space="0" w:color="auto"/>
            </w:tcBorders>
            <w:shd w:val="clear" w:color="auto" w:fill="BFBFBF" w:themeFill="background1" w:themeFillShade="BF"/>
            <w:hideMark/>
          </w:tcPr>
          <w:p w14:paraId="64617684"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sidRPr="00AE5C5E">
              <w:rPr>
                <w:rFonts w:ascii="Times New Roman" w:eastAsia="Times New Roman" w:hAnsi="Times New Roman" w:cs="Times New Roman"/>
                <w:color w:val="212121"/>
                <w:sz w:val="24"/>
                <w:szCs w:val="24"/>
              </w:rPr>
              <w:t> </w:t>
            </w:r>
          </w:p>
        </w:tc>
        <w:tc>
          <w:tcPr>
            <w:tcW w:w="2790" w:type="dxa"/>
            <w:tcBorders>
              <w:top w:val="nil"/>
              <w:left w:val="nil"/>
              <w:bottom w:val="double" w:sz="4" w:space="0" w:color="auto"/>
              <w:right w:val="double" w:sz="4" w:space="0" w:color="auto"/>
            </w:tcBorders>
            <w:shd w:val="clear" w:color="auto" w:fill="FFFFFF"/>
            <w:hideMark/>
          </w:tcPr>
          <w:p w14:paraId="0A0C8F61"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Pr>
                <w:rFonts w:ascii="Times New Roman" w:eastAsia="Times New Roman" w:hAnsi="Times New Roman" w:cs="Times New Roman"/>
                <w:color w:val="212121"/>
                <w:sz w:val="24"/>
                <w:szCs w:val="24"/>
              </w:rPr>
              <w:t>Extremely Below Average</w:t>
            </w:r>
          </w:p>
        </w:tc>
      </w:tr>
      <w:tr w:rsidR="002933FC" w:rsidRPr="00AE5C5E" w14:paraId="78339332" w14:textId="77777777" w:rsidTr="005B5E82">
        <w:tc>
          <w:tcPr>
            <w:tcW w:w="3488" w:type="dxa"/>
            <w:tcBorders>
              <w:top w:val="nil"/>
              <w:left w:val="double" w:sz="4" w:space="0" w:color="auto"/>
              <w:bottom w:val="double" w:sz="4" w:space="0" w:color="auto"/>
              <w:right w:val="single" w:sz="8" w:space="0" w:color="auto"/>
            </w:tcBorders>
            <w:shd w:val="clear" w:color="auto" w:fill="FFFFFF"/>
            <w:hideMark/>
          </w:tcPr>
          <w:p w14:paraId="5CA8CB84"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sidRPr="00AE5C5E">
              <w:rPr>
                <w:rFonts w:ascii="Times New Roman" w:eastAsia="Times New Roman" w:hAnsi="Times New Roman" w:cs="Times New Roman"/>
                <w:color w:val="212121"/>
                <w:sz w:val="24"/>
                <w:szCs w:val="24"/>
              </w:rPr>
              <w:t>Nonverbal Intelligence Index</w:t>
            </w:r>
          </w:p>
        </w:tc>
        <w:tc>
          <w:tcPr>
            <w:tcW w:w="1087" w:type="dxa"/>
            <w:tcBorders>
              <w:top w:val="nil"/>
              <w:left w:val="nil"/>
              <w:bottom w:val="double" w:sz="4" w:space="0" w:color="auto"/>
              <w:right w:val="single" w:sz="8" w:space="0" w:color="auto"/>
            </w:tcBorders>
            <w:shd w:val="clear" w:color="auto" w:fill="BFBFBF" w:themeFill="background1" w:themeFillShade="BF"/>
            <w:hideMark/>
          </w:tcPr>
          <w:p w14:paraId="52947CBD"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sidRPr="00AE5C5E">
              <w:rPr>
                <w:rFonts w:ascii="Times New Roman" w:eastAsia="Times New Roman" w:hAnsi="Times New Roman" w:cs="Times New Roman"/>
                <w:color w:val="212121"/>
                <w:sz w:val="24"/>
                <w:szCs w:val="24"/>
              </w:rPr>
              <w:t> </w:t>
            </w:r>
          </w:p>
        </w:tc>
        <w:tc>
          <w:tcPr>
            <w:tcW w:w="1440" w:type="dxa"/>
            <w:tcBorders>
              <w:top w:val="nil"/>
              <w:left w:val="nil"/>
              <w:bottom w:val="double" w:sz="4" w:space="0" w:color="auto"/>
              <w:right w:val="single" w:sz="8" w:space="0" w:color="auto"/>
            </w:tcBorders>
            <w:shd w:val="clear" w:color="auto" w:fill="FFFFFF"/>
            <w:hideMark/>
          </w:tcPr>
          <w:p w14:paraId="25824D2E"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Pr>
                <w:rFonts w:ascii="Times New Roman" w:eastAsia="Times New Roman" w:hAnsi="Times New Roman" w:cs="Times New Roman"/>
                <w:color w:val="212121"/>
                <w:sz w:val="24"/>
                <w:szCs w:val="24"/>
              </w:rPr>
              <w:t>48</w:t>
            </w:r>
          </w:p>
        </w:tc>
        <w:tc>
          <w:tcPr>
            <w:tcW w:w="2790" w:type="dxa"/>
            <w:tcBorders>
              <w:top w:val="nil"/>
              <w:left w:val="nil"/>
              <w:bottom w:val="double" w:sz="4" w:space="0" w:color="auto"/>
              <w:right w:val="double" w:sz="4" w:space="0" w:color="auto"/>
            </w:tcBorders>
            <w:shd w:val="clear" w:color="auto" w:fill="FFFFFF"/>
            <w:hideMark/>
          </w:tcPr>
          <w:p w14:paraId="12D7B47B" w14:textId="77777777" w:rsidR="002933FC" w:rsidRPr="00AE5C5E" w:rsidRDefault="002933FC" w:rsidP="005B5E82">
            <w:pPr>
              <w:spacing w:after="0" w:line="240" w:lineRule="auto"/>
              <w:jc w:val="center"/>
              <w:rPr>
                <w:rFonts w:ascii="Segoe UI" w:eastAsia="Times New Roman" w:hAnsi="Segoe UI" w:cs="Segoe UI"/>
                <w:color w:val="212121"/>
                <w:sz w:val="23"/>
                <w:szCs w:val="23"/>
              </w:rPr>
            </w:pPr>
            <w:r>
              <w:rPr>
                <w:rFonts w:ascii="Times New Roman" w:eastAsia="Times New Roman" w:hAnsi="Times New Roman" w:cs="Times New Roman"/>
                <w:color w:val="212121"/>
                <w:sz w:val="24"/>
                <w:szCs w:val="24"/>
              </w:rPr>
              <w:t>Extremely Below Average</w:t>
            </w:r>
          </w:p>
        </w:tc>
      </w:tr>
    </w:tbl>
    <w:p w14:paraId="6DA2CE10" w14:textId="77777777" w:rsidR="002933FC" w:rsidRDefault="002933FC" w:rsidP="002933FC">
      <w:pPr>
        <w:spacing w:after="0" w:line="240" w:lineRule="auto"/>
        <w:rPr>
          <w:rFonts w:ascii="Arial" w:hAnsi="Arial" w:cs="Arial"/>
          <w:iCs/>
          <w:color w:val="000000"/>
          <w:sz w:val="20"/>
          <w:szCs w:val="20"/>
        </w:rPr>
      </w:pPr>
    </w:p>
    <w:p w14:paraId="19C8210B" w14:textId="77777777" w:rsidR="002933FC" w:rsidRPr="00B5581A" w:rsidRDefault="002933FC" w:rsidP="002933FC">
      <w:pPr>
        <w:spacing w:after="0" w:line="240" w:lineRule="auto"/>
        <w:rPr>
          <w:rFonts w:ascii="Arial" w:hAnsi="Arial" w:cs="Arial"/>
          <w:color w:val="000000"/>
          <w:sz w:val="20"/>
          <w:szCs w:val="20"/>
        </w:rPr>
      </w:pPr>
      <w:r w:rsidRPr="00B5581A">
        <w:rPr>
          <w:rFonts w:ascii="Arial" w:hAnsi="Arial" w:cs="Arial"/>
          <w:iCs/>
          <w:color w:val="000000"/>
          <w:sz w:val="20"/>
          <w:szCs w:val="20"/>
        </w:rPr>
        <w:t>The Verbal Intelligence Index (VIX)</w:t>
      </w:r>
      <w:r w:rsidRPr="00B5581A">
        <w:rPr>
          <w:rFonts w:ascii="Arial" w:hAnsi="Arial" w:cs="Arial"/>
          <w:color w:val="000000"/>
          <w:sz w:val="20"/>
          <w:szCs w:val="20"/>
        </w:rPr>
        <w:t xml:space="preserve"> provides a summary estimate of verbal intelligence as assessed by verbal reasoning.</w:t>
      </w:r>
      <w:r>
        <w:rPr>
          <w:rFonts w:ascii="Arial" w:hAnsi="Arial" w:cs="Arial"/>
          <w:color w:val="000000"/>
          <w:sz w:val="20"/>
          <w:szCs w:val="20"/>
        </w:rPr>
        <w:t xml:space="preserve"> It reflects the cognitive ability area of Crystalized Intelligence (</w:t>
      </w:r>
      <w:proofErr w:type="spellStart"/>
      <w:proofErr w:type="gramStart"/>
      <w:r>
        <w:rPr>
          <w:rFonts w:ascii="Arial" w:hAnsi="Arial" w:cs="Arial"/>
          <w:color w:val="000000"/>
          <w:sz w:val="20"/>
          <w:szCs w:val="20"/>
        </w:rPr>
        <w:t>Gc</w:t>
      </w:r>
      <w:proofErr w:type="spellEnd"/>
      <w:proofErr w:type="gramEnd"/>
      <w:r>
        <w:rPr>
          <w:rFonts w:ascii="Arial" w:hAnsi="Arial" w:cs="Arial"/>
          <w:color w:val="000000"/>
          <w:sz w:val="20"/>
          <w:szCs w:val="20"/>
        </w:rPr>
        <w:t>), which is the depth and breadth of knowledge and skills that are valued by one’s culture. Two subtests are administered</w:t>
      </w:r>
      <w:r w:rsidRPr="00B5581A">
        <w:rPr>
          <w:rFonts w:ascii="Arial" w:hAnsi="Arial" w:cs="Arial"/>
          <w:color w:val="000000"/>
          <w:sz w:val="20"/>
          <w:szCs w:val="20"/>
        </w:rPr>
        <w:t xml:space="preserve"> to derive this score: Guess </w:t>
      </w:r>
      <w:proofErr w:type="gramStart"/>
      <w:r w:rsidRPr="00B5581A">
        <w:rPr>
          <w:rFonts w:ascii="Arial" w:hAnsi="Arial" w:cs="Arial"/>
          <w:color w:val="000000"/>
          <w:sz w:val="20"/>
          <w:szCs w:val="20"/>
        </w:rPr>
        <w:t>What</w:t>
      </w:r>
      <w:proofErr w:type="gramEnd"/>
      <w:r w:rsidRPr="00B5581A">
        <w:rPr>
          <w:rFonts w:ascii="Arial" w:hAnsi="Arial" w:cs="Arial"/>
          <w:color w:val="000000"/>
          <w:sz w:val="20"/>
          <w:szCs w:val="20"/>
        </w:rPr>
        <w:t xml:space="preserve"> and Verbal Reasoning. On </w:t>
      </w:r>
      <w:r>
        <w:rPr>
          <w:rFonts w:ascii="Arial" w:hAnsi="Arial" w:cs="Arial"/>
          <w:color w:val="000000"/>
          <w:sz w:val="20"/>
          <w:szCs w:val="20"/>
        </w:rPr>
        <w:t xml:space="preserve">the </w:t>
      </w:r>
      <w:r w:rsidRPr="00B5581A">
        <w:rPr>
          <w:rFonts w:ascii="Arial" w:hAnsi="Arial" w:cs="Arial"/>
          <w:color w:val="000000"/>
          <w:sz w:val="20"/>
          <w:szCs w:val="20"/>
        </w:rPr>
        <w:t>Guess What</w:t>
      </w:r>
      <w:r>
        <w:rPr>
          <w:rFonts w:ascii="Arial" w:hAnsi="Arial" w:cs="Arial"/>
          <w:color w:val="000000"/>
          <w:sz w:val="20"/>
          <w:szCs w:val="20"/>
        </w:rPr>
        <w:t xml:space="preserve"> subtest, </w:t>
      </w:r>
      <w:r>
        <w:rPr>
          <w:rFonts w:ascii="Arial" w:hAnsi="Arial" w:cs="Arial"/>
          <w:color w:val="000000"/>
          <w:sz w:val="20"/>
          <w:szCs w:val="20"/>
        </w:rPr>
        <w:t>STUDENT</w:t>
      </w:r>
      <w:r>
        <w:rPr>
          <w:rFonts w:ascii="Arial" w:hAnsi="Arial" w:cs="Arial"/>
          <w:color w:val="000000"/>
          <w:sz w:val="20"/>
          <w:szCs w:val="20"/>
        </w:rPr>
        <w:t xml:space="preserve"> wa</w:t>
      </w:r>
      <w:r w:rsidRPr="00B5581A">
        <w:rPr>
          <w:rFonts w:ascii="Arial" w:hAnsi="Arial" w:cs="Arial"/>
          <w:color w:val="000000"/>
          <w:sz w:val="20"/>
          <w:szCs w:val="20"/>
        </w:rPr>
        <w:t xml:space="preserve">s given a set of two to four clues and asked to deduce the object </w:t>
      </w:r>
      <w:r>
        <w:rPr>
          <w:rFonts w:ascii="Arial" w:hAnsi="Arial" w:cs="Arial"/>
          <w:color w:val="000000"/>
          <w:sz w:val="20"/>
          <w:szCs w:val="20"/>
        </w:rPr>
        <w:t>or concept being described (e.g., “What large farm animal can be milked and says moo?”). </w:t>
      </w:r>
      <w:r w:rsidRPr="00B5581A">
        <w:rPr>
          <w:rFonts w:ascii="Arial" w:hAnsi="Arial" w:cs="Arial"/>
          <w:color w:val="000000"/>
          <w:sz w:val="20"/>
          <w:szCs w:val="20"/>
        </w:rPr>
        <w:t xml:space="preserve">This subtest measures verbal reasoning in combination with vocabulary, language development, and overall </w:t>
      </w:r>
      <w:r>
        <w:rPr>
          <w:rFonts w:ascii="Arial" w:hAnsi="Arial" w:cs="Arial"/>
          <w:color w:val="000000"/>
          <w:sz w:val="20"/>
          <w:szCs w:val="20"/>
        </w:rPr>
        <w:t xml:space="preserve">fund of available information. This subtest was attempted, but </w:t>
      </w:r>
      <w:r>
        <w:rPr>
          <w:rFonts w:ascii="Arial" w:hAnsi="Arial" w:cs="Arial"/>
          <w:color w:val="000000"/>
          <w:sz w:val="20"/>
          <w:szCs w:val="20"/>
        </w:rPr>
        <w:t>STUDENT</w:t>
      </w:r>
      <w:r>
        <w:rPr>
          <w:rFonts w:ascii="Arial" w:hAnsi="Arial" w:cs="Arial"/>
          <w:color w:val="000000"/>
          <w:sz w:val="20"/>
          <w:szCs w:val="20"/>
        </w:rPr>
        <w:t xml:space="preserve"> was not able to provide a response to any of the initial items administered. </w:t>
      </w:r>
      <w:r w:rsidRPr="00B5581A">
        <w:rPr>
          <w:rFonts w:ascii="Arial" w:hAnsi="Arial" w:cs="Arial"/>
          <w:color w:val="000000"/>
          <w:sz w:val="20"/>
          <w:szCs w:val="20"/>
        </w:rPr>
        <w:t xml:space="preserve">On </w:t>
      </w:r>
      <w:r>
        <w:rPr>
          <w:rFonts w:ascii="Arial" w:hAnsi="Arial" w:cs="Arial"/>
          <w:color w:val="000000"/>
          <w:sz w:val="20"/>
          <w:szCs w:val="20"/>
        </w:rPr>
        <w:t xml:space="preserve">the </w:t>
      </w:r>
      <w:r w:rsidRPr="00B5581A">
        <w:rPr>
          <w:rFonts w:ascii="Arial" w:hAnsi="Arial" w:cs="Arial"/>
          <w:color w:val="000000"/>
          <w:sz w:val="20"/>
          <w:szCs w:val="20"/>
        </w:rPr>
        <w:t>Verbal Reasoning</w:t>
      </w:r>
      <w:r>
        <w:rPr>
          <w:rFonts w:ascii="Arial" w:hAnsi="Arial" w:cs="Arial"/>
          <w:color w:val="000000"/>
          <w:sz w:val="20"/>
          <w:szCs w:val="20"/>
        </w:rPr>
        <w:t xml:space="preserve"> subtest, </w:t>
      </w:r>
      <w:r>
        <w:rPr>
          <w:rFonts w:ascii="Arial" w:hAnsi="Arial" w:cs="Arial"/>
          <w:color w:val="000000"/>
          <w:sz w:val="20"/>
          <w:szCs w:val="20"/>
        </w:rPr>
        <w:t>STUDENT</w:t>
      </w:r>
      <w:r>
        <w:rPr>
          <w:rFonts w:ascii="Arial" w:hAnsi="Arial" w:cs="Arial"/>
          <w:color w:val="000000"/>
          <w:sz w:val="20"/>
          <w:szCs w:val="20"/>
        </w:rPr>
        <w:t xml:space="preserve"> was required to listen</w:t>
      </w:r>
      <w:r w:rsidRPr="00B5581A">
        <w:rPr>
          <w:rFonts w:ascii="Arial" w:hAnsi="Arial" w:cs="Arial"/>
          <w:color w:val="000000"/>
          <w:sz w:val="20"/>
          <w:szCs w:val="20"/>
        </w:rPr>
        <w:t xml:space="preserve"> to a propositional statement that essentially form</w:t>
      </w:r>
      <w:r>
        <w:rPr>
          <w:rFonts w:ascii="Arial" w:hAnsi="Arial" w:cs="Arial"/>
          <w:color w:val="000000"/>
          <w:sz w:val="20"/>
          <w:szCs w:val="20"/>
        </w:rPr>
        <w:t>s a verbal analogy and wa</w:t>
      </w:r>
      <w:r w:rsidRPr="00B5581A">
        <w:rPr>
          <w:rFonts w:ascii="Arial" w:hAnsi="Arial" w:cs="Arial"/>
          <w:color w:val="000000"/>
          <w:sz w:val="20"/>
          <w:szCs w:val="20"/>
        </w:rPr>
        <w:t>s asked to respond with one or two words that complete the idea or proposition</w:t>
      </w:r>
      <w:r>
        <w:rPr>
          <w:rFonts w:ascii="Arial" w:hAnsi="Arial" w:cs="Arial"/>
          <w:color w:val="000000"/>
          <w:sz w:val="20"/>
          <w:szCs w:val="20"/>
        </w:rPr>
        <w:t xml:space="preserve"> (e.g., “An elephant is big, a mouse is ___?”)</w:t>
      </w:r>
      <w:r w:rsidRPr="00B5581A">
        <w:rPr>
          <w:rFonts w:ascii="Arial" w:hAnsi="Arial" w:cs="Arial"/>
          <w:color w:val="000000"/>
          <w:sz w:val="20"/>
          <w:szCs w:val="20"/>
        </w:rPr>
        <w:t xml:space="preserve">. This subtest measures verbal-analytical reasoning ability but with fewer vocabulary and general knowledge demands than </w:t>
      </w:r>
      <w:r>
        <w:rPr>
          <w:rFonts w:ascii="Arial" w:hAnsi="Arial" w:cs="Arial"/>
          <w:color w:val="000000"/>
          <w:sz w:val="20"/>
          <w:szCs w:val="20"/>
        </w:rPr>
        <w:t xml:space="preserve">the Guess </w:t>
      </w:r>
      <w:proofErr w:type="gramStart"/>
      <w:r>
        <w:rPr>
          <w:rFonts w:ascii="Arial" w:hAnsi="Arial" w:cs="Arial"/>
          <w:color w:val="000000"/>
          <w:sz w:val="20"/>
          <w:szCs w:val="20"/>
        </w:rPr>
        <w:t>What</w:t>
      </w:r>
      <w:proofErr w:type="gramEnd"/>
      <w:r>
        <w:rPr>
          <w:rFonts w:ascii="Arial" w:hAnsi="Arial" w:cs="Arial"/>
          <w:color w:val="000000"/>
          <w:sz w:val="20"/>
          <w:szCs w:val="20"/>
        </w:rPr>
        <w:t xml:space="preserve"> subtest. This subtest was also attempted and </w:t>
      </w:r>
      <w:r>
        <w:rPr>
          <w:rFonts w:ascii="Arial" w:hAnsi="Arial" w:cs="Arial"/>
          <w:color w:val="000000"/>
          <w:sz w:val="20"/>
          <w:szCs w:val="20"/>
        </w:rPr>
        <w:t>STUDENT</w:t>
      </w:r>
      <w:r>
        <w:rPr>
          <w:rFonts w:ascii="Arial" w:hAnsi="Arial" w:cs="Arial"/>
          <w:color w:val="000000"/>
          <w:sz w:val="20"/>
          <w:szCs w:val="20"/>
        </w:rPr>
        <w:t xml:space="preserve"> provided responses to items; however, none of his responses </w:t>
      </w:r>
      <w:proofErr w:type="gramStart"/>
      <w:r>
        <w:rPr>
          <w:rFonts w:ascii="Arial" w:hAnsi="Arial" w:cs="Arial"/>
          <w:color w:val="000000"/>
          <w:sz w:val="20"/>
          <w:szCs w:val="20"/>
        </w:rPr>
        <w:t>were</w:t>
      </w:r>
      <w:proofErr w:type="gramEnd"/>
      <w:r>
        <w:rPr>
          <w:rFonts w:ascii="Arial" w:hAnsi="Arial" w:cs="Arial"/>
          <w:color w:val="000000"/>
          <w:sz w:val="20"/>
          <w:szCs w:val="20"/>
        </w:rPr>
        <w:t xml:space="preserve"> correct. For example, “An elephant is big, and a mouse is “big,” You wear a hat on your head and shoes on your “socks on,” and </w:t>
      </w:r>
      <w:proofErr w:type="gramStart"/>
      <w:r>
        <w:rPr>
          <w:rFonts w:ascii="Arial" w:hAnsi="Arial" w:cs="Arial"/>
          <w:color w:val="000000"/>
          <w:sz w:val="20"/>
          <w:szCs w:val="20"/>
        </w:rPr>
        <w:t>You</w:t>
      </w:r>
      <w:proofErr w:type="gramEnd"/>
      <w:r>
        <w:rPr>
          <w:rFonts w:ascii="Arial" w:hAnsi="Arial" w:cs="Arial"/>
          <w:color w:val="000000"/>
          <w:sz w:val="20"/>
          <w:szCs w:val="20"/>
        </w:rPr>
        <w:t xml:space="preserve"> walk with your legs and talk with your “ear.” </w:t>
      </w:r>
      <w:r>
        <w:rPr>
          <w:rFonts w:ascii="Arial" w:hAnsi="Arial" w:cs="Arial"/>
          <w:color w:val="000000"/>
          <w:sz w:val="20"/>
          <w:szCs w:val="20"/>
        </w:rPr>
        <w:t>STUDENT</w:t>
      </w:r>
      <w:r>
        <w:rPr>
          <w:rFonts w:ascii="Arial" w:hAnsi="Arial" w:cs="Arial"/>
          <w:color w:val="000000"/>
          <w:sz w:val="20"/>
          <w:szCs w:val="20"/>
        </w:rPr>
        <w:t xml:space="preserve">’s responses indicated that he was aware that a similar response was required, but he did not appear to understand the specifics of the task demands. Therefore, this subtest was not scored as it was not deemed </w:t>
      </w:r>
      <w:proofErr w:type="gramStart"/>
      <w:r>
        <w:rPr>
          <w:rFonts w:ascii="Arial" w:hAnsi="Arial" w:cs="Arial"/>
          <w:color w:val="000000"/>
          <w:sz w:val="20"/>
          <w:szCs w:val="20"/>
        </w:rPr>
        <w:t>to be a</w:t>
      </w:r>
      <w:proofErr w:type="gramEnd"/>
      <w:r>
        <w:rPr>
          <w:rFonts w:ascii="Arial" w:hAnsi="Arial" w:cs="Arial"/>
          <w:color w:val="000000"/>
          <w:sz w:val="20"/>
          <w:szCs w:val="20"/>
        </w:rPr>
        <w:t xml:space="preserve"> valid reflection of his abilities. Although </w:t>
      </w:r>
      <w:r>
        <w:rPr>
          <w:rFonts w:ascii="Arial" w:hAnsi="Arial" w:cs="Arial"/>
          <w:color w:val="000000"/>
          <w:sz w:val="20"/>
          <w:szCs w:val="20"/>
        </w:rPr>
        <w:t>STUDENT</w:t>
      </w:r>
      <w:r>
        <w:rPr>
          <w:rFonts w:ascii="Arial" w:hAnsi="Arial" w:cs="Arial"/>
          <w:color w:val="000000"/>
          <w:sz w:val="20"/>
          <w:szCs w:val="20"/>
        </w:rPr>
        <w:t xml:space="preserve"> has verbal expressive language, observations during the administration of the test suggests that he had difficulty with understanding the directions for these tasks. Therefore, no score </w:t>
      </w:r>
      <w:proofErr w:type="gramStart"/>
      <w:r>
        <w:rPr>
          <w:rFonts w:ascii="Arial" w:hAnsi="Arial" w:cs="Arial"/>
          <w:color w:val="000000"/>
          <w:sz w:val="20"/>
          <w:szCs w:val="20"/>
        </w:rPr>
        <w:t>could be obtained</w:t>
      </w:r>
      <w:proofErr w:type="gramEnd"/>
      <w:r>
        <w:rPr>
          <w:rFonts w:ascii="Arial" w:hAnsi="Arial" w:cs="Arial"/>
          <w:color w:val="000000"/>
          <w:sz w:val="20"/>
          <w:szCs w:val="20"/>
        </w:rPr>
        <w:t xml:space="preserve"> on these subtests or on the Verbal Intelligence Index (VIX). </w:t>
      </w:r>
    </w:p>
    <w:p w14:paraId="2DA865C2" w14:textId="77777777" w:rsidR="002933FC" w:rsidRPr="00B5581A" w:rsidRDefault="002933FC" w:rsidP="002933FC">
      <w:pPr>
        <w:spacing w:after="0" w:line="240" w:lineRule="auto"/>
        <w:rPr>
          <w:rFonts w:ascii="Arial" w:hAnsi="Arial" w:cs="Arial"/>
          <w:color w:val="000000"/>
          <w:sz w:val="20"/>
          <w:szCs w:val="20"/>
        </w:rPr>
      </w:pPr>
    </w:p>
    <w:p w14:paraId="3054973F" w14:textId="77777777" w:rsidR="002933FC" w:rsidRDefault="002933FC" w:rsidP="002933FC">
      <w:pPr>
        <w:spacing w:after="0" w:line="240" w:lineRule="auto"/>
        <w:rPr>
          <w:rFonts w:ascii="Arial" w:hAnsi="Arial" w:cs="Arial"/>
          <w:color w:val="000000"/>
          <w:sz w:val="20"/>
          <w:szCs w:val="20"/>
        </w:rPr>
      </w:pPr>
      <w:r>
        <w:rPr>
          <w:rFonts w:ascii="Arial" w:hAnsi="Arial" w:cs="Arial"/>
          <w:iCs/>
          <w:color w:val="000000"/>
          <w:sz w:val="20"/>
          <w:szCs w:val="20"/>
        </w:rPr>
        <w:t>The Nonv</w:t>
      </w:r>
      <w:r w:rsidRPr="00B5581A">
        <w:rPr>
          <w:rFonts w:ascii="Arial" w:hAnsi="Arial" w:cs="Arial"/>
          <w:iCs/>
          <w:color w:val="000000"/>
          <w:sz w:val="20"/>
          <w:szCs w:val="20"/>
        </w:rPr>
        <w:t>erbal Intelligence Index (NIX)</w:t>
      </w:r>
      <w:r w:rsidRPr="00B5581A">
        <w:rPr>
          <w:rFonts w:ascii="Arial" w:hAnsi="Arial" w:cs="Arial"/>
          <w:i/>
          <w:iCs/>
          <w:color w:val="000000"/>
          <w:sz w:val="20"/>
          <w:szCs w:val="20"/>
        </w:rPr>
        <w:t xml:space="preserve"> </w:t>
      </w:r>
      <w:r w:rsidRPr="00B5581A">
        <w:rPr>
          <w:rFonts w:ascii="Arial" w:hAnsi="Arial" w:cs="Arial"/>
          <w:color w:val="000000"/>
          <w:sz w:val="20"/>
          <w:szCs w:val="20"/>
        </w:rPr>
        <w:t>provides a summary estimate of nonverbal intelligence as assessed by nonverbal reasoning.</w:t>
      </w:r>
      <w:r>
        <w:rPr>
          <w:rFonts w:ascii="Arial" w:hAnsi="Arial" w:cs="Arial"/>
          <w:color w:val="000000"/>
          <w:sz w:val="20"/>
          <w:szCs w:val="20"/>
        </w:rPr>
        <w:t xml:space="preserve"> This index reflects the cognitive ability area of Fluid Reasoning (Gf), which is the deliberate by flexible control of attention to solve novel, on-the-spot problems that </w:t>
      </w:r>
      <w:proofErr w:type="gramStart"/>
      <w:r>
        <w:rPr>
          <w:rFonts w:ascii="Arial" w:hAnsi="Arial" w:cs="Arial"/>
          <w:color w:val="000000"/>
          <w:sz w:val="20"/>
          <w:szCs w:val="20"/>
        </w:rPr>
        <w:t>cannot be performed</w:t>
      </w:r>
      <w:proofErr w:type="gramEnd"/>
      <w:r>
        <w:rPr>
          <w:rFonts w:ascii="Arial" w:hAnsi="Arial" w:cs="Arial"/>
          <w:color w:val="000000"/>
          <w:sz w:val="20"/>
          <w:szCs w:val="20"/>
        </w:rPr>
        <w:t xml:space="preserve"> by relying exclusively on previously learned habits, schemas, or scripts. Two subtests </w:t>
      </w:r>
      <w:proofErr w:type="gramStart"/>
      <w:r>
        <w:rPr>
          <w:rFonts w:ascii="Arial" w:hAnsi="Arial" w:cs="Arial"/>
          <w:color w:val="000000"/>
          <w:sz w:val="20"/>
          <w:szCs w:val="20"/>
        </w:rPr>
        <w:t>are administered</w:t>
      </w:r>
      <w:proofErr w:type="gramEnd"/>
      <w:r w:rsidRPr="00B5581A">
        <w:rPr>
          <w:rFonts w:ascii="Arial" w:hAnsi="Arial" w:cs="Arial"/>
          <w:color w:val="000000"/>
          <w:sz w:val="20"/>
          <w:szCs w:val="20"/>
        </w:rPr>
        <w:t xml:space="preserve"> to derive this score: Odd-Item Out and What’s Missing. On </w:t>
      </w:r>
      <w:r>
        <w:rPr>
          <w:rFonts w:ascii="Arial" w:hAnsi="Arial" w:cs="Arial"/>
          <w:color w:val="000000"/>
          <w:sz w:val="20"/>
          <w:szCs w:val="20"/>
        </w:rPr>
        <w:t xml:space="preserve">the </w:t>
      </w:r>
      <w:r w:rsidRPr="00B5581A">
        <w:rPr>
          <w:rFonts w:ascii="Arial" w:hAnsi="Arial" w:cs="Arial"/>
          <w:color w:val="000000"/>
          <w:sz w:val="20"/>
          <w:szCs w:val="20"/>
        </w:rPr>
        <w:t>Odd-Item Out</w:t>
      </w:r>
      <w:r>
        <w:rPr>
          <w:rFonts w:ascii="Arial" w:hAnsi="Arial" w:cs="Arial"/>
          <w:color w:val="000000"/>
          <w:sz w:val="20"/>
          <w:szCs w:val="20"/>
        </w:rPr>
        <w:t xml:space="preserve"> subtest, </w:t>
      </w:r>
      <w:r>
        <w:rPr>
          <w:rFonts w:ascii="Arial" w:hAnsi="Arial" w:cs="Arial"/>
          <w:color w:val="000000"/>
          <w:sz w:val="20"/>
          <w:szCs w:val="20"/>
        </w:rPr>
        <w:t>STUDENT</w:t>
      </w:r>
      <w:r>
        <w:rPr>
          <w:rFonts w:ascii="Arial" w:hAnsi="Arial" w:cs="Arial"/>
          <w:color w:val="000000"/>
          <w:sz w:val="20"/>
          <w:szCs w:val="20"/>
        </w:rPr>
        <w:t xml:space="preserve"> wa</w:t>
      </w:r>
      <w:r w:rsidRPr="00B5581A">
        <w:rPr>
          <w:rFonts w:ascii="Arial" w:hAnsi="Arial" w:cs="Arial"/>
          <w:color w:val="000000"/>
          <w:sz w:val="20"/>
          <w:szCs w:val="20"/>
        </w:rPr>
        <w:t>s presented with a picture card containing from five to se</w:t>
      </w:r>
      <w:r>
        <w:rPr>
          <w:rFonts w:ascii="Arial" w:hAnsi="Arial" w:cs="Arial"/>
          <w:color w:val="000000"/>
          <w:sz w:val="20"/>
          <w:szCs w:val="20"/>
        </w:rPr>
        <w:t>ven pictures or drawings and was</w:t>
      </w:r>
      <w:r w:rsidRPr="00B5581A">
        <w:rPr>
          <w:rFonts w:ascii="Arial" w:hAnsi="Arial" w:cs="Arial"/>
          <w:color w:val="000000"/>
          <w:sz w:val="20"/>
          <w:szCs w:val="20"/>
        </w:rPr>
        <w:t xml:space="preserve"> asked to designate which one does not belong or go with the others. This subtest measures nonverbal reasoning skills but also requires the use of spatial ability, visual imagery, and other nonverbal skills on various items. </w:t>
      </w:r>
      <w:r>
        <w:rPr>
          <w:rFonts w:ascii="Arial" w:hAnsi="Arial" w:cs="Arial"/>
          <w:color w:val="000000"/>
          <w:sz w:val="20"/>
          <w:szCs w:val="20"/>
        </w:rPr>
        <w:t>STUDENT</w:t>
      </w:r>
      <w:r>
        <w:rPr>
          <w:rFonts w:ascii="Arial" w:hAnsi="Arial" w:cs="Arial"/>
          <w:color w:val="000000"/>
          <w:sz w:val="20"/>
          <w:szCs w:val="20"/>
        </w:rPr>
        <w:t xml:space="preserve"> performed in the Extremely </w:t>
      </w:r>
      <w:proofErr w:type="gramStart"/>
      <w:r>
        <w:rPr>
          <w:rFonts w:ascii="Arial" w:hAnsi="Arial" w:cs="Arial"/>
          <w:color w:val="000000"/>
          <w:sz w:val="20"/>
          <w:szCs w:val="20"/>
        </w:rPr>
        <w:t>Below</w:t>
      </w:r>
      <w:proofErr w:type="gramEnd"/>
      <w:r>
        <w:rPr>
          <w:rFonts w:ascii="Arial" w:hAnsi="Arial" w:cs="Arial"/>
          <w:color w:val="000000"/>
          <w:sz w:val="20"/>
          <w:szCs w:val="20"/>
        </w:rPr>
        <w:t xml:space="preserve"> Average range on this subtest. </w:t>
      </w:r>
      <w:r w:rsidRPr="00B5581A">
        <w:rPr>
          <w:rFonts w:ascii="Arial" w:hAnsi="Arial" w:cs="Arial"/>
          <w:color w:val="000000"/>
          <w:sz w:val="20"/>
          <w:szCs w:val="20"/>
        </w:rPr>
        <w:t xml:space="preserve">On </w:t>
      </w:r>
      <w:r>
        <w:rPr>
          <w:rFonts w:ascii="Arial" w:hAnsi="Arial" w:cs="Arial"/>
          <w:color w:val="000000"/>
          <w:sz w:val="20"/>
          <w:szCs w:val="20"/>
        </w:rPr>
        <w:t xml:space="preserve">the </w:t>
      </w:r>
      <w:r w:rsidRPr="00B5581A">
        <w:rPr>
          <w:rFonts w:ascii="Arial" w:hAnsi="Arial" w:cs="Arial"/>
          <w:color w:val="000000"/>
          <w:sz w:val="20"/>
          <w:szCs w:val="20"/>
        </w:rPr>
        <w:t xml:space="preserve">What’s Missing </w:t>
      </w:r>
      <w:r>
        <w:rPr>
          <w:rFonts w:ascii="Arial" w:hAnsi="Arial" w:cs="Arial"/>
          <w:color w:val="000000"/>
          <w:sz w:val="20"/>
          <w:szCs w:val="20"/>
        </w:rPr>
        <w:t xml:space="preserve">subtest, </w:t>
      </w:r>
      <w:r>
        <w:rPr>
          <w:rFonts w:ascii="Arial" w:hAnsi="Arial" w:cs="Arial"/>
          <w:color w:val="000000"/>
          <w:sz w:val="20"/>
          <w:szCs w:val="20"/>
        </w:rPr>
        <w:t>STUDENT</w:t>
      </w:r>
      <w:r>
        <w:rPr>
          <w:rFonts w:ascii="Arial" w:hAnsi="Arial" w:cs="Arial"/>
          <w:color w:val="000000"/>
          <w:sz w:val="20"/>
          <w:szCs w:val="20"/>
        </w:rPr>
        <w:t xml:space="preserve"> </w:t>
      </w:r>
      <w:proofErr w:type="gramStart"/>
      <w:r>
        <w:rPr>
          <w:rFonts w:ascii="Arial" w:hAnsi="Arial" w:cs="Arial"/>
          <w:color w:val="000000"/>
          <w:sz w:val="20"/>
          <w:szCs w:val="20"/>
        </w:rPr>
        <w:t>was</w:t>
      </w:r>
      <w:r w:rsidRPr="00B5581A">
        <w:rPr>
          <w:rFonts w:ascii="Arial" w:hAnsi="Arial" w:cs="Arial"/>
          <w:color w:val="000000"/>
          <w:sz w:val="20"/>
          <w:szCs w:val="20"/>
        </w:rPr>
        <w:t xml:space="preserve"> shown</w:t>
      </w:r>
      <w:proofErr w:type="gramEnd"/>
      <w:r w:rsidRPr="00B5581A">
        <w:rPr>
          <w:rFonts w:ascii="Arial" w:hAnsi="Arial" w:cs="Arial"/>
          <w:color w:val="000000"/>
          <w:sz w:val="20"/>
          <w:szCs w:val="20"/>
        </w:rPr>
        <w:t xml:space="preserve"> a picture with some key element or logically co</w:t>
      </w:r>
      <w:r>
        <w:rPr>
          <w:rFonts w:ascii="Arial" w:hAnsi="Arial" w:cs="Arial"/>
          <w:color w:val="000000"/>
          <w:sz w:val="20"/>
          <w:szCs w:val="20"/>
        </w:rPr>
        <w:t>nsistent component missing and wa</w:t>
      </w:r>
      <w:r w:rsidRPr="00B5581A">
        <w:rPr>
          <w:rFonts w:ascii="Arial" w:hAnsi="Arial" w:cs="Arial"/>
          <w:color w:val="000000"/>
          <w:sz w:val="20"/>
          <w:szCs w:val="20"/>
        </w:rPr>
        <w:t xml:space="preserve">s asked to identify </w:t>
      </w:r>
      <w:r>
        <w:rPr>
          <w:rFonts w:ascii="Arial" w:hAnsi="Arial" w:cs="Arial"/>
          <w:color w:val="000000"/>
          <w:sz w:val="20"/>
          <w:szCs w:val="20"/>
        </w:rPr>
        <w:t>the missing essential element. </w:t>
      </w:r>
      <w:r>
        <w:rPr>
          <w:rFonts w:ascii="Arial" w:hAnsi="Arial" w:cs="Arial"/>
          <w:color w:val="000000"/>
          <w:sz w:val="20"/>
          <w:szCs w:val="20"/>
        </w:rPr>
        <w:t>STUDENT</w:t>
      </w:r>
      <w:r>
        <w:rPr>
          <w:rFonts w:ascii="Arial" w:hAnsi="Arial" w:cs="Arial"/>
          <w:color w:val="000000"/>
          <w:sz w:val="20"/>
          <w:szCs w:val="20"/>
        </w:rPr>
        <w:t xml:space="preserve"> also performed in </w:t>
      </w:r>
      <w:r>
        <w:rPr>
          <w:rFonts w:ascii="Arial" w:hAnsi="Arial" w:cs="Arial"/>
          <w:color w:val="000000"/>
          <w:sz w:val="20"/>
          <w:szCs w:val="20"/>
        </w:rPr>
        <w:lastRenderedPageBreak/>
        <w:t xml:space="preserve">the Extremely </w:t>
      </w:r>
      <w:proofErr w:type="gramStart"/>
      <w:r>
        <w:rPr>
          <w:rFonts w:ascii="Arial" w:hAnsi="Arial" w:cs="Arial"/>
          <w:color w:val="000000"/>
          <w:sz w:val="20"/>
          <w:szCs w:val="20"/>
        </w:rPr>
        <w:t>Below</w:t>
      </w:r>
      <w:proofErr w:type="gramEnd"/>
      <w:r>
        <w:rPr>
          <w:rFonts w:ascii="Arial" w:hAnsi="Arial" w:cs="Arial"/>
          <w:color w:val="000000"/>
          <w:sz w:val="20"/>
          <w:szCs w:val="20"/>
        </w:rPr>
        <w:t xml:space="preserve"> Average range on this subtest. On the Nonverbal Intelligence Index, </w:t>
      </w:r>
      <w:r>
        <w:rPr>
          <w:rFonts w:ascii="Arial" w:hAnsi="Arial" w:cs="Arial"/>
          <w:color w:val="000000"/>
          <w:sz w:val="20"/>
          <w:szCs w:val="20"/>
        </w:rPr>
        <w:t>STUDENT</w:t>
      </w:r>
      <w:r>
        <w:rPr>
          <w:rFonts w:ascii="Arial" w:hAnsi="Arial" w:cs="Arial"/>
          <w:color w:val="000000"/>
          <w:sz w:val="20"/>
          <w:szCs w:val="20"/>
        </w:rPr>
        <w:t xml:space="preserve">’s performance fell in the Extremely </w:t>
      </w:r>
      <w:proofErr w:type="gramStart"/>
      <w:r>
        <w:rPr>
          <w:rFonts w:ascii="Arial" w:hAnsi="Arial" w:cs="Arial"/>
          <w:color w:val="000000"/>
          <w:sz w:val="20"/>
          <w:szCs w:val="20"/>
        </w:rPr>
        <w:t>Below</w:t>
      </w:r>
      <w:proofErr w:type="gramEnd"/>
      <w:r>
        <w:rPr>
          <w:rFonts w:ascii="Arial" w:hAnsi="Arial" w:cs="Arial"/>
          <w:color w:val="000000"/>
          <w:sz w:val="20"/>
          <w:szCs w:val="20"/>
        </w:rPr>
        <w:t xml:space="preserve"> Average </w:t>
      </w:r>
      <w:r w:rsidRPr="00B5581A">
        <w:rPr>
          <w:rFonts w:ascii="Arial" w:hAnsi="Arial" w:cs="Arial"/>
          <w:color w:val="000000"/>
          <w:sz w:val="20"/>
          <w:szCs w:val="20"/>
        </w:rPr>
        <w:t xml:space="preserve">range </w:t>
      </w:r>
      <w:r>
        <w:rPr>
          <w:rFonts w:ascii="Arial" w:hAnsi="Arial" w:cs="Arial"/>
          <w:color w:val="000000"/>
          <w:sz w:val="20"/>
          <w:szCs w:val="20"/>
        </w:rPr>
        <w:t>when compared to his</w:t>
      </w:r>
      <w:r w:rsidRPr="00B5581A">
        <w:rPr>
          <w:rFonts w:ascii="Arial" w:hAnsi="Arial" w:cs="Arial"/>
          <w:color w:val="000000"/>
          <w:sz w:val="20"/>
          <w:szCs w:val="20"/>
        </w:rPr>
        <w:t xml:space="preserve"> same-age peers.</w:t>
      </w:r>
    </w:p>
    <w:p w14:paraId="383B2893" w14:textId="77777777" w:rsidR="002933FC" w:rsidRDefault="002933FC" w:rsidP="002933FC">
      <w:pPr>
        <w:spacing w:after="0" w:line="240" w:lineRule="auto"/>
        <w:rPr>
          <w:rFonts w:ascii="Arial" w:hAnsi="Arial" w:cs="Arial"/>
          <w:color w:val="000000"/>
          <w:sz w:val="20"/>
          <w:szCs w:val="20"/>
        </w:rPr>
      </w:pPr>
    </w:p>
    <w:p w14:paraId="50905D54" w14:textId="77777777" w:rsidR="002933FC" w:rsidRDefault="002933FC" w:rsidP="002933FC">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The Composite Intelligence Index (CIX) </w:t>
      </w:r>
      <w:proofErr w:type="gramStart"/>
      <w:r>
        <w:rPr>
          <w:rFonts w:ascii="Arial" w:hAnsi="Arial" w:cs="Arial"/>
          <w:color w:val="000000"/>
          <w:sz w:val="20"/>
          <w:szCs w:val="20"/>
        </w:rPr>
        <w:t>was not able to</w:t>
      </w:r>
      <w:proofErr w:type="gramEnd"/>
      <w:r>
        <w:rPr>
          <w:rFonts w:ascii="Arial" w:hAnsi="Arial" w:cs="Arial"/>
          <w:color w:val="000000"/>
          <w:sz w:val="20"/>
          <w:szCs w:val="20"/>
        </w:rPr>
        <w:t xml:space="preserve"> be calculated since a valid score was not able to be obtained on the Verbal Intelligence Index (VIX). Therefore, </w:t>
      </w:r>
      <w:r>
        <w:rPr>
          <w:rFonts w:ascii="Arial" w:hAnsi="Arial" w:cs="Arial"/>
          <w:color w:val="000000"/>
          <w:sz w:val="20"/>
          <w:szCs w:val="20"/>
        </w:rPr>
        <w:t>STUDENT</w:t>
      </w:r>
      <w:r>
        <w:rPr>
          <w:rFonts w:ascii="Arial" w:hAnsi="Arial" w:cs="Arial"/>
          <w:color w:val="000000"/>
          <w:sz w:val="20"/>
          <w:szCs w:val="20"/>
        </w:rPr>
        <w:t>’s Nonverbal Intelligence Index (NIX) is the best indicator at this time of his level of cognitive functioning.</w:t>
      </w:r>
    </w:p>
    <w:p w14:paraId="4D5935C2" w14:textId="77777777" w:rsidR="00A9172C" w:rsidRDefault="00A9172C">
      <w:bookmarkStart w:id="0" w:name="_GoBack"/>
      <w:bookmarkEnd w:id="0"/>
    </w:p>
    <w:sectPr w:rsidR="00A91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3FC"/>
    <w:rsid w:val="002933FC"/>
    <w:rsid w:val="00A91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A5DF"/>
  <w15:chartTrackingRefBased/>
  <w15:docId w15:val="{9D8F6E81-5E9E-432F-9903-BCFAAEA2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3F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33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C27EED-532D-4F4D-86EC-3FD251CB2C2C}"/>
</file>

<file path=customXml/itemProps2.xml><?xml version="1.0" encoding="utf-8"?>
<ds:datastoreItem xmlns:ds="http://schemas.openxmlformats.org/officeDocument/2006/customXml" ds:itemID="{D3F9060F-9F9E-45BF-8EA7-84E3D684853B}"/>
</file>

<file path=customXml/itemProps3.xml><?xml version="1.0" encoding="utf-8"?>
<ds:datastoreItem xmlns:ds="http://schemas.openxmlformats.org/officeDocument/2006/customXml" ds:itemID="{97C3C9A9-9008-42B4-A935-FDF1E3100814}"/>
</file>

<file path=docProps/app.xml><?xml version="1.0" encoding="utf-8"?>
<Properties xmlns="http://schemas.openxmlformats.org/officeDocument/2006/extended-properties" xmlns:vt="http://schemas.openxmlformats.org/officeDocument/2006/docPropsVTypes">
  <Template>Normal</Template>
  <TotalTime>1</TotalTime>
  <Pages>2</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 Joy</dc:creator>
  <cp:keywords/>
  <dc:description/>
  <cp:lastModifiedBy>Beard, Joy</cp:lastModifiedBy>
  <cp:revision>1</cp:revision>
  <dcterms:created xsi:type="dcterms:W3CDTF">2019-04-11T17:14:00Z</dcterms:created>
  <dcterms:modified xsi:type="dcterms:W3CDTF">2019-04-11T17:15:00Z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