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European Judicial Policies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does the ECJ do?</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Interprets</w:t>
      </w:r>
      <w:r w:rsidDel="00000000" w:rsidR="00000000" w:rsidRPr="00000000">
        <w:rPr>
          <w:rFonts w:ascii="Times New Roman" w:cs="Times New Roman" w:eastAsia="Times New Roman" w:hAnsi="Times New Roman"/>
          <w:sz w:val="24"/>
          <w:szCs w:val="24"/>
          <w:rtl w:val="0"/>
        </w:rPr>
        <w:t xml:space="preserve"> EU Law</w:t>
      </w:r>
    </w:p>
    <w:p w:rsidR="00000000" w:rsidDel="00000000" w:rsidP="00000000" w:rsidRDefault="00000000" w:rsidRPr="00000000" w14:paraId="00000005">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Enforces</w:t>
      </w:r>
      <w:r w:rsidDel="00000000" w:rsidR="00000000" w:rsidRPr="00000000">
        <w:rPr>
          <w:rFonts w:ascii="Times New Roman" w:cs="Times New Roman" w:eastAsia="Times New Roman" w:hAnsi="Times New Roman"/>
          <w:sz w:val="24"/>
          <w:szCs w:val="24"/>
          <w:rtl w:val="0"/>
        </w:rPr>
        <w:t xml:space="preserve"> EU Law</w:t>
      </w:r>
    </w:p>
    <w:p w:rsidR="00000000" w:rsidDel="00000000" w:rsidP="00000000" w:rsidRDefault="00000000" w:rsidRPr="00000000" w14:paraId="00000006">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Annulment</w:t>
      </w:r>
      <w:r w:rsidDel="00000000" w:rsidR="00000000" w:rsidRPr="00000000">
        <w:rPr>
          <w:rFonts w:ascii="Times New Roman" w:cs="Times New Roman" w:eastAsia="Times New Roman" w:hAnsi="Times New Roman"/>
          <w:sz w:val="24"/>
          <w:szCs w:val="24"/>
          <w:rtl w:val="0"/>
        </w:rPr>
        <w:t xml:space="preserve"> of EU Legal Acts</w:t>
      </w:r>
    </w:p>
    <w:p w:rsidR="00000000" w:rsidDel="00000000" w:rsidP="00000000" w:rsidRDefault="00000000" w:rsidRPr="00000000" w14:paraId="00000007">
      <w:pPr>
        <w:widowControl w:val="0"/>
        <w:spacing w:after="3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Sanctioning</w:t>
      </w:r>
      <w:r w:rsidDel="00000000" w:rsidR="00000000" w:rsidRPr="00000000">
        <w:rPr>
          <w:rFonts w:ascii="Times New Roman" w:cs="Times New Roman" w:eastAsia="Times New Roman" w:hAnsi="Times New Roman"/>
          <w:sz w:val="24"/>
          <w:szCs w:val="24"/>
          <w:rtl w:val="0"/>
        </w:rPr>
        <w:t xml:space="preserve"> of EU Institutions</w:t>
      </w:r>
      <w:r w:rsidDel="00000000" w:rsidR="00000000" w:rsidRPr="00000000">
        <w:rPr>
          <w:rtl w:val="0"/>
        </w:rPr>
      </w:r>
    </w:p>
    <w:p w:rsidR="00000000" w:rsidDel="00000000" w:rsidP="00000000" w:rsidRDefault="00000000" w:rsidRPr="00000000" w14:paraId="00000008">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How does the ECJ Operate?</w:t>
      </w:r>
      <w:r w:rsidDel="00000000" w:rsidR="00000000" w:rsidRPr="00000000">
        <w:rPr>
          <w:rtl w:val="0"/>
        </w:rPr>
      </w:r>
    </w:p>
    <w:p w:rsidR="00000000" w:rsidDel="00000000" w:rsidP="00000000" w:rsidRDefault="00000000" w:rsidRPr="00000000" w14:paraId="00000009">
      <w:pPr>
        <w:widowControl w:val="0"/>
        <w:spacing w:after="32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Court of Justice</w:t>
        </w:r>
      </w:hyperlink>
      <w:r w:rsidDel="00000000" w:rsidR="00000000" w:rsidRPr="00000000">
        <w:rPr>
          <w:rFonts w:ascii="Times New Roman" w:cs="Times New Roman" w:eastAsia="Times New Roman" w:hAnsi="Times New Roman"/>
          <w:sz w:val="24"/>
          <w:szCs w:val="24"/>
          <w:rtl w:val="0"/>
        </w:rPr>
        <w:t xml:space="preserve"> –  Responsible for dealing with requests for preliminary rulings from national courts, certain actions for annulment and appeals, relating to law only. 28 Judges, one per member state. </w:t>
      </w:r>
    </w:p>
    <w:p w:rsidR="00000000" w:rsidDel="00000000" w:rsidP="00000000" w:rsidRDefault="00000000" w:rsidRPr="00000000" w14:paraId="0000000A">
      <w:pPr>
        <w:widowControl w:val="0"/>
        <w:spacing w:after="320" w:lineRule="auto"/>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b w:val="1"/>
            <w:sz w:val="24"/>
            <w:szCs w:val="24"/>
            <w:rtl w:val="0"/>
          </w:rPr>
          <w:t xml:space="preserve">General Court</w:t>
        </w:r>
      </w:hyperlink>
      <w:r w:rsidDel="00000000" w:rsidR="00000000" w:rsidRPr="00000000">
        <w:rPr>
          <w:rFonts w:ascii="Times New Roman" w:cs="Times New Roman" w:eastAsia="Times New Roman" w:hAnsi="Times New Roman"/>
          <w:sz w:val="24"/>
          <w:szCs w:val="24"/>
          <w:rtl w:val="0"/>
        </w:rPr>
        <w:t xml:space="preserve"> – Responsible for dealing with </w:t>
      </w:r>
      <w:r w:rsidDel="00000000" w:rsidR="00000000" w:rsidRPr="00000000">
        <w:rPr>
          <w:rFonts w:ascii="Times New Roman" w:cs="Times New Roman" w:eastAsia="Times New Roman" w:hAnsi="Times New Roman"/>
          <w:sz w:val="24"/>
          <w:szCs w:val="24"/>
          <w:highlight w:val="white"/>
          <w:rtl w:val="0"/>
        </w:rPr>
        <w:t xml:space="preserve">actions taken against the </w:t>
      </w:r>
      <w:hyperlink r:id="rId8">
        <w:r w:rsidDel="00000000" w:rsidR="00000000" w:rsidRPr="00000000">
          <w:rPr>
            <w:rFonts w:ascii="Times New Roman" w:cs="Times New Roman" w:eastAsia="Times New Roman" w:hAnsi="Times New Roman"/>
            <w:sz w:val="24"/>
            <w:szCs w:val="24"/>
            <w:highlight w:val="white"/>
            <w:rtl w:val="0"/>
          </w:rPr>
          <w:t xml:space="preserve">institutions of the European Union</w:t>
        </w:r>
      </w:hyperlink>
      <w:r w:rsidDel="00000000" w:rsidR="00000000" w:rsidRPr="00000000">
        <w:rPr>
          <w:rFonts w:ascii="Times New Roman" w:cs="Times New Roman" w:eastAsia="Times New Roman" w:hAnsi="Times New Roman"/>
          <w:sz w:val="24"/>
          <w:szCs w:val="24"/>
          <w:highlight w:val="white"/>
          <w:rtl w:val="0"/>
        </w:rPr>
        <w:t xml:space="preserve"> by individuals and member states. 44 judges currently (will eventually increase to 56). </w:t>
      </w:r>
    </w:p>
    <w:p w:rsidR="00000000" w:rsidDel="00000000" w:rsidP="00000000" w:rsidRDefault="00000000" w:rsidRPr="00000000" w14:paraId="0000000B">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Court of Auditors</w:t>
      </w:r>
      <w:r w:rsidDel="00000000" w:rsidR="00000000" w:rsidRPr="00000000">
        <w:rPr>
          <w:rFonts w:ascii="Times New Roman" w:cs="Times New Roman" w:eastAsia="Times New Roman" w:hAnsi="Times New Roman"/>
          <w:sz w:val="24"/>
          <w:szCs w:val="24"/>
          <w:highlight w:val="white"/>
          <w:rtl w:val="0"/>
        </w:rPr>
        <w:t xml:space="preserve"> - Responsible for ensuring EU institutions use money effectively according to its’ designated purpose. </w:t>
      </w:r>
      <w:r w:rsidDel="00000000" w:rsidR="00000000" w:rsidRPr="00000000">
        <w:rPr>
          <w:rtl w:val="0"/>
        </w:rPr>
      </w:r>
    </w:p>
    <w:p w:rsidR="00000000" w:rsidDel="00000000" w:rsidP="00000000" w:rsidRDefault="00000000" w:rsidRPr="00000000" w14:paraId="0000000C">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How do the Courts Operate?</w:t>
      </w:r>
      <w:r w:rsidDel="00000000" w:rsidR="00000000" w:rsidRPr="00000000">
        <w:rPr>
          <w:rtl w:val="0"/>
        </w:rPr>
      </w:r>
    </w:p>
    <w:p w:rsidR="00000000" w:rsidDel="00000000" w:rsidP="00000000" w:rsidRDefault="00000000" w:rsidRPr="00000000" w14:paraId="0000000D">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of Justice</w:t>
      </w:r>
      <w:r w:rsidDel="00000000" w:rsidR="00000000" w:rsidRPr="00000000">
        <w:rPr>
          <w:rFonts w:ascii="Times New Roman" w:cs="Times New Roman" w:eastAsia="Times New Roman" w:hAnsi="Times New Roman"/>
          <w:sz w:val="24"/>
          <w:szCs w:val="24"/>
          <w:rtl w:val="0"/>
        </w:rPr>
        <w:t xml:space="preserve"> - Each case is assigned 1 </w:t>
      </w:r>
      <w:r w:rsidDel="00000000" w:rsidR="00000000" w:rsidRPr="00000000">
        <w:rPr>
          <w:rFonts w:ascii="Times New Roman" w:cs="Times New Roman" w:eastAsia="Times New Roman" w:hAnsi="Times New Roman"/>
          <w:b w:val="1"/>
          <w:sz w:val="24"/>
          <w:szCs w:val="24"/>
          <w:rtl w:val="0"/>
        </w:rPr>
        <w:t xml:space="preserve">judge-rapporteur</w:t>
      </w:r>
      <w:r w:rsidDel="00000000" w:rsidR="00000000" w:rsidRPr="00000000">
        <w:rPr>
          <w:rFonts w:ascii="Times New Roman" w:cs="Times New Roman" w:eastAsia="Times New Roman" w:hAnsi="Times New Roman"/>
          <w:sz w:val="24"/>
          <w:szCs w:val="24"/>
          <w:rtl w:val="0"/>
        </w:rPr>
        <w:t xml:space="preserve"> and 1 </w:t>
      </w:r>
      <w:r w:rsidDel="00000000" w:rsidR="00000000" w:rsidRPr="00000000">
        <w:rPr>
          <w:rFonts w:ascii="Times New Roman" w:cs="Times New Roman" w:eastAsia="Times New Roman" w:hAnsi="Times New Roman"/>
          <w:b w:val="1"/>
          <w:sz w:val="24"/>
          <w:szCs w:val="24"/>
          <w:rtl w:val="0"/>
        </w:rPr>
        <w:t xml:space="preserve">advocate general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Cases are assigned  to a relevant divisional presiding judge whose office</w:t>
      </w:r>
      <w:r w:rsidDel="00000000" w:rsidR="00000000" w:rsidRPr="00000000">
        <w:rPr>
          <w:rFonts w:ascii="Times New Roman" w:cs="Times New Roman" w:eastAsia="Times New Roman" w:hAnsi="Times New Roman"/>
          <w:sz w:val="24"/>
          <w:szCs w:val="24"/>
          <w:rtl w:val="0"/>
        </w:rPr>
        <w:t xml:space="preserve"> is responsible for writing preliminary reports for each applicable case. Depending on the complexity of the case, a different number of judges will be present. For small cases you will have 3 or 5 judges present while larger cases require either 15 or all judges to be present. </w:t>
      </w:r>
    </w:p>
    <w:p w:rsidR="00000000" w:rsidDel="00000000" w:rsidP="00000000" w:rsidRDefault="00000000" w:rsidRPr="00000000" w14:paraId="0000000E">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Court</w:t>
      </w:r>
      <w:r w:rsidDel="00000000" w:rsidR="00000000" w:rsidRPr="00000000">
        <w:rPr>
          <w:rFonts w:ascii="Times New Roman" w:cs="Times New Roman" w:eastAsia="Times New Roman" w:hAnsi="Times New Roman"/>
          <w:sz w:val="24"/>
          <w:szCs w:val="24"/>
          <w:rtl w:val="0"/>
        </w:rPr>
        <w:t xml:space="preserve"> - Same </w:t>
      </w:r>
      <w:r w:rsidDel="00000000" w:rsidR="00000000" w:rsidRPr="00000000">
        <w:rPr>
          <w:rFonts w:ascii="Times New Roman" w:cs="Times New Roman" w:eastAsia="Times New Roman" w:hAnsi="Times New Roman"/>
          <w:b w:val="1"/>
          <w:sz w:val="24"/>
          <w:szCs w:val="24"/>
          <w:rtl w:val="0"/>
        </w:rPr>
        <w:t xml:space="preserve">written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oral </w:t>
      </w:r>
      <w:r w:rsidDel="00000000" w:rsidR="00000000" w:rsidRPr="00000000">
        <w:rPr>
          <w:rFonts w:ascii="Times New Roman" w:cs="Times New Roman" w:eastAsia="Times New Roman" w:hAnsi="Times New Roman"/>
          <w:sz w:val="24"/>
          <w:szCs w:val="24"/>
          <w:rtl w:val="0"/>
        </w:rPr>
        <w:t xml:space="preserve">stages as the </w:t>
      </w:r>
      <w:r w:rsidDel="00000000" w:rsidR="00000000" w:rsidRPr="00000000">
        <w:rPr>
          <w:rFonts w:ascii="Times New Roman" w:cs="Times New Roman" w:eastAsia="Times New Roman" w:hAnsi="Times New Roman"/>
          <w:b w:val="1"/>
          <w:sz w:val="24"/>
          <w:szCs w:val="24"/>
          <w:rtl w:val="0"/>
        </w:rPr>
        <w:t xml:space="preserve">Court of Justice</w:t>
      </w:r>
      <w:r w:rsidDel="00000000" w:rsidR="00000000" w:rsidRPr="00000000">
        <w:rPr>
          <w:rFonts w:ascii="Times New Roman" w:cs="Times New Roman" w:eastAsia="Times New Roman" w:hAnsi="Times New Roman"/>
          <w:sz w:val="24"/>
          <w:szCs w:val="24"/>
          <w:rtl w:val="0"/>
        </w:rPr>
        <w:t xml:space="preserve">. Normally 3 judges maximum and no </w:t>
      </w:r>
      <w:r w:rsidDel="00000000" w:rsidR="00000000" w:rsidRPr="00000000">
        <w:rPr>
          <w:rFonts w:ascii="Times New Roman" w:cs="Times New Roman" w:eastAsia="Times New Roman" w:hAnsi="Times New Roman"/>
          <w:b w:val="1"/>
          <w:sz w:val="24"/>
          <w:szCs w:val="24"/>
          <w:rtl w:val="0"/>
        </w:rPr>
        <w:t xml:space="preserve">advocate general </w:t>
      </w:r>
      <w:r w:rsidDel="00000000" w:rsidR="00000000" w:rsidRPr="00000000">
        <w:rPr>
          <w:rFonts w:ascii="Times New Roman" w:cs="Times New Roman" w:eastAsia="Times New Roman" w:hAnsi="Times New Roman"/>
          <w:sz w:val="24"/>
          <w:szCs w:val="24"/>
          <w:rtl w:val="0"/>
        </w:rPr>
        <w:t xml:space="preserve">appointed.</w:t>
      </w:r>
    </w:p>
    <w:p w:rsidR="00000000" w:rsidDel="00000000" w:rsidP="00000000" w:rsidRDefault="00000000" w:rsidRPr="00000000" w14:paraId="0000000F">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are processed in </w:t>
      </w:r>
      <w:r w:rsidDel="00000000" w:rsidR="00000000" w:rsidRPr="00000000">
        <w:rPr>
          <w:rFonts w:ascii="Times New Roman" w:cs="Times New Roman" w:eastAsia="Times New Roman" w:hAnsi="Times New Roman"/>
          <w:b w:val="1"/>
          <w:sz w:val="24"/>
          <w:szCs w:val="24"/>
          <w:rtl w:val="0"/>
        </w:rPr>
        <w:t xml:space="preserve">2 stages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Written stage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1">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involved give written statements to the court, and an excess documentation from foreign parties, national authorities or institutions can be presented at this time.</w:t>
      </w:r>
    </w:p>
    <w:p w:rsidR="00000000" w:rsidDel="00000000" w:rsidP="00000000" w:rsidRDefault="00000000" w:rsidRPr="00000000" w14:paraId="00000012">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judge-rapporteur is then responsible for compiling all data and creating a report which is then discussed at the courts general meeting. </w:t>
      </w:r>
    </w:p>
    <w:p w:rsidR="00000000" w:rsidDel="00000000" w:rsidP="00000000" w:rsidRDefault="00000000" w:rsidRPr="00000000" w14:paraId="00000013">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discussion the court will decide if a public hearing has been deemed necessary. </w:t>
      </w:r>
    </w:p>
    <w:p w:rsidR="00000000" w:rsidDel="00000000" w:rsidP="00000000" w:rsidRDefault="00000000" w:rsidRPr="00000000" w14:paraId="00000014">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the court will decide the outcome during this stage. </w:t>
      </w:r>
    </w:p>
    <w:p w:rsidR="00000000" w:rsidDel="00000000" w:rsidP="00000000" w:rsidRDefault="00000000" w:rsidRPr="00000000" w14:paraId="00000015">
      <w:pPr>
        <w:widowControl w:val="0"/>
        <w:numPr>
          <w:ilvl w:val="0"/>
          <w:numId w:val="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court decides public hearings are necessary, the court moves into an </w:t>
      </w:r>
      <w:r w:rsidDel="00000000" w:rsidR="00000000" w:rsidRPr="00000000">
        <w:rPr>
          <w:rFonts w:ascii="Times New Roman" w:cs="Times New Roman" w:eastAsia="Times New Roman" w:hAnsi="Times New Roman"/>
          <w:b w:val="1"/>
          <w:sz w:val="24"/>
          <w:szCs w:val="24"/>
          <w:rtl w:val="0"/>
        </w:rPr>
        <w:t xml:space="preserve">Oral stage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after="3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are some well known cases?</w:t>
      </w:r>
    </w:p>
    <w:p w:rsidR="00000000" w:rsidDel="00000000" w:rsidP="00000000" w:rsidRDefault="00000000" w:rsidRPr="00000000" w14:paraId="00000017">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Van Gend en Loos</w:t>
      </w:r>
      <w:r w:rsidDel="00000000" w:rsidR="00000000" w:rsidRPr="00000000">
        <w:rPr>
          <w:rFonts w:ascii="Times New Roman" w:cs="Times New Roman" w:eastAsia="Times New Roman" w:hAnsi="Times New Roman"/>
          <w:b w:val="1"/>
          <w:sz w:val="24"/>
          <w:szCs w:val="24"/>
          <w:rtl w:val="0"/>
        </w:rPr>
        <w:t xml:space="preserve"> - Van Gend en Loos</w:t>
      </w:r>
      <w:r w:rsidDel="00000000" w:rsidR="00000000" w:rsidRPr="00000000">
        <w:rPr>
          <w:rFonts w:ascii="Times New Roman" w:cs="Times New Roman" w:eastAsia="Times New Roman" w:hAnsi="Times New Roman"/>
          <w:sz w:val="24"/>
          <w:szCs w:val="24"/>
          <w:rtl w:val="0"/>
        </w:rPr>
        <w:t xml:space="preserve"> was presented to the court in 1963 and </w:t>
      </w:r>
      <w:r w:rsidDel="00000000" w:rsidR="00000000" w:rsidRPr="00000000">
        <w:rPr>
          <w:rFonts w:ascii="Times New Roman" w:cs="Times New Roman" w:eastAsia="Times New Roman" w:hAnsi="Times New Roman"/>
          <w:sz w:val="24"/>
          <w:szCs w:val="24"/>
          <w:highlight w:val="white"/>
          <w:rtl w:val="0"/>
        </w:rPr>
        <w:t xml:space="preserve">established that provisions of the </w:t>
      </w:r>
      <w:hyperlink r:id="rId9">
        <w:r w:rsidDel="00000000" w:rsidR="00000000" w:rsidRPr="00000000">
          <w:rPr>
            <w:rFonts w:ascii="Times New Roman" w:cs="Times New Roman" w:eastAsia="Times New Roman" w:hAnsi="Times New Roman"/>
            <w:b w:val="1"/>
            <w:sz w:val="24"/>
            <w:szCs w:val="24"/>
            <w:highlight w:val="white"/>
            <w:rtl w:val="0"/>
          </w:rPr>
          <w:t xml:space="preserve">Treaty Establishing the European Economic Community</w:t>
        </w:r>
      </w:hyperlink>
      <w:r w:rsidDel="00000000" w:rsidR="00000000" w:rsidRPr="00000000">
        <w:rPr>
          <w:rFonts w:ascii="Times New Roman" w:cs="Times New Roman" w:eastAsia="Times New Roman" w:hAnsi="Times New Roman"/>
          <w:sz w:val="24"/>
          <w:szCs w:val="24"/>
          <w:rtl w:val="0"/>
        </w:rPr>
        <w:t xml:space="preserve">. This essentially ruled that both natural and legal persons had legal rights when in front of the Courts.</w:t>
      </w:r>
    </w:p>
    <w:p w:rsidR="00000000" w:rsidDel="00000000" w:rsidP="00000000" w:rsidRDefault="00000000" w:rsidRPr="00000000" w14:paraId="00000018">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 Gend en Loos</w:t>
      </w:r>
      <w:r w:rsidDel="00000000" w:rsidR="00000000" w:rsidRPr="00000000">
        <w:rPr>
          <w:rFonts w:ascii="Times New Roman" w:cs="Times New Roman" w:eastAsia="Times New Roman" w:hAnsi="Times New Roman"/>
          <w:sz w:val="24"/>
          <w:szCs w:val="24"/>
          <w:rtl w:val="0"/>
        </w:rPr>
        <w:t xml:space="preserve"> was a postal and transportation company operating in the </w:t>
      </w:r>
      <w:r w:rsidDel="00000000" w:rsidR="00000000" w:rsidRPr="00000000">
        <w:rPr>
          <w:rFonts w:ascii="Times New Roman" w:cs="Times New Roman" w:eastAsia="Times New Roman" w:hAnsi="Times New Roman"/>
          <w:b w:val="1"/>
          <w:sz w:val="24"/>
          <w:szCs w:val="24"/>
          <w:rtl w:val="0"/>
        </w:rPr>
        <w:t xml:space="preserve">Netherlands </w:t>
      </w:r>
      <w:r w:rsidDel="00000000" w:rsidR="00000000" w:rsidRPr="00000000">
        <w:rPr>
          <w:rFonts w:ascii="Times New Roman" w:cs="Times New Roman" w:eastAsia="Times New Roman" w:hAnsi="Times New Roman"/>
          <w:sz w:val="24"/>
          <w:szCs w:val="24"/>
          <w:rtl w:val="0"/>
        </w:rPr>
        <w:t xml:space="preserve">which imported formaldehyde from </w:t>
      </w:r>
      <w:r w:rsidDel="00000000" w:rsidR="00000000" w:rsidRPr="00000000">
        <w:rPr>
          <w:rFonts w:ascii="Times New Roman" w:cs="Times New Roman" w:eastAsia="Times New Roman" w:hAnsi="Times New Roman"/>
          <w:b w:val="1"/>
          <w:sz w:val="24"/>
          <w:szCs w:val="24"/>
          <w:rtl w:val="0"/>
        </w:rPr>
        <w:t xml:space="preserve">West Germany</w:t>
      </w:r>
      <w:r w:rsidDel="00000000" w:rsidR="00000000" w:rsidRPr="00000000">
        <w:rPr>
          <w:rFonts w:ascii="Times New Roman" w:cs="Times New Roman" w:eastAsia="Times New Roman" w:hAnsi="Times New Roman"/>
          <w:sz w:val="24"/>
          <w:szCs w:val="24"/>
          <w:rtl w:val="0"/>
        </w:rPr>
        <w:t xml:space="preserve"> and was subsequently charged tariffs on the import.  The company felt this was a violation of the </w:t>
      </w:r>
      <w:r w:rsidDel="00000000" w:rsidR="00000000" w:rsidRPr="00000000">
        <w:rPr>
          <w:rFonts w:ascii="Times New Roman" w:cs="Times New Roman" w:eastAsia="Times New Roman" w:hAnsi="Times New Roman"/>
          <w:b w:val="1"/>
          <w:sz w:val="24"/>
          <w:szCs w:val="24"/>
          <w:rtl w:val="0"/>
        </w:rPr>
        <w:t xml:space="preserve">Treaty of Rome</w:t>
      </w:r>
      <w:r w:rsidDel="00000000" w:rsidR="00000000" w:rsidRPr="00000000">
        <w:rPr>
          <w:rFonts w:ascii="Times New Roman" w:cs="Times New Roman" w:eastAsia="Times New Roman" w:hAnsi="Times New Roman"/>
          <w:sz w:val="24"/>
          <w:szCs w:val="24"/>
          <w:rtl w:val="0"/>
        </w:rPr>
        <w:t xml:space="preserve"> which stated states did not have the right to create or enforce their own tariffs on top of already existing tariffs. </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ruled in favor of </w:t>
      </w:r>
      <w:r w:rsidDel="00000000" w:rsidR="00000000" w:rsidRPr="00000000">
        <w:rPr>
          <w:rFonts w:ascii="Times New Roman" w:cs="Times New Roman" w:eastAsia="Times New Roman" w:hAnsi="Times New Roman"/>
          <w:b w:val="1"/>
          <w:sz w:val="24"/>
          <w:szCs w:val="24"/>
          <w:rtl w:val="0"/>
        </w:rPr>
        <w:t xml:space="preserve">Van Gend en Loos</w:t>
      </w:r>
      <w:r w:rsidDel="00000000" w:rsidR="00000000" w:rsidRPr="00000000">
        <w:rPr>
          <w:rFonts w:ascii="Times New Roman" w:cs="Times New Roman" w:eastAsia="Times New Roman" w:hAnsi="Times New Roman"/>
          <w:sz w:val="24"/>
          <w:szCs w:val="24"/>
          <w:rtl w:val="0"/>
        </w:rPr>
        <w:t xml:space="preserve"> stating legal parties should be able to act as enforcers in national courts. This case also gave legal protection to legal parties bringing cases forward, a protection previously only provided to natural persons. </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Cassis de Dijon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Rewe-Zentral AG v Bundesmonopolverwaltung für Branntwein</w:t>
      </w:r>
      <w:r w:rsidDel="00000000" w:rsidR="00000000" w:rsidRPr="00000000">
        <w:rPr>
          <w:rFonts w:ascii="Times New Roman" w:cs="Times New Roman" w:eastAsia="Times New Roman" w:hAnsi="Times New Roman"/>
          <w:sz w:val="24"/>
          <w:szCs w:val="24"/>
          <w:rtl w:val="0"/>
        </w:rPr>
        <w:t xml:space="preserve"> also known as </w:t>
      </w:r>
      <w:r w:rsidDel="00000000" w:rsidR="00000000" w:rsidRPr="00000000">
        <w:rPr>
          <w:rFonts w:ascii="Times New Roman" w:cs="Times New Roman" w:eastAsia="Times New Roman" w:hAnsi="Times New Roman"/>
          <w:b w:val="1"/>
          <w:sz w:val="24"/>
          <w:szCs w:val="24"/>
          <w:rtl w:val="0"/>
        </w:rPr>
        <w:t xml:space="preserve">Cassis de Dijon</w:t>
      </w:r>
      <w:r w:rsidDel="00000000" w:rsidR="00000000" w:rsidRPr="00000000">
        <w:rPr>
          <w:rFonts w:ascii="Times New Roman" w:cs="Times New Roman" w:eastAsia="Times New Roman" w:hAnsi="Times New Roman"/>
          <w:sz w:val="24"/>
          <w:szCs w:val="24"/>
          <w:rtl w:val="0"/>
        </w:rPr>
        <w:t xml:space="preserve">  and was between</w:t>
      </w:r>
      <w:r w:rsidDel="00000000" w:rsidR="00000000" w:rsidRPr="00000000">
        <w:rPr>
          <w:rFonts w:ascii="Times New Roman" w:cs="Times New Roman" w:eastAsia="Times New Roman" w:hAnsi="Times New Roman"/>
          <w:b w:val="1"/>
          <w:sz w:val="24"/>
          <w:szCs w:val="24"/>
          <w:rtl w:val="0"/>
        </w:rPr>
        <w:t xml:space="preserve"> Rewe</w:t>
      </w:r>
      <w:r w:rsidDel="00000000" w:rsidR="00000000" w:rsidRPr="00000000">
        <w:rPr>
          <w:rFonts w:ascii="Times New Roman" w:cs="Times New Roman" w:eastAsia="Times New Roman" w:hAnsi="Times New Roman"/>
          <w:sz w:val="24"/>
          <w:szCs w:val="24"/>
          <w:rtl w:val="0"/>
        </w:rPr>
        <w:t xml:space="preserve">, a manufacturing company, and the nation of </w:t>
      </w:r>
      <w:r w:rsidDel="00000000" w:rsidR="00000000" w:rsidRPr="00000000">
        <w:rPr>
          <w:rFonts w:ascii="Times New Roman" w:cs="Times New Roman" w:eastAsia="Times New Roman" w:hAnsi="Times New Roman"/>
          <w:b w:val="1"/>
          <w:sz w:val="24"/>
          <w:szCs w:val="24"/>
          <w:rtl w:val="0"/>
        </w:rPr>
        <w:t xml:space="preserve">Germany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Rewe</w:t>
      </w:r>
      <w:r w:rsidDel="00000000" w:rsidR="00000000" w:rsidRPr="00000000">
        <w:rPr>
          <w:rFonts w:ascii="Times New Roman" w:cs="Times New Roman" w:eastAsia="Times New Roman" w:hAnsi="Times New Roman"/>
          <w:sz w:val="24"/>
          <w:szCs w:val="24"/>
          <w:rtl w:val="0"/>
        </w:rPr>
        <w:t xml:space="preserve"> sold a type of fruit Liqueur known as </w:t>
      </w:r>
      <w:r w:rsidDel="00000000" w:rsidR="00000000" w:rsidRPr="00000000">
        <w:rPr>
          <w:rFonts w:ascii="Times New Roman" w:cs="Times New Roman" w:eastAsia="Times New Roman" w:hAnsi="Times New Roman"/>
          <w:b w:val="1"/>
          <w:sz w:val="24"/>
          <w:szCs w:val="24"/>
          <w:rtl w:val="0"/>
        </w:rPr>
        <w:t xml:space="preserve">Cassis de Dijon</w:t>
      </w:r>
      <w:r w:rsidDel="00000000" w:rsidR="00000000" w:rsidRPr="00000000">
        <w:rPr>
          <w:rFonts w:ascii="Times New Roman" w:cs="Times New Roman" w:eastAsia="Times New Roman" w:hAnsi="Times New Roman"/>
          <w:sz w:val="24"/>
          <w:szCs w:val="24"/>
          <w:rtl w:val="0"/>
        </w:rPr>
        <w:t xml:space="preserve"> which was produced in France. The liqueur had an ABV level of between 15-20% but by </w:t>
      </w:r>
      <w:r w:rsidDel="00000000" w:rsidR="00000000" w:rsidRPr="00000000">
        <w:rPr>
          <w:rFonts w:ascii="Times New Roman" w:cs="Times New Roman" w:eastAsia="Times New Roman" w:hAnsi="Times New Roman"/>
          <w:b w:val="1"/>
          <w:sz w:val="24"/>
          <w:szCs w:val="24"/>
          <w:rtl w:val="0"/>
        </w:rPr>
        <w:t xml:space="preserve">German </w:t>
      </w:r>
      <w:r w:rsidDel="00000000" w:rsidR="00000000" w:rsidRPr="00000000">
        <w:rPr>
          <w:rFonts w:ascii="Times New Roman" w:cs="Times New Roman" w:eastAsia="Times New Roman" w:hAnsi="Times New Roman"/>
          <w:sz w:val="24"/>
          <w:szCs w:val="24"/>
          <w:rtl w:val="0"/>
        </w:rPr>
        <w:t xml:space="preserve">regulation, any liqueur sold in </w:t>
      </w:r>
      <w:r w:rsidDel="00000000" w:rsidR="00000000" w:rsidRPr="00000000">
        <w:rPr>
          <w:rFonts w:ascii="Times New Roman" w:cs="Times New Roman" w:eastAsia="Times New Roman" w:hAnsi="Times New Roman"/>
          <w:b w:val="1"/>
          <w:sz w:val="24"/>
          <w:szCs w:val="24"/>
          <w:rtl w:val="0"/>
        </w:rPr>
        <w:t xml:space="preserve">Germany</w:t>
      </w:r>
      <w:r w:rsidDel="00000000" w:rsidR="00000000" w:rsidRPr="00000000">
        <w:rPr>
          <w:rFonts w:ascii="Times New Roman" w:cs="Times New Roman" w:eastAsia="Times New Roman" w:hAnsi="Times New Roman"/>
          <w:sz w:val="24"/>
          <w:szCs w:val="24"/>
          <w:rtl w:val="0"/>
        </w:rPr>
        <w:t xml:space="preserve"> had to have an ABV level of at least 25%. </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w:t>
      </w:r>
      <w:r w:rsidDel="00000000" w:rsidR="00000000" w:rsidRPr="00000000">
        <w:rPr>
          <w:rFonts w:ascii="Times New Roman" w:cs="Times New Roman" w:eastAsia="Times New Roman" w:hAnsi="Times New Roman"/>
          <w:sz w:val="24"/>
          <w:szCs w:val="24"/>
          <w:highlight w:val="white"/>
          <w:rtl w:val="0"/>
        </w:rPr>
        <w:t xml:space="preserve">established the principle that, in essence, products sold lawfully in one Member State may not be prohibited from sale in another. It further held that Member States may only place restrictions on the free movement of goods on certain very specific public interest grounds: in particular to ensure fiscal supervision, the protection of public health, the fairness of commercial transactions and the defence of the consumer. The principle of mutual recognition is conducive to competition and, thereby, prosperity.</w:t>
      </w: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Kadi and Al Barakaat International Foundation v Council and Commission</w:t>
      </w:r>
      <w:r w:rsidDel="00000000" w:rsidR="00000000" w:rsidRPr="00000000">
        <w:rPr>
          <w:rFonts w:ascii="Times New Roman" w:cs="Times New Roman" w:eastAsia="Times New Roman" w:hAnsi="Times New Roman"/>
          <w:b w:val="1"/>
          <w:sz w:val="24"/>
          <w:szCs w:val="24"/>
          <w:highlight w:val="white"/>
          <w:rtl w:val="0"/>
        </w:rPr>
        <w:t xml:space="preserve"> - </w:t>
      </w:r>
      <w:r w:rsidDel="00000000" w:rsidR="00000000" w:rsidRPr="00000000">
        <w:rPr>
          <w:rFonts w:ascii="Times New Roman" w:cs="Times New Roman" w:eastAsia="Times New Roman" w:hAnsi="Times New Roman"/>
          <w:b w:val="1"/>
          <w:sz w:val="24"/>
          <w:szCs w:val="24"/>
          <w:rtl w:val="0"/>
        </w:rPr>
        <w:t xml:space="preserve">Kadi v Commission </w:t>
      </w:r>
      <w:r w:rsidDel="00000000" w:rsidR="00000000" w:rsidRPr="00000000">
        <w:rPr>
          <w:rFonts w:ascii="Times New Roman" w:cs="Times New Roman" w:eastAsia="Times New Roman" w:hAnsi="Times New Roman"/>
          <w:sz w:val="24"/>
          <w:szCs w:val="24"/>
          <w:rtl w:val="0"/>
        </w:rPr>
        <w:t xml:space="preserve">was a court case in 2008.</w:t>
      </w:r>
      <w:r w:rsidDel="00000000" w:rsidR="00000000" w:rsidRPr="00000000">
        <w:rPr>
          <w:rFonts w:ascii="Times New Roman" w:cs="Times New Roman" w:eastAsia="Times New Roman" w:hAnsi="Times New Roman"/>
          <w:b w:val="1"/>
          <w:sz w:val="24"/>
          <w:szCs w:val="24"/>
          <w:rtl w:val="0"/>
        </w:rPr>
        <w:t xml:space="preserve"> </w:t>
      </w:r>
      <w:hyperlink r:id="rId10">
        <w:r w:rsidDel="00000000" w:rsidR="00000000" w:rsidRPr="00000000">
          <w:rPr>
            <w:rFonts w:ascii="Times New Roman" w:cs="Times New Roman" w:eastAsia="Times New Roman" w:hAnsi="Times New Roman"/>
            <w:b w:val="1"/>
            <w:sz w:val="24"/>
            <w:szCs w:val="24"/>
            <w:highlight w:val="white"/>
            <w:rtl w:val="0"/>
          </w:rPr>
          <w:t xml:space="preserve">Mr Kadi</w:t>
        </w:r>
      </w:hyperlink>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 resident from Saudi Arabia, with assets in</w:t>
      </w:r>
      <w:r w:rsidDel="00000000" w:rsidR="00000000" w:rsidRPr="00000000">
        <w:rPr>
          <w:rFonts w:ascii="Times New Roman" w:cs="Times New Roman" w:eastAsia="Times New Roman" w:hAnsi="Times New Roman"/>
          <w:b w:val="1"/>
          <w:sz w:val="24"/>
          <w:szCs w:val="24"/>
          <w:highlight w:val="white"/>
          <w:rtl w:val="0"/>
        </w:rPr>
        <w:t xml:space="preserve"> </w:t>
      </w:r>
      <w:hyperlink r:id="rId11">
        <w:r w:rsidDel="00000000" w:rsidR="00000000" w:rsidRPr="00000000">
          <w:rPr>
            <w:rFonts w:ascii="Times New Roman" w:cs="Times New Roman" w:eastAsia="Times New Roman" w:hAnsi="Times New Roman"/>
            <w:b w:val="1"/>
            <w:sz w:val="24"/>
            <w:szCs w:val="24"/>
            <w:highlight w:val="white"/>
            <w:rtl w:val="0"/>
          </w:rPr>
          <w:t xml:space="preserve">Sweden</w:t>
        </w:r>
      </w:hyperlink>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Al Barakaat</w:t>
      </w:r>
      <w:r w:rsidDel="00000000" w:rsidR="00000000" w:rsidRPr="00000000">
        <w:rPr>
          <w:rFonts w:ascii="Times New Roman" w:cs="Times New Roman" w:eastAsia="Times New Roman" w:hAnsi="Times New Roman"/>
          <w:sz w:val="24"/>
          <w:szCs w:val="24"/>
          <w:highlight w:val="white"/>
          <w:rtl w:val="0"/>
        </w:rPr>
        <w:t xml:space="preserve">, a charity for Somali refugees, claimed that their assets being frozen was unlawful. Their property was seized without any court hearing or right of redress or allegation of wrongdoing. </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hyperlink r:id="rId12">
        <w:r w:rsidDel="00000000" w:rsidR="00000000" w:rsidRPr="00000000">
          <w:rPr>
            <w:rFonts w:ascii="Times New Roman" w:cs="Times New Roman" w:eastAsia="Times New Roman" w:hAnsi="Times New Roman"/>
            <w:b w:val="1"/>
            <w:sz w:val="24"/>
            <w:szCs w:val="24"/>
            <w:highlight w:val="white"/>
            <w:rtl w:val="0"/>
          </w:rPr>
          <w:t xml:space="preserve">UN Security Council</w:t>
        </w:r>
      </w:hyperlink>
      <w:r w:rsidDel="00000000" w:rsidR="00000000" w:rsidRPr="00000000">
        <w:rPr>
          <w:rFonts w:ascii="Times New Roman" w:cs="Times New Roman" w:eastAsia="Times New Roman" w:hAnsi="Times New Roman"/>
          <w:sz w:val="24"/>
          <w:szCs w:val="24"/>
          <w:highlight w:val="white"/>
          <w:rtl w:val="0"/>
        </w:rPr>
        <w:t xml:space="preserve"> adopted resolutions under Chapter VII to freeze assets of people and groups associated with the </w:t>
      </w:r>
      <w:r w:rsidDel="00000000" w:rsidR="00000000" w:rsidRPr="00000000">
        <w:rPr>
          <w:rFonts w:ascii="Times New Roman" w:cs="Times New Roman" w:eastAsia="Times New Roman" w:hAnsi="Times New Roman"/>
          <w:b w:val="1"/>
          <w:sz w:val="24"/>
          <w:szCs w:val="24"/>
          <w:highlight w:val="white"/>
          <w:rtl w:val="0"/>
        </w:rPr>
        <w:t xml:space="preserve">Taliban</w:t>
      </w:r>
      <w:r w:rsidDel="00000000" w:rsidR="00000000" w:rsidRPr="00000000">
        <w:rPr>
          <w:rFonts w:ascii="Times New Roman" w:cs="Times New Roman" w:eastAsia="Times New Roman" w:hAnsi="Times New Roman"/>
          <w:sz w:val="24"/>
          <w:szCs w:val="24"/>
          <w:highlight w:val="white"/>
          <w:rtl w:val="0"/>
        </w:rPr>
        <w:t xml:space="preserve"> and </w:t>
      </w:r>
      <w:hyperlink r:id="rId13">
        <w:r w:rsidDel="00000000" w:rsidR="00000000" w:rsidRPr="00000000">
          <w:rPr>
            <w:rFonts w:ascii="Times New Roman" w:cs="Times New Roman" w:eastAsia="Times New Roman" w:hAnsi="Times New Roman"/>
            <w:b w:val="1"/>
            <w:sz w:val="24"/>
            <w:szCs w:val="24"/>
            <w:highlight w:val="white"/>
            <w:rtl w:val="0"/>
          </w:rPr>
          <w:t xml:space="preserve">Osama Bin Laden</w:t>
        </w:r>
      </w:hyperlink>
      <w:r w:rsidDel="00000000" w:rsidR="00000000" w:rsidRPr="00000000">
        <w:rPr>
          <w:rFonts w:ascii="Times New Roman" w:cs="Times New Roman" w:eastAsia="Times New Roman" w:hAnsi="Times New Roman"/>
          <w:sz w:val="24"/>
          <w:szCs w:val="24"/>
          <w:highlight w:val="white"/>
          <w:rtl w:val="0"/>
        </w:rPr>
        <w:t xml:space="preserve">. The EU adopted Regulations to give effect.</w:t>
      </w:r>
      <w:r w:rsidDel="00000000" w:rsidR="00000000" w:rsidRPr="00000000">
        <w:rPr>
          <w:rFonts w:ascii="Times New Roman" w:cs="Times New Roman" w:eastAsia="Times New Roman" w:hAnsi="Times New Roman"/>
          <w:b w:val="1"/>
          <w:sz w:val="24"/>
          <w:szCs w:val="24"/>
          <w:highlight w:val="white"/>
          <w:rtl w:val="0"/>
        </w:rPr>
        <w:t xml:space="preserve"> Sweden</w:t>
      </w:r>
      <w:r w:rsidDel="00000000" w:rsidR="00000000" w:rsidRPr="00000000">
        <w:rPr>
          <w:rFonts w:ascii="Times New Roman" w:cs="Times New Roman" w:eastAsia="Times New Roman" w:hAnsi="Times New Roman"/>
          <w:sz w:val="24"/>
          <w:szCs w:val="24"/>
          <w:highlight w:val="white"/>
          <w:rtl w:val="0"/>
        </w:rPr>
        <w:t xml:space="preserve"> had given effect to the Regulation. The claimants were named in the Resolution and Regulation. They claimed the Regulation should be annulled under </w:t>
      </w:r>
      <w:hyperlink r:id="rId14">
        <w:r w:rsidDel="00000000" w:rsidR="00000000" w:rsidRPr="00000000">
          <w:rPr>
            <w:rFonts w:ascii="Times New Roman" w:cs="Times New Roman" w:eastAsia="Times New Roman" w:hAnsi="Times New Roman"/>
            <w:sz w:val="24"/>
            <w:szCs w:val="24"/>
            <w:highlight w:val="white"/>
            <w:rtl w:val="0"/>
          </w:rPr>
          <w:t xml:space="preserve">TFEU</w:t>
        </w:r>
      </w:hyperlink>
      <w:r w:rsidDel="00000000" w:rsidR="00000000" w:rsidRPr="00000000">
        <w:rPr>
          <w:rFonts w:ascii="Times New Roman" w:cs="Times New Roman" w:eastAsia="Times New Roman" w:hAnsi="Times New Roman"/>
          <w:sz w:val="24"/>
          <w:szCs w:val="24"/>
          <w:highlight w:val="white"/>
          <w:rtl w:val="0"/>
        </w:rPr>
        <w:t xml:space="preserve"> article 263 and it was a breach of human rights.</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General Court </w:t>
      </w:r>
      <w:r w:rsidDel="00000000" w:rsidR="00000000" w:rsidRPr="00000000">
        <w:rPr>
          <w:rFonts w:ascii="Times New Roman" w:cs="Times New Roman" w:eastAsia="Times New Roman" w:hAnsi="Times New Roman"/>
          <w:sz w:val="24"/>
          <w:szCs w:val="24"/>
          <w:highlight w:val="white"/>
          <w:rtl w:val="0"/>
        </w:rPr>
        <w:t xml:space="preserve">ruled in favor of the </w:t>
      </w:r>
      <w:r w:rsidDel="00000000" w:rsidR="00000000" w:rsidRPr="00000000">
        <w:rPr>
          <w:rFonts w:ascii="Times New Roman" w:cs="Times New Roman" w:eastAsia="Times New Roman" w:hAnsi="Times New Roman"/>
          <w:b w:val="1"/>
          <w:sz w:val="24"/>
          <w:szCs w:val="24"/>
          <w:highlight w:val="white"/>
          <w:rtl w:val="0"/>
        </w:rPr>
        <w:t xml:space="preserve">Commision</w:t>
      </w:r>
      <w:r w:rsidDel="00000000" w:rsidR="00000000" w:rsidRPr="00000000">
        <w:rPr>
          <w:rFonts w:ascii="Times New Roman" w:cs="Times New Roman" w:eastAsia="Times New Roman" w:hAnsi="Times New Roman"/>
          <w:sz w:val="24"/>
          <w:szCs w:val="24"/>
          <w:highlight w:val="white"/>
          <w:rtl w:val="0"/>
        </w:rPr>
        <w:t xml:space="preserve">, but the case was appealed to the </w:t>
      </w:r>
      <w:r w:rsidDel="00000000" w:rsidR="00000000" w:rsidRPr="00000000">
        <w:rPr>
          <w:rFonts w:ascii="Times New Roman" w:cs="Times New Roman" w:eastAsia="Times New Roman" w:hAnsi="Times New Roman"/>
          <w:b w:val="1"/>
          <w:sz w:val="24"/>
          <w:szCs w:val="24"/>
          <w:highlight w:val="white"/>
          <w:rtl w:val="0"/>
        </w:rPr>
        <w:t xml:space="preserve">Court of Justice</w:t>
      </w:r>
      <w:r w:rsidDel="00000000" w:rsidR="00000000" w:rsidRPr="00000000">
        <w:rPr>
          <w:rFonts w:ascii="Times New Roman" w:cs="Times New Roman" w:eastAsia="Times New Roman" w:hAnsi="Times New Roman"/>
          <w:sz w:val="24"/>
          <w:szCs w:val="24"/>
          <w:highlight w:val="white"/>
          <w:rtl w:val="0"/>
        </w:rPr>
        <w:t xml:space="preserve"> who claimed the court had no right to judge cases based on treaties signed by the Security council, and ruled in favor of the respondents.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weden" TargetMode="External"/><Relationship Id="rId10" Type="http://schemas.openxmlformats.org/officeDocument/2006/relationships/hyperlink" Target="https://en.wikipedia.org/wiki/Mr_Kadi" TargetMode="External"/><Relationship Id="rId13" Type="http://schemas.openxmlformats.org/officeDocument/2006/relationships/hyperlink" Target="https://en.wikipedia.org/wiki/Osama_Bin_Laden" TargetMode="External"/><Relationship Id="rId12" Type="http://schemas.openxmlformats.org/officeDocument/2006/relationships/hyperlink" Target="https://en.wikipedia.org/wiki/UN_Security_Counc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reaties_of_Rome" TargetMode="External"/><Relationship Id="rId14" Type="http://schemas.openxmlformats.org/officeDocument/2006/relationships/hyperlink" Target="https://en.wikipedia.org/wiki/TFEU" TargetMode="External"/><Relationship Id="rId5" Type="http://schemas.openxmlformats.org/officeDocument/2006/relationships/styles" Target="styles.xml"/><Relationship Id="rId6" Type="http://schemas.openxmlformats.org/officeDocument/2006/relationships/hyperlink" Target="http://curia.europa.eu/jcms/jcms/Jo2_7024/en/" TargetMode="External"/><Relationship Id="rId7" Type="http://schemas.openxmlformats.org/officeDocument/2006/relationships/hyperlink" Target="http://curia.europa.eu/jcms/jcms/Jo2_7033/en/" TargetMode="External"/><Relationship Id="rId8" Type="http://schemas.openxmlformats.org/officeDocument/2006/relationships/hyperlink" Target="https://en.wikipedia.org/wiki/Institutions_of_the_European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