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modified </w:t>
      </w:r>
      <w:r w:rsidR="00727480">
        <w:t>: 2023</w:t>
      </w:r>
      <w:r w:rsidR="00AB2A39">
        <w:t>/</w:t>
      </w:r>
      <w:r w:rsidR="00EC61D4">
        <w:t>04</w:t>
      </w:r>
      <w:r w:rsidR="00116A5F">
        <w:t>/</w:t>
      </w:r>
      <w:r w:rsidR="00EC61D4">
        <w:t>20</w:t>
      </w:r>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FF0D73" w:rsidP="006E5F37">
            <w:r>
              <w:t>CB_FDM_NCMP_v1</w:t>
            </w:r>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666B69" w:rsidRDefault="00FF0D73" w:rsidP="006E5F37">
            <w:r>
              <w:t>2023/05/04</w:t>
            </w:r>
          </w:p>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FF0D73" w:rsidP="006E5F37">
            <w:r>
              <w:t xml:space="preserve">John </w:t>
            </w:r>
            <w:proofErr w:type="spellStart"/>
            <w:r>
              <w:t>Birkinshaw</w:t>
            </w:r>
            <w:proofErr w:type="spellEnd"/>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FF0D73" w:rsidP="006E5F37">
            <w:r>
              <w:t xml:space="preserve">John </w:t>
            </w:r>
            <w:proofErr w:type="spellStart"/>
            <w:r>
              <w:t>Birkinshaw</w:t>
            </w:r>
            <w:proofErr w:type="spellEnd"/>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FF0D73"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FF0D73"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FF0D73"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FF0D73"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FF0D73" w:rsidP="007128FC">
            <w:proofErr w:type="spellStart"/>
            <w:r>
              <w:t>na</w:t>
            </w:r>
            <w:proofErr w:type="spellEnd"/>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FF0D73" w:rsidP="007128FC">
            <w:r>
              <w:t>y</w:t>
            </w:r>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FF0D73"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FF0D73"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FF0D73"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FF0D73"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FF0D73" w:rsidP="007128FC">
            <w:r>
              <w:t>y</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7072C9"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FF0D73" w:rsidP="007128FC">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FF0D73" w:rsidP="007128FC">
            <w:proofErr w:type="spellStart"/>
            <w:r>
              <w:t>na</w:t>
            </w:r>
            <w:proofErr w:type="spellEnd"/>
          </w:p>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FF0D73" w:rsidP="007128FC">
            <w:proofErr w:type="spellStart"/>
            <w:r>
              <w:t>na</w:t>
            </w:r>
            <w:proofErr w:type="spellEnd"/>
          </w:p>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FF0D73"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FF0D73"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FF0D73" w:rsidP="00B3383D">
            <w:r>
              <w:t>y</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FF0D73" w:rsidP="00B3383D">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FF0D73"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FF0D73"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FF0D73"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FF0D73"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FF0D73" w:rsidP="007128FC">
            <w:r>
              <w:t>2023/06/23</w:t>
            </w:r>
            <w:bookmarkStart w:id="0" w:name="_GoBack"/>
            <w:bookmarkEnd w:id="0"/>
          </w:p>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F1B51"/>
    <w:rsid w:val="00480692"/>
    <w:rsid w:val="005B6410"/>
    <w:rsid w:val="00666B69"/>
    <w:rsid w:val="006E5F37"/>
    <w:rsid w:val="007072C9"/>
    <w:rsid w:val="007128FC"/>
    <w:rsid w:val="00723C8C"/>
    <w:rsid w:val="00727480"/>
    <w:rsid w:val="00821076"/>
    <w:rsid w:val="00856D5D"/>
    <w:rsid w:val="0088505A"/>
    <w:rsid w:val="00893F60"/>
    <w:rsid w:val="00937BD9"/>
    <w:rsid w:val="009C4CB5"/>
    <w:rsid w:val="009E3C4D"/>
    <w:rsid w:val="00A7693A"/>
    <w:rsid w:val="00AB2A39"/>
    <w:rsid w:val="00B3383D"/>
    <w:rsid w:val="00C87249"/>
    <w:rsid w:val="00E16392"/>
    <w:rsid w:val="00EC61D4"/>
    <w:rsid w:val="00FA04FB"/>
    <w:rsid w:val="00FF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4997</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3</cp:revision>
  <dcterms:created xsi:type="dcterms:W3CDTF">2023-06-23T14:30:00Z</dcterms:created>
  <dcterms:modified xsi:type="dcterms:W3CDTF">2023-06-23T14:34:00Z</dcterms:modified>
</cp:coreProperties>
</file>