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48"/>
          <w:szCs w:val="4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48"/>
          <w:szCs w:val="48"/>
          <w:rFonts w:ascii="맑은 고딕" w:eastAsia="맑은 고딕" w:hAnsi="맑은 고딕" w:hint="default"/>
        </w:rPr>
        <w:t xml:space="preserve">보안 취약점 문제 해결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XSS 공격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소프트웨어는 다른 사용자에게 제공되는 웹 페이지로 사용되는 출력에 배치되기 전에 사용자가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제어 할 수있는 입력을 무력 화하거나 잘못 무력화하지 않습니다. XSS (교차 사이트 스크립팅) 취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약성은 다음과 같은 경우에 발생합니다.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1. 신뢰할 수없는 데이터는 일반적으로 웹 요청에서 웹 응용 프로그램에 입력됩니다.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2. 웹 응용 프로그램은이 신뢰할 수없는 데이터를 포함하는 웹 페이지를 동적으로 생성합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3. 페이지 생성 중에 응용 프로그램은 JavaScript, HTML 태그, HTML 속성, 마우스 이벤트,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Flash, ActiveX 등과 같이 웹 브라 우저에서 실행할 수있는 내용을 데이터에 포함하지 못하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도록합니다.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4. 피해자는 신뢰할 수없는 데이터를 이용하여 삽입 된 악성 스크립트가 포함 된 웹 브라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우저를 통해 생성 된 웹 페이지를 방문합니다.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5. 스크립트는 웹 서버에서 보낸 웹 페이지에서 온 것이므로 피해자의 웹 브라우저는 웹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서버의 도메인 컨텍스트에서 악성 스크립트를 실행합니다.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6. 이것은 한 도메인의 스크립트가 다른 도메인의 리소스에 액세스하거나 코드를 실행할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수 없어야한다는 웹 브라우저의 동일 출처 정책의 의도를 효과적으로 위반합니다. XSS에는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세 가지 주요 종류가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유형 1 : 반영된 XSS (또는 비 영구)-서버가 HTTP 요청에서 직접 데이터를 읽고이를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HTTP 응답에 다시 반영합니다. 반사 된 XSS 익스플로잇은 공격자가 피해자가 취약한 웹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애플리케이션에 위험한 콘텐츠를 제공하도록 유도 한 다음 피해자에게 다시 반영되어 웹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브라우저에 의해 실행될 때 발생합니다. 악성 콘텐츠를 전달하는 가장 일반적인 메커니즘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은 공개적으로 게 시되거나 피해자에게 직접 이메일로 전송되는 URL에 매개 변수로 포함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하는 것입니다. 이러한 방식으로 구성된 URL은 많은 피싱 체계의 핵심을 구성하며, 공격자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는 피해자가 취약한 사이트를 참조하는 URL을 방문하도록 유도합니다. 사이트가 공격 자의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콘텐츠를 피해자에게 다시 반영한 후 해당 콘텐츠는 피해자의 브라우저에 의해 실행됩니다.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유형 2 : 저장된 XSS (또는 영구)-애플리케이션이 데이터베이스, 메시지 포럼, 방문자 로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 또는 기타 신뢰할 수있는 데이 터 저장소에 위험한 데이터를 저장합니다. 나중에 위험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한 데이터가 애플리케이션으로 다시 읽어 들여 동적 콘텐츠에 포함됩 니다. 공격자의 관점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에서 악성 콘텐츠를 삽입하기위한 최적의 위치는 많은 사용자 또는 특히 흥미로운 사용자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에게 표시되는 영역입니다. 관심있는 사용자는 일반적으로 응용 프로그램에서 높은 권한을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갖거나 공격자에게 중요한 중요한 데이터와 상 호 작용합니다. 이러한 사용자 중 한 명이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악성 콘텐츠를 실행하는 경우 공격자는 사용자를 대신하여 권한있는 작업을 수행하 거나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사용자 소유의 민감한 데이터에 액세스 할 수 있습니다. 예를 들어 공격자는 XSS를 로그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메시지에 삽입 할 수 있으며, 관 리자가 로그를 볼 때 제대로 처리되지 않을 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Wingdings" w:eastAsia="맑은 고딕" w:hAnsi="맑은 고딕" w:hint="default"/>
        </w:rPr>
        <w:t>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유형 0 : DOM 기반 XSS-DOM 기반 XSS에서 클라이언트는 페이지에 XSS 삽입을 수행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합니다. 다른 유형에서는 서버가 주 입을 수행합니다. DOM 기반 XSS에는 일반적으로 사용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자가 양식을 제출하기 전에 양식에 대한 온 전성 검사를 수행하는 Javascript와 같이 클라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이언트로 전송되는 서버 제어의 신뢰할 수있는 스크립트가 포함됩니다. 서버 제공 스크립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트가 사용자 제공 데이터를 처리 한 다음이를 웹 페이지에 다시 삽입하면 (예 : 동적 HTML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사용) DOM 기반 XSS가 가능합니다. 악성 스크립트가 삽입되면 공격자는 다양한 악성 활동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을 수행 할 수 있습니다. 공격자는 세션 정보를 포함 할 수있는 쿠키와 같은 개인 정보를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피해자의 컴퓨터에서 공격자에게 전송할 수 있습니다. 공격자는 피해자를 대신하여 웹 사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이트에 악의적 인 요청을 보낼 수 있으며, 피해자가 해당 사이트를 관리 할 수있는 관리자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권한이있는 경우 사이트에 특히 위험 할 수 있습니다. 피싱 공격은 신뢰할 수있는 웹 사이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트를 모방하고 피해자가 암호를 입력하도록 속여 공격자가 해당 웹 사이트에서 피해자의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계정을 손상시킬 수 있습니다. 마지막으로 스크립트는 "드라이브 바이 해킹"이라고도하는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피해자의 컴퓨터를 장악 할 수있는 웹 브라우저 자체의 취약점을 악용 할 수 있습니다. 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부분의 경우 공격은 피해자가 알지 못하는 사이에 시작될 수 있습니다. 신중한 사용자라도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공격자는 URL 인코딩 또는 유니 코드와 같은 공격의 악의적 인 부분을 인코딩하기 위해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다양한 방법을 자주 사용하므로 요청이 의심스럽지 않게 보입니다.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예시)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var element = document.createElement('test');  element.innerHTML = '&lt;div id="test"&gt;test&lt;/div&gt;';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해결방안)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var element = document.getElementById('test');  element.insertAdjacentHTML('afterend', '&lt;div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id="test"&gt;test&lt;/div&gt;')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암호(Math.random)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724525"/>
            <wp:effectExtent l="0" t="0" r="0" b="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1036_22482720/fImage43392816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7251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>eval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917440"/>
            <wp:effectExtent l="0" t="0" r="0" b="0"/>
            <wp:docPr id="1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1036_22482720/fImage28582218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9180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맑은 고딕" w:eastAsia="맑은 고딕" w:hAnsi="맑은 고딕" w:hint="default"/>
        </w:rPr>
        <w:t xml:space="preserve">자식 노드 한번에 지우기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document.getElementById('prog_num').replaceChildren();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wordWrap w:val="off"/>
      </w:pPr>
      <w:r>
        <w:rPr>
          <w:b w:val="1"/>
          <w:color w:val="auto"/>
          <w:position w:val="0"/>
          <w:sz w:val="36"/>
          <w:szCs w:val="36"/>
          <w:rFonts w:ascii="맑은 고딕" w:eastAsia="맑은 고딕" w:hAnsi="맑은 고딕" w:hint="default"/>
        </w:rPr>
        <w:t>특문처리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String originalString = "{}$%^&amp;*()";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// 특수문자를 HTML 엔티티로 변환 String encodedString =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StringEscapeUtils.escapeHtml4(originalString);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// HTML엔티티를 원래 특수문자로 변환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StringEscapeUtils.unescapeHtml4(encodedString);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339281641.png"></Relationship><Relationship Id="rId6" Type="http://schemas.openxmlformats.org/officeDocument/2006/relationships/image" Target="media/fImage285822188467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583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