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66DC8" w14:textId="77777777" w:rsidR="00760C5E" w:rsidRDefault="00000000">
      <w:pPr>
        <w:rPr>
          <w:sz w:val="22"/>
          <w:szCs w:val="22"/>
        </w:rPr>
      </w:pPr>
      <w:r w:rsidRPr="001F0258">
        <w:rPr>
          <w:sz w:val="22"/>
          <w:szCs w:val="22"/>
        </w:rPr>
        <w:t>Reference template for Quarto DOCX styling.</w:t>
      </w:r>
    </w:p>
    <w:p w14:paraId="38E2F8D2" w14:textId="77777777" w:rsidR="001F751E" w:rsidRDefault="001F751E">
      <w:pPr>
        <w:rPr>
          <w:sz w:val="22"/>
          <w:szCs w:val="22"/>
        </w:rPr>
      </w:pPr>
    </w:p>
    <w:p w14:paraId="1C1A59B4" w14:textId="77777777" w:rsidR="001F751E" w:rsidRDefault="001F751E" w:rsidP="001F751E">
      <w:pPr>
        <w:keepNext/>
      </w:pPr>
      <m:oMathPara>
        <m:oMath>
          <m:r>
            <w:rPr>
              <w:rFonts w:ascii="Cambria Math" w:hAnsi="Cambria Math"/>
              <w:sz w:val="22"/>
              <w:szCs w:val="22"/>
            </w:rPr>
            <m:t>y=mx+b</m:t>
          </m:r>
        </m:oMath>
      </m:oMathPara>
    </w:p>
    <w:p w14:paraId="515C68E4" w14:textId="5E75D819" w:rsidR="001F751E" w:rsidRPr="001F0258" w:rsidRDefault="001F751E" w:rsidP="001F751E">
      <w:pPr>
        <w:pStyle w:val="Caption"/>
        <w:jc w:val="right"/>
        <w:rPr>
          <w:sz w:val="22"/>
          <w:szCs w:val="22"/>
        </w:rPr>
      </w:pPr>
      <w:r>
        <w:t xml:space="preserve">Equation </w:t>
      </w:r>
      <w:fldSimple w:instr=" SEQ Equation \* ARABIC ">
        <w:r>
          <w:rPr>
            <w:noProof/>
          </w:rPr>
          <w:t>1</w:t>
        </w:r>
      </w:fldSimple>
    </w:p>
    <w:sectPr w:rsidR="001F751E" w:rsidRPr="001F0258">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867F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64E6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22703445">
    <w:abstractNumId w:val="0"/>
  </w:num>
  <w:num w:numId="2" w16cid:durableId="1186677201">
    <w:abstractNumId w:val="1"/>
  </w:num>
  <w:num w:numId="3" w16cid:durableId="618413886">
    <w:abstractNumId w:val="1"/>
  </w:num>
  <w:num w:numId="4" w16cid:durableId="1939949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0C5E"/>
    <w:rsid w:val="001F0258"/>
    <w:rsid w:val="001F751E"/>
    <w:rsid w:val="00760C5E"/>
    <w:rsid w:val="00C46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2A2B"/>
  <w15:docId w15:val="{E7FC5D3C-6460-451E-B6F9-9905C6F2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20"/>
      <w:szCs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PlaceholderText">
    <w:name w:val="Placeholder Text"/>
    <w:basedOn w:val="DefaultParagraphFont"/>
    <w:rsid w:val="001F75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58443-1E92-427C-AEFA-BA81224EE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14</Words>
  <Characters>80</Characters>
  <Application>Microsoft Office Word</Application>
  <DocSecurity>0</DocSecurity>
  <Lines>1</Lines>
  <Paragraphs>1</Paragraphs>
  <ScaleCrop>false</ScaleCrop>
  <Company/>
  <LinksUpToDate>false</LinksUpToDate>
  <CharactersWithSpaces>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Kora: a data-constrained size-structured coral demographic model guided by empirical sensitivity analysis</dc:title>
  <dc:creator>Takuya Iwanaga, Pedro Ribeiro de Almeida, Daniel Tan, Kevin Bairos-Novak, Shaun Wilson, Vanessa Haller, Maren Toor, Madison Becker, Deborah Burn, and Renata Ferrari</dc:creator>
  <cp:keywords>coral reefs, demography, climate adaptation, model-informed decision support, vital rates</cp:keywords>
  <cp:lastModifiedBy>Takuya Iwanaga</cp:lastModifiedBy>
  <cp:revision>3</cp:revision>
  <dcterms:created xsi:type="dcterms:W3CDTF">2026-07-03T06:48:00Z</dcterms:created>
  <dcterms:modified xsi:type="dcterms:W3CDTF">2026-07-07T03:13:00Z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Conservation ecology requires models that capture relevant dynamics yet remain tractable where direct measurement of demographic rates is costly. A systematic workflow is presented wherein distribution-based sensitivity analysis guides structural model decisions. Applied to Great Barrier Reef demographic data, colony diameter and morpho-taxa group emerged as principal drivers of growth and survival. These findings informed Kora, an empirically bounded size-structured population model tracking five functional groups with empirically parameterized growth and mortality. Ensemble calibration for two reefs confirms the model can credibly reproduce observed coral cover trajectories at the modelled scales. Where multiple parameter sets reproduced observed trajectories equally well, the ambiguity was consistent, with larger assumed proportions of a functional group tending to be offset by smaller assumed colony sizes. The ensemble-based approach offers a principled basis for model-informed decision support where monitoring data is sparse, and scenario uncertainty is deep.</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rossref">
    <vt:lpwstr/>
  </property>
  <property fmtid="{D5CDD505-2E9C-101B-9397-08002B2CF9AE}" pid="8" name="csl">
    <vt:lpwstr>environmental-modelling-and-software.csl</vt:lpwstr>
  </property>
  <property fmtid="{D5CDD505-2E9C-101B-9397-08002B2CF9AE}" pid="9" name="date">
    <vt:lpwstr>2026-07-03</vt:lpwstr>
  </property>
  <property fmtid="{D5CDD505-2E9C-101B-9397-08002B2CF9AE}" pid="10" name="editor">
    <vt:lpwstr/>
  </property>
  <property fmtid="{D5CDD505-2E9C-101B-9397-08002B2CF9AE}" pid="11" name="engines">
    <vt:lpwstr/>
  </property>
  <property fmtid="{D5CDD505-2E9C-101B-9397-08002B2CF9AE}" pid="12" name="exeflag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journal">
    <vt:lpwstr/>
  </property>
  <property fmtid="{D5CDD505-2E9C-101B-9397-08002B2CF9AE}" pid="17" name="labels">
    <vt:lpwstr/>
  </property>
  <property fmtid="{D5CDD505-2E9C-101B-9397-08002B2CF9AE}" pid="18" name="link-citations">
    <vt:lpwstr>True</vt:lpwstr>
  </property>
  <property fmtid="{D5CDD505-2E9C-101B-9397-08002B2CF9AE}" pid="19" name="toc-title">
    <vt:lpwstr>Table of contents</vt:lpwstr>
  </property>
</Properties>
</file>