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nie-acceptable-use-policy"/>
    <w:p>
      <w:pPr>
        <w:pStyle w:val="Heading1"/>
      </w:pPr>
      <w:r>
        <w:t xml:space="preserve">Connie Acceptable Use Policy</w:t>
      </w:r>
    </w:p>
    <w:p>
      <w:pPr>
        <w:pStyle w:val="FirstParagraph"/>
      </w:pPr>
      <w:r>
        <w:rPr>
          <w:b/>
          <w:bCs/>
        </w:rPr>
        <w:t xml:space="preserve">Last Updated:</w:t>
      </w:r>
      <w:r>
        <w:t xml:space="preserve"> </w:t>
      </w:r>
      <w:r>
        <w:t xml:space="preserve">[DATE]</w:t>
      </w:r>
    </w:p>
    <w:p>
      <w:pPr>
        <w:pStyle w:val="BodyText"/>
      </w:pPr>
      <w:r>
        <w:t xml:space="preserve">This Acceptable Use Policy (</w:t>
      </w:r>
      <w:r>
        <w:t xml:space="preserve">“AUP”</w:t>
      </w:r>
      <w:r>
        <w:t xml:space="preserve">) describes rules that apply to any party (</w:t>
      </w:r>
      <w:r>
        <w:t xml:space="preserve">“you”</w:t>
      </w:r>
      <w:r>
        <w:t xml:space="preserve">,</w:t>
      </w:r>
      <w:r>
        <w:t xml:space="preserve"> </w:t>
      </w:r>
      <w:r>
        <w:t xml:space="preserve">“your”</w:t>
      </w:r>
      <w:r>
        <w:t xml:space="preserve">,</w:t>
      </w:r>
      <w:r>
        <w:t xml:space="preserve"> </w:t>
      </w:r>
      <w:r>
        <w:t xml:space="preserve">“yours”</w:t>
      </w:r>
      <w:r>
        <w:t xml:space="preserve">, or</w:t>
      </w:r>
      <w:r>
        <w:t xml:space="preserve"> </w:t>
      </w:r>
      <w:r>
        <w:t xml:space="preserve">“Customer”</w:t>
      </w:r>
      <w:r>
        <w:t xml:space="preserve">) using any products and services provided by ConnieML, Inc. or any of its affiliates (</w:t>
      </w:r>
      <w:r>
        <w:t xml:space="preserve">“Services”</w:t>
      </w:r>
      <w:r>
        <w:t xml:space="preserve">) and any user of the Services, including via any products and services provided by Customer (</w:t>
      </w:r>
      <w:r>
        <w:t xml:space="preserve">“End User”</w:t>
      </w:r>
      <w:r>
        <w:t xml:space="preserve">). ConnieML, Inc. together with its affiliates will be referred to as</w:t>
      </w:r>
      <w:r>
        <w:t xml:space="preserve"> </w:t>
      </w:r>
      <w:r>
        <w:t xml:space="preserve">“Connie”</w:t>
      </w:r>
      <w:r>
        <w:t xml:space="preserve"> </w:t>
      </w:r>
      <w:r>
        <w:t xml:space="preserve">in this AUP. The prohibited conduct in this AUP is not exhaustive. Customer is responsible for its End Users’ compliance with this AUP and making its End Users aware of this AUP. If Customer or any End User violates this AUP, Connie may suspend Customer’s use of the Services. This AUP may be updated by Connie from time to time upon reasonable notice, which may be provided via Customer’s account, email, or by posting an updated version of this AUP at [AUP_URL].</w:t>
      </w:r>
    </w:p>
    <w:bookmarkStart w:id="13" w:name="prohibited-activities"/>
    <w:p>
      <w:pPr>
        <w:pStyle w:val="Heading2"/>
      </w:pPr>
      <w:r>
        <w:t xml:space="preserve">Prohibited Activities</w:t>
      </w:r>
    </w:p>
    <w:p>
      <w:pPr>
        <w:pStyle w:val="FirstParagraph"/>
      </w:pPr>
      <w:r>
        <w:t xml:space="preserve">Do not use the Services to engage in or encourage any activity that is illegal, deceptive, harmful, a violation of others’ rights, or harmful to Connie’s business operations or reputation, including:</w:t>
      </w:r>
    </w:p>
    <w:bookmarkStart w:id="9" w:name="violations-of-laws-or-standards"/>
    <w:p>
      <w:pPr>
        <w:pStyle w:val="Heading3"/>
      </w:pPr>
      <w:r>
        <w:t xml:space="preserve">Violations of Laws or Standards</w:t>
      </w:r>
    </w:p>
    <w:p>
      <w:pPr>
        <w:pStyle w:val="FirstParagraph"/>
      </w:pPr>
      <w:r>
        <w:t xml:space="preserve">Violating laws, regulations, governmental orders, industry standards, or telecommunications providers’ requirements or guidance in any applicable jurisdiction, including any of the foregoing that require:</w:t>
      </w:r>
      <w:r>
        <w:t xml:space="preserve"> </w:t>
      </w:r>
      <w:r>
        <w:t xml:space="preserve">- (a) consent be obtained prior to transmitting, recording, collecting, or monitoring data or communications</w:t>
      </w:r>
      <w:r>
        <w:t xml:space="preserve"> </w:t>
      </w:r>
      <w:r>
        <w:t xml:space="preserve">- (b) compliance with opt-out requests for any data or communications</w:t>
      </w:r>
    </w:p>
    <w:bookmarkEnd w:id="9"/>
    <w:bookmarkStart w:id="10" w:name="interference-with-the-services"/>
    <w:p>
      <w:pPr>
        <w:pStyle w:val="Heading3"/>
      </w:pPr>
      <w:r>
        <w:t xml:space="preserve">Interference with the Services</w:t>
      </w:r>
    </w:p>
    <w:p>
      <w:pPr>
        <w:pStyle w:val="FirstParagraph"/>
      </w:pPr>
      <w:r>
        <w:t xml:space="preserve">Interfering with or otherwise negatively impacting any aspect of the Services or any third-party networks that are linked to the Services.</w:t>
      </w:r>
    </w:p>
    <w:bookmarkEnd w:id="10"/>
    <w:bookmarkStart w:id="11" w:name="reverse-engineering"/>
    <w:p>
      <w:pPr>
        <w:pStyle w:val="Heading3"/>
      </w:pPr>
      <w:r>
        <w:t xml:space="preserve">Reverse Engineering</w:t>
      </w:r>
    </w:p>
    <w:p>
      <w:pPr>
        <w:pStyle w:val="FirstParagraph"/>
      </w:pPr>
      <w:r>
        <w:t xml:space="preserve">Reverse engineering, copying, disassembling, or decompiling the Services.</w:t>
      </w:r>
    </w:p>
    <w:bookmarkEnd w:id="11"/>
    <w:bookmarkStart w:id="12" w:name="falsification-of-identity-or-origin"/>
    <w:p>
      <w:pPr>
        <w:pStyle w:val="Heading3"/>
      </w:pPr>
      <w:r>
        <w:t xml:space="preserve">Falsification of Identity or Origin</w:t>
      </w:r>
    </w:p>
    <w:p>
      <w:pPr>
        <w:pStyle w:val="FirstParagraph"/>
      </w:pPr>
      <w:r>
        <w:t xml:space="preserve">Creating a false identity or any attempt to mislead others as to the identity of the sender or the origin of any data or communications.</w:t>
      </w:r>
    </w:p>
    <w:bookmarkEnd w:id="12"/>
    <w:bookmarkEnd w:id="13"/>
    <w:bookmarkStart w:id="19" w:name="no-service-integrity-violations"/>
    <w:p>
      <w:pPr>
        <w:pStyle w:val="Heading2"/>
      </w:pPr>
      <w:r>
        <w:t xml:space="preserve">No Service Integrity Violations</w:t>
      </w:r>
    </w:p>
    <w:p>
      <w:pPr>
        <w:pStyle w:val="FirstParagraph"/>
      </w:pPr>
      <w:r>
        <w:t xml:space="preserve">Do not violate the integrity of the Services, including:</w:t>
      </w:r>
    </w:p>
    <w:bookmarkStart w:id="14" w:name="bypassing-service-limitations"/>
    <w:p>
      <w:pPr>
        <w:pStyle w:val="Heading3"/>
      </w:pPr>
      <w:r>
        <w:t xml:space="preserve">Bypassing Service Limitations</w:t>
      </w:r>
    </w:p>
    <w:p>
      <w:pPr>
        <w:pStyle w:val="FirstParagraph"/>
      </w:pPr>
      <w:r>
        <w:t xml:space="preserve">Attempting to bypass, exploit, defeat, or disable limitations or restrictions placed on the Services.</w:t>
      </w:r>
    </w:p>
    <w:bookmarkEnd w:id="14"/>
    <w:bookmarkStart w:id="15" w:name="security-vulnerabilities"/>
    <w:p>
      <w:pPr>
        <w:pStyle w:val="Heading3"/>
      </w:pPr>
      <w:r>
        <w:t xml:space="preserve">Security Vulnerabilities</w:t>
      </w:r>
    </w:p>
    <w:p>
      <w:pPr>
        <w:pStyle w:val="FirstParagraph"/>
      </w:pPr>
      <w:r>
        <w:t xml:space="preserve">Finding security vulnerabilities to exploit the Services or attempting to bypass any security mechanism or filtering capabilities.</w:t>
      </w:r>
    </w:p>
    <w:bookmarkEnd w:id="15"/>
    <w:bookmarkStart w:id="16" w:name="disabling-the-services"/>
    <w:p>
      <w:pPr>
        <w:pStyle w:val="Heading3"/>
      </w:pPr>
      <w:r>
        <w:t xml:space="preserve">Disabling the Services</w:t>
      </w:r>
    </w:p>
    <w:p>
      <w:pPr>
        <w:pStyle w:val="FirstParagraph"/>
      </w:pPr>
      <w:r>
        <w:t xml:space="preserve">Any denial of service (DoS) attack on the Services or any other conduct that attempts to disrupt, disable, or overload the Services.</w:t>
      </w:r>
    </w:p>
    <w:bookmarkEnd w:id="16"/>
    <w:bookmarkStart w:id="17" w:name="harmful-code-or-bots"/>
    <w:p>
      <w:pPr>
        <w:pStyle w:val="Heading3"/>
      </w:pPr>
      <w:r>
        <w:t xml:space="preserve">Harmful Code or Bots</w:t>
      </w:r>
    </w:p>
    <w:p>
      <w:pPr>
        <w:pStyle w:val="FirstParagraph"/>
      </w:pPr>
      <w:r>
        <w:t xml:space="preserve">Transmitting code, files, scripts, agents, or programs intended to do harm, including viruses or malware, or using automated means, such as bots, to gain access to or use the Services.</w:t>
      </w:r>
    </w:p>
    <w:bookmarkEnd w:id="17"/>
    <w:bookmarkStart w:id="18" w:name="unauthorized-access"/>
    <w:p>
      <w:pPr>
        <w:pStyle w:val="Heading3"/>
      </w:pPr>
      <w:r>
        <w:t xml:space="preserve">Unauthorized Access</w:t>
      </w:r>
    </w:p>
    <w:p>
      <w:pPr>
        <w:pStyle w:val="FirstParagraph"/>
      </w:pPr>
      <w:r>
        <w:t xml:space="preserve">Attempting to gain unauthorized access to the Services.</w:t>
      </w:r>
    </w:p>
    <w:bookmarkEnd w:id="18"/>
    <w:bookmarkEnd w:id="19"/>
    <w:bookmarkStart w:id="20" w:name="data-safeguards"/>
    <w:p>
      <w:pPr>
        <w:pStyle w:val="Heading2"/>
      </w:pPr>
      <w:r>
        <w:t xml:space="preserve">Data Safeguards</w:t>
      </w:r>
    </w:p>
    <w:p>
      <w:pPr>
        <w:pStyle w:val="FirstParagraph"/>
      </w:pPr>
      <w:r>
        <w:t xml:space="preserve">Customer is responsible for determining whether the Services offer appropriate safeguards for Customer’s use of the Services, including, but not limited to, any safeguards required by applicable law or regulation, prior to transmitting or processing, or prior to permitting End Users to transmit or process, any data or communications via the Services.</w:t>
      </w:r>
    </w:p>
    <w:bookmarkEnd w:id="20"/>
    <w:bookmarkStart w:id="21" w:name="X8bdc3af8416d3808f015534ca284f2bfbb93c45"/>
    <w:p>
      <w:pPr>
        <w:pStyle w:val="Heading2"/>
      </w:pPr>
      <w:r>
        <w:t xml:space="preserve">Special Considerations for Nonprofit Organizations</w:t>
      </w:r>
    </w:p>
    <w:p>
      <w:pPr>
        <w:pStyle w:val="FirstParagraph"/>
      </w:pPr>
      <w:r>
        <w:t xml:space="preserve">Given Connie’s focus on serving nonprofit and community-based organizations, additional care must be taken to:</w:t>
      </w:r>
      <w:r>
        <w:t xml:space="preserve"> </w:t>
      </w:r>
      <w:r>
        <w:t xml:space="preserve">- Ensure all communications comply with nonprofit regulations and ethical standards</w:t>
      </w:r>
      <w:r>
        <w:t xml:space="preserve"> </w:t>
      </w:r>
      <w:r>
        <w:t xml:space="preserve">- Protect vulnerable populations who may be service recipients</w:t>
      </w:r>
      <w:r>
        <w:t xml:space="preserve"> </w:t>
      </w:r>
      <w:r>
        <w:t xml:space="preserve">- Maintain confidentiality of sensitive beneficiary information</w:t>
      </w:r>
      <w:r>
        <w:t xml:space="preserve"> </w:t>
      </w:r>
      <w:r>
        <w:t xml:space="preserve">- Comply with HIPAA, FERPA, or other regulations as applicable</w:t>
      </w:r>
    </w:p>
    <w:bookmarkEnd w:id="21"/>
    <w:bookmarkStart w:id="22" w:name="X52231ba60d11a29518ac4876e4c29e6bdc8433d"/>
    <w:p>
      <w:pPr>
        <w:pStyle w:val="Heading2"/>
      </w:pPr>
      <w:r>
        <w:t xml:space="preserve">Service and Country Specific Requirements</w:t>
      </w:r>
    </w:p>
    <w:p>
      <w:pPr>
        <w:pStyle w:val="FirstParagraph"/>
      </w:pPr>
      <w:r>
        <w:t xml:space="preserve">Additional requirements for specific:</w:t>
      </w:r>
      <w:r>
        <w:t xml:space="preserve"> </w:t>
      </w:r>
      <w:r>
        <w:t xml:space="preserve">- (a) Services, including any country specific requirements</w:t>
      </w:r>
      <w:r>
        <w:t xml:space="preserve"> </w:t>
      </w:r>
      <w:r>
        <w:t xml:space="preserve">- (b) products and services that are purchased from Connie, but provided, or otherwise made available, by a third party</w:t>
      </w:r>
    </w:p>
    <w:p>
      <w:pPr>
        <w:pStyle w:val="BodyText"/>
      </w:pPr>
      <w:r>
        <w:t xml:space="preserve">are set forth at [SERVICE_SPECIFIC_TERMS_URL] and apply solely to the extent Customer uses those specific (i) Services or (ii) third-party products and services.</w:t>
      </w:r>
    </w:p>
    <w:bookmarkEnd w:id="22"/>
    <w:bookmarkStart w:id="23" w:name="reporting-violations"/>
    <w:p>
      <w:pPr>
        <w:pStyle w:val="Heading2"/>
      </w:pPr>
      <w:r>
        <w:t xml:space="preserve">Reporting Violations</w:t>
      </w:r>
    </w:p>
    <w:p>
      <w:pPr>
        <w:pStyle w:val="FirstParagraph"/>
      </w:pPr>
      <w:r>
        <w:t xml:space="preserve">Violations of this AUP, including any prohibited content or communications, may be reported to [ABUSE_EMAIL]. Customer agrees to immediately report any violation of this AUP to Connie and provide cooperation, as requested by Connie, to investigate and/or remedy that violation.</w:t>
      </w:r>
    </w:p>
    <w:p>
      <w:r>
        <w:pict>
          <v:rect style="width:0;height:1.5pt" o:hralign="center" o:hrstd="t" o:hr="t"/>
        </w:pict>
      </w:r>
    </w:p>
    <w:p>
      <w:pPr>
        <w:pStyle w:val="FirstParagraph"/>
      </w:pPr>
      <w:r>
        <w:rPr>
          <w:b/>
          <w:bCs/>
        </w:rPr>
        <w:t xml:space="preserve">ConnieML, Inc.</w:t>
      </w:r>
      <w:r>
        <w:br/>
      </w:r>
      <w:r>
        <w:t xml:space="preserve">[ADDRESS]</w:t>
      </w:r>
      <w:r>
        <w:br/>
      </w:r>
      <w:r>
        <w:t xml:space="preserve">[CITY, STATE ZIP]</w:t>
      </w:r>
      <w:r>
        <w:br/>
      </w:r>
      <w:r>
        <w:t xml:space="preserve">[COUNTRY]</w:t>
      </w:r>
    </w:p>
    <w:p>
      <w:pPr>
        <w:pStyle w:val="BodyText"/>
      </w:pPr>
      <w:r>
        <w:rPr>
          <w:b/>
          <w:bCs/>
        </w:rPr>
        <w:t xml:space="preserve">Abuse Reporting:</w:t>
      </w:r>
      <w:r>
        <w:t xml:space="preserve"> </w:t>
      </w:r>
      <w:r>
        <w:t xml:space="preserve">[ABUSE_EMAIL]</w:t>
      </w:r>
      <w:r>
        <w:br/>
      </w:r>
      <w:r>
        <w:rPr>
          <w:b/>
          <w:bCs/>
        </w:rPr>
        <w:t xml:space="preserve">General Inquiries:</w:t>
      </w:r>
      <w:r>
        <w:t xml:space="preserve"> </w:t>
      </w:r>
      <w:r>
        <w:t xml:space="preserve">[LEGAL_EMAIL]</w:t>
      </w:r>
    </w:p>
    <w:p>
      <w:r>
        <w:pict>
          <v:rect style="width:0;height:1.5pt" o:hralign="center" o:hrstd="t" o:hr="t"/>
        </w:pict>
      </w:r>
    </w:p>
    <w:p>
      <w:pPr>
        <w:pStyle w:val="FirstParagraph"/>
      </w:pPr>
      <w:r>
        <w:rPr>
          <w:i/>
          <w:iCs/>
        </w:rPr>
        <w:t xml:space="preserve">This document is a template and must be reviewed by legal counsel before use. Replace all bracketed placeholders with appropriate information.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2025-08-27T14:24:10Z</dcterms:created>
  <dcterms:modified xsi:type="dcterms:W3CDTF">2025-08-27T14:24:10Z</dcterms:modified>
</cp:coreProperties>
</file>

<file path=docProps/custom.xml><?xml version="1.0" encoding="utf-8"?>
<Properties xmlns="http://schemas.openxmlformats.org/officeDocument/2006/custom-properties" xmlns:vt="http://schemas.openxmlformats.org/officeDocument/2006/docPropsVTypes"/>
</file>