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connie-data-processing-agreement"/>
    <w:p>
      <w:pPr>
        <w:pStyle w:val="Heading1"/>
      </w:pPr>
      <w:r>
        <w:t xml:space="preserve">Connie Data Processing Agreement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[DATE]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[DATE]</w:t>
      </w:r>
    </w:p>
    <w:p>
      <w:pPr>
        <w:pStyle w:val="BodyText"/>
      </w:pPr>
      <w:r>
        <w:t xml:space="preserve">This Data Processing Agreement (</w:t>
      </w:r>
      <w:r>
        <w:t xml:space="preserve">“DPA”</w:t>
      </w:r>
      <w:r>
        <w:t xml:space="preserve">) forms part of the Agreement between ConnieML, Inc. (</w:t>
      </w:r>
      <w:r>
        <w:t xml:space="preserve">“Connie,”</w:t>
      </w:r>
      <w:r>
        <w:t xml:space="preserve"> </w:t>
      </w:r>
      <w:r>
        <w:t xml:space="preserve">“we,”</w:t>
      </w:r>
      <w:r>
        <w:t xml:space="preserve"> </w:t>
      </w:r>
      <w:r>
        <w:t xml:space="preserve">“us,”</w:t>
      </w:r>
      <w:r>
        <w:t xml:space="preserve"> </w:t>
      </w:r>
      <w:r>
        <w:t xml:space="preserve">or</w:t>
      </w:r>
      <w:r>
        <w:t xml:space="preserve"> </w:t>
      </w:r>
      <w:r>
        <w:t xml:space="preserve">“our”</w:t>
      </w:r>
      <w:r>
        <w:t xml:space="preserve">) and the Customer identified in the Agreement (</w:t>
      </w:r>
      <w:r>
        <w:t xml:space="preserve">“Customer,”</w:t>
      </w:r>
      <w:r>
        <w:t xml:space="preserve"> </w:t>
      </w:r>
      <w:r>
        <w:t xml:space="preserve">“you,”</w:t>
      </w:r>
      <w:r>
        <w:t xml:space="preserve"> </w:t>
      </w:r>
      <w:r>
        <w:t xml:space="preserve">or</w:t>
      </w:r>
      <w:r>
        <w:t xml:space="preserve"> </w:t>
      </w:r>
      <w:r>
        <w:t xml:space="preserve">“your”</w:t>
      </w:r>
      <w:r>
        <w:t xml:space="preserve">) for the provision of Connie Services.</w:t>
      </w:r>
    </w:p>
    <w:bookmarkStart w:id="9" w:name="definitions"/>
    <w:p>
      <w:pPr>
        <w:pStyle w:val="Heading2"/>
      </w:pPr>
      <w:r>
        <w:t xml:space="preserve">1. Definitions</w:t>
      </w:r>
    </w:p>
    <w:p>
      <w:pPr>
        <w:pStyle w:val="FirstParagraph"/>
      </w:pPr>
      <w:r>
        <w:rPr>
          <w:b/>
          <w:bCs/>
        </w:rPr>
        <w:t xml:space="preserve">“Agreement”</w:t>
      </w:r>
      <w:r>
        <w:t xml:space="preserve"> </w:t>
      </w:r>
      <w:r>
        <w:t xml:space="preserve">means the Connie Terms of Service or other written agreement between Connie and Customer for the provision of Services.</w:t>
      </w:r>
    </w:p>
    <w:p>
      <w:pPr>
        <w:pStyle w:val="BodyText"/>
      </w:pPr>
      <w:r>
        <w:rPr>
          <w:b/>
          <w:bCs/>
        </w:rPr>
        <w:t xml:space="preserve">“Controller”</w:t>
      </w:r>
      <w:r>
        <w:t xml:space="preserve"> </w:t>
      </w:r>
      <w:r>
        <w:t xml:space="preserve">means the entity that determines the purposes and means of Processing Personal Data.</w:t>
      </w:r>
    </w:p>
    <w:p>
      <w:pPr>
        <w:pStyle w:val="BodyText"/>
      </w:pPr>
      <w:r>
        <w:rPr>
          <w:b/>
          <w:bCs/>
        </w:rPr>
        <w:t xml:space="preserve">“Data Protection Laws”</w:t>
      </w:r>
      <w:r>
        <w:t xml:space="preserve"> </w:t>
      </w:r>
      <w:r>
        <w:t xml:space="preserve">means all applicable legislation protecting the fundamental rights and freedoms of persons and their right to privacy with regard to Processing Personal Data, including GDPR, CCPA, and other applicable laws.</w:t>
      </w:r>
    </w:p>
    <w:p>
      <w:pPr>
        <w:pStyle w:val="BodyText"/>
      </w:pPr>
      <w:r>
        <w:rPr>
          <w:b/>
          <w:bCs/>
        </w:rPr>
        <w:t xml:space="preserve">“Data Subject”</w:t>
      </w:r>
      <w:r>
        <w:t xml:space="preserve"> </w:t>
      </w:r>
      <w:r>
        <w:t xml:space="preserve">means an identified or identifiable person to whom Personal Data relates.</w:t>
      </w:r>
    </w:p>
    <w:p>
      <w:pPr>
        <w:pStyle w:val="BodyText"/>
      </w:pPr>
      <w:r>
        <w:rPr>
          <w:b/>
          <w:bCs/>
        </w:rPr>
        <w:t xml:space="preserve">“GDPR”</w:t>
      </w:r>
      <w:r>
        <w:t xml:space="preserve"> </w:t>
      </w:r>
      <w:r>
        <w:t xml:space="preserve">means Regulation (EU) 2016/679 (General Data Protection Regulation).</w:t>
      </w:r>
    </w:p>
    <w:p>
      <w:pPr>
        <w:pStyle w:val="BodyText"/>
      </w:pPr>
      <w:r>
        <w:rPr>
          <w:b/>
          <w:bCs/>
        </w:rPr>
        <w:t xml:space="preserve">“Personal Data”</w:t>
      </w:r>
      <w:r>
        <w:t xml:space="preserve"> </w:t>
      </w:r>
      <w:r>
        <w:t xml:space="preserve">means any information relating to a Data Subject that is Processed by Connie on behalf of Customer.</w:t>
      </w:r>
    </w:p>
    <w:p>
      <w:pPr>
        <w:pStyle w:val="BodyText"/>
      </w:pPr>
      <w:r>
        <w:rPr>
          <w:b/>
          <w:bCs/>
        </w:rPr>
        <w:t xml:space="preserve">“Processing”</w:t>
      </w:r>
      <w:r>
        <w:t xml:space="preserve"> </w:t>
      </w:r>
      <w:r>
        <w:t xml:space="preserve">means any operation performed on Personal Data, including collection, recording, storage, use, disclosure, or deletion.</w:t>
      </w:r>
    </w:p>
    <w:p>
      <w:pPr>
        <w:pStyle w:val="BodyText"/>
      </w:pPr>
      <w:r>
        <w:rPr>
          <w:b/>
          <w:bCs/>
        </w:rPr>
        <w:t xml:space="preserve">“Processor”</w:t>
      </w:r>
      <w:r>
        <w:t xml:space="preserve"> </w:t>
      </w:r>
      <w:r>
        <w:t xml:space="preserve">means the entity that Processes Personal Data on behalf of the Controller.</w:t>
      </w:r>
    </w:p>
    <w:p>
      <w:pPr>
        <w:pStyle w:val="BodyText"/>
      </w:pPr>
      <w:r>
        <w:rPr>
          <w:b/>
          <w:bCs/>
        </w:rPr>
        <w:t xml:space="preserve">“Security Incident”</w:t>
      </w:r>
      <w:r>
        <w:t xml:space="preserve"> </w:t>
      </w:r>
      <w:r>
        <w:t xml:space="preserve">means any unauthorized or unlawful breach of security that leads to the accidental or unlawful destruction, loss, alteration, unauthorized disclosure of or access to Personal Data.</w:t>
      </w:r>
    </w:p>
    <w:p>
      <w:pPr>
        <w:pStyle w:val="BodyText"/>
      </w:pPr>
      <w:r>
        <w:rPr>
          <w:b/>
          <w:bCs/>
        </w:rPr>
        <w:t xml:space="preserve">“Services”</w:t>
      </w:r>
      <w:r>
        <w:t xml:space="preserve"> </w:t>
      </w:r>
      <w:r>
        <w:t xml:space="preserve">means the Connie communication platform services provided to Customer.</w:t>
      </w:r>
    </w:p>
    <w:p>
      <w:pPr>
        <w:pStyle w:val="BodyText"/>
      </w:pPr>
      <w:r>
        <w:rPr>
          <w:b/>
          <w:bCs/>
        </w:rPr>
        <w:t xml:space="preserve">“Sub-processor”</w:t>
      </w:r>
      <w:r>
        <w:t xml:space="preserve"> </w:t>
      </w:r>
      <w:r>
        <w:t xml:space="preserve">means any third party engaged by Connie to Process Personal Data.</w:t>
      </w:r>
    </w:p>
    <w:bookmarkEnd w:id="9"/>
    <w:bookmarkStart w:id="13" w:name="data-processing"/>
    <w:p>
      <w:pPr>
        <w:pStyle w:val="Heading2"/>
      </w:pPr>
      <w:r>
        <w:t xml:space="preserve">2. Data Processing</w:t>
      </w:r>
    </w:p>
    <w:bookmarkStart w:id="10" w:name="roles-of-the-parties"/>
    <w:p>
      <w:pPr>
        <w:pStyle w:val="Heading3"/>
      </w:pPr>
      <w:r>
        <w:t xml:space="preserve">2.1 Roles of the Parties</w:t>
      </w:r>
    </w:p>
    <w:p>
      <w:pPr>
        <w:pStyle w:val="FirstParagraph"/>
      </w:pPr>
      <w:r>
        <w:t xml:space="preserve">The parties acknowledge that with regard to Processing of Personal Data:</w:t>
      </w:r>
      <w:r>
        <w:t xml:space="preserve"> </w:t>
      </w:r>
      <w:r>
        <w:t xml:space="preserve">- Customer is the Controller</w:t>
      </w:r>
      <w:r>
        <w:t xml:space="preserve"> </w:t>
      </w:r>
      <w:r>
        <w:t xml:space="preserve">- Connie is the Processor</w:t>
      </w:r>
      <w:r>
        <w:t xml:space="preserve"> </w:t>
      </w:r>
      <w:r>
        <w:t xml:space="preserve">- Connie will Process Personal Data only on Customer’s documented instructions</w:t>
      </w:r>
    </w:p>
    <w:bookmarkEnd w:id="10"/>
    <w:bookmarkStart w:id="11" w:name="customer-instructions"/>
    <w:p>
      <w:pPr>
        <w:pStyle w:val="Heading3"/>
      </w:pPr>
      <w:r>
        <w:t xml:space="preserve">2.2 Customer Instructions</w:t>
      </w:r>
    </w:p>
    <w:p>
      <w:pPr>
        <w:pStyle w:val="FirstParagraph"/>
      </w:pPr>
      <w:r>
        <w:t xml:space="preserve">Customer instructs Connie to Process Personal Data:</w:t>
      </w:r>
      <w:r>
        <w:t xml:space="preserve"> </w:t>
      </w:r>
      <w:r>
        <w:t xml:space="preserve">- To provide the Services in accordance with the Agreement</w:t>
      </w:r>
      <w:r>
        <w:t xml:space="preserve"> </w:t>
      </w:r>
      <w:r>
        <w:t xml:space="preserve">- As initiated by End Users in their use of the Services</w:t>
      </w:r>
      <w:r>
        <w:t xml:space="preserve"> </w:t>
      </w:r>
      <w:r>
        <w:t xml:space="preserve">- To comply with other documented reasonable instructions provided by Customer</w:t>
      </w:r>
      <w:r>
        <w:t xml:space="preserve"> </w:t>
      </w:r>
      <w:r>
        <w:t xml:space="preserve">- As required by applicable law</w:t>
      </w:r>
    </w:p>
    <w:bookmarkEnd w:id="11"/>
    <w:bookmarkStart w:id="12" w:name="details-of-processing"/>
    <w:p>
      <w:pPr>
        <w:pStyle w:val="Heading3"/>
      </w:pPr>
      <w:r>
        <w:t xml:space="preserve">2.3 Details of Processing</w:t>
      </w:r>
    </w:p>
    <w:p>
      <w:pPr>
        <w:pStyle w:val="FirstParagraph"/>
      </w:pPr>
      <w:r>
        <w:rPr>
          <w:b/>
          <w:bCs/>
        </w:rPr>
        <w:t xml:space="preserve">Subject Matter:</w:t>
      </w:r>
      <w:r>
        <w:t xml:space="preserve"> </w:t>
      </w:r>
      <w:r>
        <w:t xml:space="preserve">Processing of Personal Data in connection with Connie’s communication platform services</w:t>
      </w:r>
    </w:p>
    <w:p>
      <w:pPr>
        <w:pStyle w:val="BodyText"/>
      </w:pPr>
      <w:r>
        <w:rPr>
          <w:b/>
          <w:bCs/>
        </w:rPr>
        <w:t xml:space="preserve">Duration:</w:t>
      </w:r>
      <w:r>
        <w:t xml:space="preserve"> </w:t>
      </w:r>
      <w:r>
        <w:t xml:space="preserve">The term of the Agreement plus any retention period required by law</w:t>
      </w:r>
    </w:p>
    <w:p>
      <w:pPr>
        <w:pStyle w:val="BodyText"/>
      </w:pPr>
      <w:r>
        <w:rPr>
          <w:b/>
          <w:bCs/>
        </w:rPr>
        <w:t xml:space="preserve">Nature and Purpose:</w:t>
      </w:r>
      <w:r>
        <w:t xml:space="preserve"> </w:t>
      </w:r>
      <w:r>
        <w:t xml:space="preserve">To provide communication services including voice, fax, email, and web chat capabilities for nonprofit and community-based organizations</w:t>
      </w:r>
    </w:p>
    <w:p>
      <w:pPr>
        <w:pStyle w:val="BodyText"/>
      </w:pPr>
      <w:r>
        <w:rPr>
          <w:b/>
          <w:bCs/>
        </w:rPr>
        <w:t xml:space="preserve">Types of Personal Data:</w:t>
      </w:r>
      <w:r>
        <w:t xml:space="preserve"> </w:t>
      </w:r>
      <w:r>
        <w:t xml:space="preserve">- Contact information (names, email addresses, phone numbers)</w:t>
      </w:r>
      <w:r>
        <w:t xml:space="preserve"> </w:t>
      </w:r>
      <w:r>
        <w:t xml:space="preserve">- Communication content (messages, call recordings, voicemails)</w:t>
      </w:r>
      <w:r>
        <w:t xml:space="preserve"> </w:t>
      </w:r>
      <w:r>
        <w:t xml:space="preserve">- Communication metadata (timestamps, duration, routing information)</w:t>
      </w:r>
      <w:r>
        <w:t xml:space="preserve"> </w:t>
      </w:r>
      <w:r>
        <w:t xml:space="preserve">- Account and authentication data</w:t>
      </w:r>
      <w:r>
        <w:t xml:space="preserve"> </w:t>
      </w:r>
      <w:r>
        <w:t xml:space="preserve">- Usage and analytics data</w:t>
      </w:r>
    </w:p>
    <w:p>
      <w:pPr>
        <w:pStyle w:val="BodyText"/>
      </w:pPr>
      <w:r>
        <w:rPr>
          <w:b/>
          <w:bCs/>
        </w:rPr>
        <w:t xml:space="preserve">Categories of Data Subjects:</w:t>
      </w:r>
      <w:r>
        <w:t xml:space="preserve"> </w:t>
      </w:r>
      <w:r>
        <w:t xml:space="preserve">- Customer’s employees and staff</w:t>
      </w:r>
      <w:r>
        <w:t xml:space="preserve"> </w:t>
      </w:r>
      <w:r>
        <w:t xml:space="preserve">- Customer’s clients and beneficiaries</w:t>
      </w:r>
      <w:r>
        <w:t xml:space="preserve"> </w:t>
      </w:r>
      <w:r>
        <w:t xml:space="preserve">- Customer’s vendors and partners</w:t>
      </w:r>
      <w:r>
        <w:t xml:space="preserve"> </w:t>
      </w:r>
      <w:r>
        <w:t xml:space="preserve">- Other individuals who communicate with Customer</w:t>
      </w:r>
    </w:p>
    <w:bookmarkEnd w:id="12"/>
    <w:bookmarkEnd w:id="13"/>
    <w:bookmarkStart w:id="17" w:name="connies-obligations"/>
    <w:p>
      <w:pPr>
        <w:pStyle w:val="Heading2"/>
      </w:pPr>
      <w:r>
        <w:t xml:space="preserve">3. Connie’s Obligations</w:t>
      </w:r>
    </w:p>
    <w:bookmarkStart w:id="14" w:name="compliance"/>
    <w:p>
      <w:pPr>
        <w:pStyle w:val="Heading3"/>
      </w:pPr>
      <w:r>
        <w:t xml:space="preserve">3.1 Compliance</w:t>
      </w:r>
    </w:p>
    <w:p>
      <w:pPr>
        <w:pStyle w:val="FirstParagraph"/>
      </w:pPr>
      <w:r>
        <w:t xml:space="preserve">Connie shall:</w:t>
      </w:r>
      <w:r>
        <w:t xml:space="preserve"> </w:t>
      </w:r>
      <w:r>
        <w:t xml:space="preserve">- Process Personal Data in accordance with Customer’s instructions</w:t>
      </w:r>
      <w:r>
        <w:t xml:space="preserve"> </w:t>
      </w:r>
      <w:r>
        <w:t xml:space="preserve">- Ensure that persons authorized to Process Personal Data have committed to confidentiality</w:t>
      </w:r>
      <w:r>
        <w:t xml:space="preserve"> </w:t>
      </w:r>
      <w:r>
        <w:t xml:space="preserve">- Implement and maintain appropriate technical and organizational measures</w:t>
      </w:r>
      <w:r>
        <w:t xml:space="preserve"> </w:t>
      </w:r>
      <w:r>
        <w:t xml:space="preserve">- Not engage Sub-processors without Customer authorization</w:t>
      </w:r>
      <w:r>
        <w:t xml:space="preserve"> </w:t>
      </w:r>
      <w:r>
        <w:t xml:space="preserve">- Assist Customer in responding to Data Subject requests</w:t>
      </w:r>
      <w:r>
        <w:t xml:space="preserve"> </w:t>
      </w:r>
      <w:r>
        <w:t xml:space="preserve">- Assist Customer with security, breach notifications, and compliance obligations</w:t>
      </w:r>
      <w:r>
        <w:t xml:space="preserve"> </w:t>
      </w:r>
      <w:r>
        <w:t xml:space="preserve">- Delete or return Personal Data upon termination</w:t>
      </w:r>
      <w:r>
        <w:t xml:space="preserve"> </w:t>
      </w:r>
      <w:r>
        <w:t xml:space="preserve">- Make available information necessary to demonstrate compliance</w:t>
      </w:r>
    </w:p>
    <w:bookmarkEnd w:id="14"/>
    <w:bookmarkStart w:id="15" w:name="security-measures"/>
    <w:p>
      <w:pPr>
        <w:pStyle w:val="Heading3"/>
      </w:pPr>
      <w:r>
        <w:t xml:space="preserve">3.2 Security Measures</w:t>
      </w:r>
    </w:p>
    <w:p>
      <w:pPr>
        <w:pStyle w:val="FirstParagraph"/>
      </w:pPr>
      <w:r>
        <w:t xml:space="preserve">Connie implements appropriate technical and organizational measures including:</w:t>
      </w:r>
      <w:r>
        <w:t xml:space="preserve"> </w:t>
      </w:r>
      <w:r>
        <w:t xml:space="preserve">- Encryption of data in transit and at rest</w:t>
      </w:r>
      <w:r>
        <w:t xml:space="preserve"> </w:t>
      </w:r>
      <w:r>
        <w:t xml:space="preserve">- Access controls and authentication mechanisms</w:t>
      </w:r>
      <w:r>
        <w:t xml:space="preserve"> </w:t>
      </w:r>
      <w:r>
        <w:t xml:space="preserve">- Regular security assessments and audits</w:t>
      </w:r>
      <w:r>
        <w:t xml:space="preserve"> </w:t>
      </w:r>
      <w:r>
        <w:t xml:space="preserve">- Employee training on data protection</w:t>
      </w:r>
      <w:r>
        <w:t xml:space="preserve"> </w:t>
      </w:r>
      <w:r>
        <w:t xml:space="preserve">- Incident response procedures</w:t>
      </w:r>
      <w:r>
        <w:t xml:space="preserve"> </w:t>
      </w:r>
      <w:r>
        <w:t xml:space="preserve">- Business continuity and disaster recovery plans</w:t>
      </w:r>
      <w:r>
        <w:t xml:space="preserve"> </w:t>
      </w:r>
      <w:r>
        <w:t xml:space="preserve">- Physical security controls for data centers</w:t>
      </w:r>
    </w:p>
    <w:bookmarkEnd w:id="15"/>
    <w:bookmarkStart w:id="16" w:name="data-subject-rights"/>
    <w:p>
      <w:pPr>
        <w:pStyle w:val="Heading3"/>
      </w:pPr>
      <w:r>
        <w:t xml:space="preserve">3.3 Data Subject Rights</w:t>
      </w:r>
    </w:p>
    <w:p>
      <w:pPr>
        <w:pStyle w:val="FirstParagraph"/>
      </w:pPr>
      <w:r>
        <w:t xml:space="preserve">Connie shall assist Customer in fulfilling obligations to respond to Data Subject requests including:</w:t>
      </w:r>
      <w:r>
        <w:t xml:space="preserve"> </w:t>
      </w:r>
      <w:r>
        <w:t xml:space="preserve">- Access to Personal Data</w:t>
      </w:r>
      <w:r>
        <w:t xml:space="preserve"> </w:t>
      </w:r>
      <w:r>
        <w:t xml:space="preserve">- Rectification or erasure of Personal Data</w:t>
      </w:r>
      <w:r>
        <w:t xml:space="preserve"> </w:t>
      </w:r>
      <w:r>
        <w:t xml:space="preserve">- Restriction of Processing</w:t>
      </w:r>
      <w:r>
        <w:t xml:space="preserve"> </w:t>
      </w:r>
      <w:r>
        <w:t xml:space="preserve">- Data portability</w:t>
      </w:r>
      <w:r>
        <w:t xml:space="preserve"> </w:t>
      </w:r>
      <w:r>
        <w:t xml:space="preserve">- Objection to Processing</w:t>
      </w:r>
    </w:p>
    <w:bookmarkEnd w:id="16"/>
    <w:bookmarkEnd w:id="17"/>
    <w:bookmarkStart w:id="21" w:name="sub-processors"/>
    <w:p>
      <w:pPr>
        <w:pStyle w:val="Heading2"/>
      </w:pPr>
      <w:r>
        <w:t xml:space="preserve">4. Sub-processors</w:t>
      </w:r>
    </w:p>
    <w:bookmarkStart w:id="18" w:name="authorized-sub-processors"/>
    <w:p>
      <w:pPr>
        <w:pStyle w:val="Heading3"/>
      </w:pPr>
      <w:r>
        <w:t xml:space="preserve">4.1 Authorized Sub-processors</w:t>
      </w:r>
    </w:p>
    <w:p>
      <w:pPr>
        <w:pStyle w:val="FirstParagraph"/>
      </w:pPr>
      <w:r>
        <w:t xml:space="preserve">Customer generally authorizes Connie to engage Sub-processors to Process Personal Data, provided that:</w:t>
      </w:r>
      <w:r>
        <w:t xml:space="preserve"> </w:t>
      </w:r>
      <w:r>
        <w:t xml:space="preserve">- Connie maintains a list of Sub-processors at [SUBPROCESSOR_URL]</w:t>
      </w:r>
      <w:r>
        <w:t xml:space="preserve"> </w:t>
      </w:r>
      <w:r>
        <w:t xml:space="preserve">- Connie imposes data protection obligations substantially similar to this DPA</w:t>
      </w:r>
      <w:r>
        <w:t xml:space="preserve"> </w:t>
      </w:r>
      <w:r>
        <w:t xml:space="preserve">- Connie remains liable for Sub-processor compliance</w:t>
      </w:r>
    </w:p>
    <w:bookmarkEnd w:id="18"/>
    <w:bookmarkStart w:id="19" w:name="sub-processor-list"/>
    <w:p>
      <w:pPr>
        <w:pStyle w:val="Heading3"/>
      </w:pPr>
      <w:r>
        <w:t xml:space="preserve">4.2 Sub-processor List</w:t>
      </w:r>
    </w:p>
    <w:p>
      <w:pPr>
        <w:pStyle w:val="FirstParagraph"/>
      </w:pPr>
      <w:r>
        <w:t xml:space="preserve">Current Sub-processors include: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Twilio Inc.</w:t>
      </w:r>
      <w:r>
        <w:t xml:space="preserve"> </w:t>
      </w:r>
      <w:r>
        <w:t xml:space="preserve">- Voice and messaging services (United States)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Mailgun Technologies</w:t>
      </w:r>
      <w:r>
        <w:t xml:space="preserve"> </w:t>
      </w:r>
      <w:r>
        <w:t xml:space="preserve">- Email delivery services (United States)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SendGrid Inc.</w:t>
      </w:r>
      <w:r>
        <w:t xml:space="preserve"> </w:t>
      </w:r>
      <w:r>
        <w:t xml:space="preserve">- Email services (United States)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Adobe Inc.</w:t>
      </w:r>
      <w:r>
        <w:t xml:space="preserve"> </w:t>
      </w:r>
      <w:r>
        <w:t xml:space="preserve">- Document processing services (United States)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[CLOUD_PROVIDER]</w:t>
      </w:r>
      <w:r>
        <w:t xml:space="preserve"> </w:t>
      </w:r>
      <w:r>
        <w:t xml:space="preserve">- Infrastructure and hosting (United States)</w:t>
      </w:r>
    </w:p>
    <w:bookmarkEnd w:id="19"/>
    <w:bookmarkStart w:id="20" w:name="notification-of-changes"/>
    <w:p>
      <w:pPr>
        <w:pStyle w:val="Heading3"/>
      </w:pPr>
      <w:r>
        <w:t xml:space="preserve">4.3 Notification of Changes</w:t>
      </w:r>
    </w:p>
    <w:p>
      <w:pPr>
        <w:pStyle w:val="FirstParagraph"/>
      </w:pPr>
      <w:r>
        <w:t xml:space="preserve">Connie will notify Customer of any intended changes concerning the addition or replacement of Sub-processors at least 30 days in advance. Customer may object to such changes on reasonable grounds related to data protection.</w:t>
      </w:r>
    </w:p>
    <w:bookmarkEnd w:id="20"/>
    <w:bookmarkEnd w:id="21"/>
    <w:bookmarkStart w:id="25" w:name="security-incidents"/>
    <w:p>
      <w:pPr>
        <w:pStyle w:val="Heading2"/>
      </w:pPr>
      <w:r>
        <w:t xml:space="preserve">5. Security Incidents</w:t>
      </w:r>
    </w:p>
    <w:bookmarkStart w:id="22" w:name="incident-notification"/>
    <w:p>
      <w:pPr>
        <w:pStyle w:val="Heading3"/>
      </w:pPr>
      <w:r>
        <w:t xml:space="preserve">5.1 Incident Notification</w:t>
      </w:r>
    </w:p>
    <w:p>
      <w:pPr>
        <w:pStyle w:val="FirstParagraph"/>
      </w:pPr>
      <w:r>
        <w:t xml:space="preserve">Connie shall notify Customer without undue delay and within 72 hours after becoming aware of a Security Incident affecting Customer’s Personal Data.</w:t>
      </w:r>
    </w:p>
    <w:bookmarkEnd w:id="22"/>
    <w:bookmarkStart w:id="23" w:name="incident-information"/>
    <w:p>
      <w:pPr>
        <w:pStyle w:val="Heading3"/>
      </w:pPr>
      <w:r>
        <w:t xml:space="preserve">5.2 Incident Information</w:t>
      </w:r>
    </w:p>
    <w:p>
      <w:pPr>
        <w:pStyle w:val="FirstParagraph"/>
      </w:pPr>
      <w:r>
        <w:t xml:space="preserve">Notifications shall include:</w:t>
      </w:r>
      <w:r>
        <w:t xml:space="preserve"> </w:t>
      </w:r>
      <w:r>
        <w:t xml:space="preserve">- Nature of the Security Incident</w:t>
      </w:r>
      <w:r>
        <w:t xml:space="preserve"> </w:t>
      </w:r>
      <w:r>
        <w:t xml:space="preserve">- Categories and approximate number of affected Data Subjects</w:t>
      </w:r>
      <w:r>
        <w:t xml:space="preserve"> </w:t>
      </w:r>
      <w:r>
        <w:t xml:space="preserve">- Categories and approximate number of affected Personal Data records</w:t>
      </w:r>
      <w:r>
        <w:t xml:space="preserve"> </w:t>
      </w:r>
      <w:r>
        <w:t xml:space="preserve">- Likely consequences of the Security Incident</w:t>
      </w:r>
      <w:r>
        <w:t xml:space="preserve"> </w:t>
      </w:r>
      <w:r>
        <w:t xml:space="preserve">- Measures taken or proposed to address the Security Incident</w:t>
      </w:r>
    </w:p>
    <w:bookmarkEnd w:id="23"/>
    <w:bookmarkStart w:id="24" w:name="incident-response"/>
    <w:p>
      <w:pPr>
        <w:pStyle w:val="Heading3"/>
      </w:pPr>
      <w:r>
        <w:t xml:space="preserve">5.3 Incident Response</w:t>
      </w:r>
    </w:p>
    <w:p>
      <w:pPr>
        <w:pStyle w:val="FirstParagraph"/>
      </w:pPr>
      <w:r>
        <w:t xml:space="preserve">Connie shall:</w:t>
      </w:r>
      <w:r>
        <w:t xml:space="preserve"> </w:t>
      </w:r>
      <w:r>
        <w:t xml:space="preserve">- Investigate the Security Incident</w:t>
      </w:r>
      <w:r>
        <w:t xml:space="preserve"> </w:t>
      </w:r>
      <w:r>
        <w:t xml:space="preserve">- Take reasonable steps to mitigate harmful effects</w:t>
      </w:r>
      <w:r>
        <w:t xml:space="preserve"> </w:t>
      </w:r>
      <w:r>
        <w:t xml:space="preserve">- Document all Security Incidents and actions taken</w:t>
      </w:r>
      <w:r>
        <w:t xml:space="preserve"> </w:t>
      </w:r>
      <w:r>
        <w:t xml:space="preserve">- Cooperate with Customer’s investigation</w:t>
      </w:r>
    </w:p>
    <w:bookmarkEnd w:id="24"/>
    <w:bookmarkEnd w:id="25"/>
    <w:bookmarkStart w:id="28" w:name="international-transfers"/>
    <w:p>
      <w:pPr>
        <w:pStyle w:val="Heading2"/>
      </w:pPr>
      <w:r>
        <w:t xml:space="preserve">6. International Transfers</w:t>
      </w:r>
    </w:p>
    <w:bookmarkStart w:id="26" w:name="transfer-mechanisms"/>
    <w:p>
      <w:pPr>
        <w:pStyle w:val="Heading3"/>
      </w:pPr>
      <w:r>
        <w:t xml:space="preserve">6.1 Transfer Mechanisms</w:t>
      </w:r>
    </w:p>
    <w:p>
      <w:pPr>
        <w:pStyle w:val="FirstParagraph"/>
      </w:pPr>
      <w:r>
        <w:t xml:space="preserve">Where Processing involves transfers of Personal Data outside the EEA, Connie shall ensure appropriate safeguards through:</w:t>
      </w:r>
      <w:r>
        <w:t xml:space="preserve"> </w:t>
      </w:r>
      <w:r>
        <w:t xml:space="preserve">- Standard Contractual Clauses (incorporated by reference)</w:t>
      </w:r>
      <w:r>
        <w:t xml:space="preserve"> </w:t>
      </w:r>
      <w:r>
        <w:t xml:space="preserve">- Adequacy decisions</w:t>
      </w:r>
      <w:r>
        <w:t xml:space="preserve"> </w:t>
      </w:r>
      <w:r>
        <w:t xml:space="preserve">- Other legally approved transfer mechanisms</w:t>
      </w:r>
    </w:p>
    <w:bookmarkEnd w:id="26"/>
    <w:bookmarkStart w:id="27" w:name="standard-contractual-clauses"/>
    <w:p>
      <w:pPr>
        <w:pStyle w:val="Heading3"/>
      </w:pPr>
      <w:r>
        <w:t xml:space="preserve">6.2 Standard Contractual Clauses</w:t>
      </w:r>
    </w:p>
    <w:p>
      <w:pPr>
        <w:pStyle w:val="FirstParagraph"/>
      </w:pPr>
      <w:r>
        <w:t xml:space="preserve">The parties agree that the Standard Contractual Clauses approved by the European Commission shall apply to transfers of Personal Data from the EEA to countries without an adequacy decision.</w:t>
      </w:r>
    </w:p>
    <w:bookmarkEnd w:id="27"/>
    <w:bookmarkEnd w:id="28"/>
    <w:bookmarkStart w:id="31" w:name="audits"/>
    <w:p>
      <w:pPr>
        <w:pStyle w:val="Heading2"/>
      </w:pPr>
      <w:r>
        <w:t xml:space="preserve">7. Audits</w:t>
      </w:r>
    </w:p>
    <w:bookmarkStart w:id="29" w:name="audit-rights"/>
    <w:p>
      <w:pPr>
        <w:pStyle w:val="Heading3"/>
      </w:pPr>
      <w:r>
        <w:t xml:space="preserve">7.1 Audit Rights</w:t>
      </w:r>
    </w:p>
    <w:p>
      <w:pPr>
        <w:pStyle w:val="FirstParagraph"/>
      </w:pPr>
      <w:r>
        <w:t xml:space="preserve">Customer may audit Connie’s compliance with this DPA:</w:t>
      </w:r>
      <w:r>
        <w:t xml:space="preserve"> </w:t>
      </w:r>
      <w:r>
        <w:t xml:space="preserve">- Up to once per year</w:t>
      </w:r>
      <w:r>
        <w:t xml:space="preserve"> </w:t>
      </w:r>
      <w:r>
        <w:t xml:space="preserve">- Upon reasonable notice (at least 30 days)</w:t>
      </w:r>
      <w:r>
        <w:t xml:space="preserve"> </w:t>
      </w:r>
      <w:r>
        <w:t xml:space="preserve">- During regular business hours</w:t>
      </w:r>
      <w:r>
        <w:t xml:space="preserve"> </w:t>
      </w:r>
      <w:r>
        <w:t xml:space="preserve">- Subject to confidentiality obligations</w:t>
      </w:r>
      <w:r>
        <w:t xml:space="preserve"> </w:t>
      </w:r>
      <w:r>
        <w:t xml:space="preserve">- At Customer’s expense</w:t>
      </w:r>
    </w:p>
    <w:bookmarkEnd w:id="29"/>
    <w:bookmarkStart w:id="30" w:name="third-party-certifications"/>
    <w:p>
      <w:pPr>
        <w:pStyle w:val="Heading3"/>
      </w:pPr>
      <w:r>
        <w:t xml:space="preserve">7.2 Third-Party Certifications</w:t>
      </w:r>
    </w:p>
    <w:p>
      <w:pPr>
        <w:pStyle w:val="FirstParagraph"/>
      </w:pPr>
      <w:r>
        <w:t xml:space="preserve">Connie may provide third-party certifications and audit reports in lieu of Customer audits, including:</w:t>
      </w:r>
      <w:r>
        <w:t xml:space="preserve"> </w:t>
      </w:r>
      <w:r>
        <w:t xml:space="preserve">- SOC 2 Type II reports</w:t>
      </w:r>
      <w:r>
        <w:t xml:space="preserve"> </w:t>
      </w:r>
      <w:r>
        <w:t xml:space="preserve">- ISO certifications</w:t>
      </w:r>
      <w:r>
        <w:t xml:space="preserve"> </w:t>
      </w:r>
      <w:r>
        <w:t xml:space="preserve">- Other industry-standard compliance reports</w:t>
      </w:r>
    </w:p>
    <w:bookmarkEnd w:id="30"/>
    <w:bookmarkEnd w:id="31"/>
    <w:bookmarkStart w:id="34" w:name="data-retention-and-deletion"/>
    <w:p>
      <w:pPr>
        <w:pStyle w:val="Heading2"/>
      </w:pPr>
      <w:r>
        <w:t xml:space="preserve">8. Data Retention and Deletion</w:t>
      </w:r>
    </w:p>
    <w:bookmarkStart w:id="32" w:name="retention-period"/>
    <w:p>
      <w:pPr>
        <w:pStyle w:val="Heading3"/>
      </w:pPr>
      <w:r>
        <w:t xml:space="preserve">8.1 Retention Period</w:t>
      </w:r>
    </w:p>
    <w:p>
      <w:pPr>
        <w:pStyle w:val="FirstParagraph"/>
      </w:pPr>
      <w:r>
        <w:t xml:space="preserve">Connie will retain Personal Data for the duration of the Agreement and as required for:</w:t>
      </w:r>
      <w:r>
        <w:t xml:space="preserve"> </w:t>
      </w:r>
      <w:r>
        <w:t xml:space="preserve">- Legal obligations</w:t>
      </w:r>
      <w:r>
        <w:t xml:space="preserve"> </w:t>
      </w:r>
      <w:r>
        <w:t xml:space="preserve">- Dispute resolution</w:t>
      </w:r>
      <w:r>
        <w:t xml:space="preserve"> </w:t>
      </w:r>
      <w:r>
        <w:t xml:space="preserve">- Enforcement of agreements</w:t>
      </w:r>
      <w:r>
        <w:t xml:space="preserve"> </w:t>
      </w:r>
      <w:r>
        <w:t xml:space="preserve">- Legitimate business purposes</w:t>
      </w:r>
    </w:p>
    <w:bookmarkEnd w:id="32"/>
    <w:bookmarkStart w:id="33" w:name="deletion"/>
    <w:p>
      <w:pPr>
        <w:pStyle w:val="Heading3"/>
      </w:pPr>
      <w:r>
        <w:t xml:space="preserve">8.2 Deletion</w:t>
      </w:r>
    </w:p>
    <w:p>
      <w:pPr>
        <w:pStyle w:val="FirstParagraph"/>
      </w:pPr>
      <w:r>
        <w:t xml:space="preserve">Upon termination of the Agreement, Connie shall:</w:t>
      </w:r>
      <w:r>
        <w:t xml:space="preserve"> </w:t>
      </w:r>
      <w:r>
        <w:t xml:space="preserve">- Delete all Personal Data within 90 days</w:t>
      </w:r>
      <w:r>
        <w:t xml:space="preserve"> </w:t>
      </w:r>
      <w:r>
        <w:t xml:space="preserve">- Provide certification of deletion upon request</w:t>
      </w:r>
      <w:r>
        <w:t xml:space="preserve"> </w:t>
      </w:r>
      <w:r>
        <w:t xml:space="preserve">- Retain only data required by law</w:t>
      </w:r>
    </w:p>
    <w:bookmarkEnd w:id="33"/>
    <w:bookmarkEnd w:id="34"/>
    <w:bookmarkStart w:id="37" w:name="liability"/>
    <w:p>
      <w:pPr>
        <w:pStyle w:val="Heading2"/>
      </w:pPr>
      <w:r>
        <w:t xml:space="preserve">9. Liability</w:t>
      </w:r>
    </w:p>
    <w:bookmarkStart w:id="35" w:name="liability-cap"/>
    <w:p>
      <w:pPr>
        <w:pStyle w:val="Heading3"/>
      </w:pPr>
      <w:r>
        <w:t xml:space="preserve">9.1 Liability Cap</w:t>
      </w:r>
    </w:p>
    <w:p>
      <w:pPr>
        <w:pStyle w:val="FirstParagraph"/>
      </w:pPr>
      <w:r>
        <w:t xml:space="preserve">Each party’s liability under this DPA shall be subject to the limitations of liability in the Agreement.</w:t>
      </w:r>
    </w:p>
    <w:bookmarkEnd w:id="35"/>
    <w:bookmarkStart w:id="36" w:name="indemnification"/>
    <w:p>
      <w:pPr>
        <w:pStyle w:val="Heading3"/>
      </w:pPr>
      <w:r>
        <w:t xml:space="preserve">9.2 Indemnification</w:t>
      </w:r>
    </w:p>
    <w:p>
      <w:pPr>
        <w:pStyle w:val="FirstParagraph"/>
      </w:pPr>
      <w:r>
        <w:t xml:space="preserve">Each party shall indemnify the other against damages arising from its breach of this DPA or Data Protection Laws.</w:t>
      </w:r>
    </w:p>
    <w:bookmarkEnd w:id="36"/>
    <w:bookmarkEnd w:id="37"/>
    <w:bookmarkStart w:id="38" w:name="ccpa-provisions"/>
    <w:p>
      <w:pPr>
        <w:pStyle w:val="Heading2"/>
      </w:pPr>
      <w:r>
        <w:t xml:space="preserve">10. CCPA Provisions</w:t>
      </w:r>
    </w:p>
    <w:p>
      <w:pPr>
        <w:pStyle w:val="FirstParagraph"/>
      </w:pPr>
      <w:r>
        <w:t xml:space="preserve">For Personal Data subject to CCPA:</w:t>
      </w:r>
      <w:r>
        <w:t xml:space="preserve"> </w:t>
      </w:r>
      <w:r>
        <w:t xml:space="preserve">- Connie is a</w:t>
      </w:r>
      <w:r>
        <w:t xml:space="preserve"> </w:t>
      </w:r>
      <w:r>
        <w:t xml:space="preserve">“Service Provider”</w:t>
      </w:r>
      <w:r>
        <w:t xml:space="preserve"> </w:t>
      </w:r>
      <w:r>
        <w:t xml:space="preserve">as defined by CCPA</w:t>
      </w:r>
      <w:r>
        <w:t xml:space="preserve"> </w:t>
      </w:r>
      <w:r>
        <w:t xml:space="preserve">- Connie shall not sell Personal Data</w:t>
      </w:r>
      <w:r>
        <w:t xml:space="preserve"> </w:t>
      </w:r>
      <w:r>
        <w:t xml:space="preserve">- Connie shall not retain, use, or disclose Personal Data except as necessary for the Services</w:t>
      </w:r>
      <w:r>
        <w:t xml:space="preserve"> </w:t>
      </w:r>
      <w:r>
        <w:t xml:space="preserve">- Connie certifies that it understands and will comply with CCPA restrictions</w:t>
      </w:r>
    </w:p>
    <w:bookmarkEnd w:id="38"/>
    <w:bookmarkStart w:id="41" w:name="nonprofit-specific-provisions"/>
    <w:p>
      <w:pPr>
        <w:pStyle w:val="Heading2"/>
      </w:pPr>
      <w:r>
        <w:t xml:space="preserve">11. Nonprofit-Specific Provisions</w:t>
      </w:r>
    </w:p>
    <w:bookmarkStart w:id="39" w:name="sensitive-data-categories"/>
    <w:p>
      <w:pPr>
        <w:pStyle w:val="Heading3"/>
      </w:pPr>
      <w:r>
        <w:t xml:space="preserve">11.1 Sensitive Data Categories</w:t>
      </w:r>
    </w:p>
    <w:p>
      <w:pPr>
        <w:pStyle w:val="FirstParagraph"/>
      </w:pPr>
      <w:r>
        <w:t xml:space="preserve">For nonprofit organizations handling sensitive data:</w:t>
      </w:r>
      <w:r>
        <w:t xml:space="preserve"> </w:t>
      </w:r>
      <w:r>
        <w:t xml:space="preserve">- Healthcare information (HIPAA compliance where applicable)</w:t>
      </w:r>
      <w:r>
        <w:t xml:space="preserve"> </w:t>
      </w:r>
      <w:r>
        <w:t xml:space="preserve">- Educational records (FERPA compliance where applicable)</w:t>
      </w:r>
      <w:r>
        <w:t xml:space="preserve"> </w:t>
      </w:r>
      <w:r>
        <w:t xml:space="preserve">- Financial assistance recipient data</w:t>
      </w:r>
      <w:r>
        <w:t xml:space="preserve"> </w:t>
      </w:r>
      <w:r>
        <w:t xml:space="preserve">- Vulnerable population information</w:t>
      </w:r>
    </w:p>
    <w:bookmarkEnd w:id="39"/>
    <w:bookmarkStart w:id="40" w:name="enhanced-protections"/>
    <w:p>
      <w:pPr>
        <w:pStyle w:val="Heading3"/>
      </w:pPr>
      <w:r>
        <w:t xml:space="preserve">11.2 Enhanced Protections</w:t>
      </w:r>
    </w:p>
    <w:p>
      <w:pPr>
        <w:pStyle w:val="FirstParagraph"/>
      </w:pPr>
      <w:r>
        <w:t xml:space="preserve">Connie implements additional safeguards for nonprofit data including:</w:t>
      </w:r>
      <w:r>
        <w:t xml:space="preserve"> </w:t>
      </w:r>
      <w:r>
        <w:t xml:space="preserve">- Role-based access controls for sensitive beneficiary data</w:t>
      </w:r>
      <w:r>
        <w:t xml:space="preserve"> </w:t>
      </w:r>
      <w:r>
        <w:t xml:space="preserve">- Enhanced encryption for vulnerable population information</w:t>
      </w:r>
      <w:r>
        <w:t xml:space="preserve"> </w:t>
      </w:r>
      <w:r>
        <w:t xml:space="preserve">- Specialized training for handling nonprofit-specific data categories</w:t>
      </w:r>
      <w:r>
        <w:t xml:space="preserve"> </w:t>
      </w:r>
      <w:r>
        <w:t xml:space="preserve">- Compliance with sector-specific regulations</w:t>
      </w:r>
    </w:p>
    <w:bookmarkEnd w:id="40"/>
    <w:bookmarkEnd w:id="41"/>
    <w:bookmarkStart w:id="46" w:name="general-terms"/>
    <w:p>
      <w:pPr>
        <w:pStyle w:val="Heading2"/>
      </w:pPr>
      <w:r>
        <w:t xml:space="preserve">12. General Terms</w:t>
      </w:r>
    </w:p>
    <w:bookmarkStart w:id="42" w:name="order-of-precedence"/>
    <w:p>
      <w:pPr>
        <w:pStyle w:val="Heading3"/>
      </w:pPr>
      <w:r>
        <w:t xml:space="preserve">12.1 Order of Precedence</w:t>
      </w:r>
    </w:p>
    <w:p>
      <w:pPr>
        <w:pStyle w:val="FirstParagraph"/>
      </w:pPr>
      <w:r>
        <w:t xml:space="preserve">In case of conflict:</w:t>
      </w:r>
      <w:r>
        <w:t xml:space="preserve"> </w:t>
      </w:r>
      <w:r>
        <w:t xml:space="preserve">1. This DPA prevails over the Agreement regarding data protection</w:t>
      </w:r>
      <w:r>
        <w:t xml:space="preserve"> </w:t>
      </w:r>
      <w:r>
        <w:t xml:space="preserve">2. Standard Contractual Clauses prevail over this DPA for international transfers</w:t>
      </w:r>
    </w:p>
    <w:bookmarkEnd w:id="42"/>
    <w:bookmarkStart w:id="43" w:name="modification"/>
    <w:p>
      <w:pPr>
        <w:pStyle w:val="Heading3"/>
      </w:pPr>
      <w:r>
        <w:t xml:space="preserve">12.2 Modification</w:t>
      </w:r>
    </w:p>
    <w:p>
      <w:pPr>
        <w:pStyle w:val="FirstParagraph"/>
      </w:pPr>
      <w:r>
        <w:t xml:space="preserve">This DPA may only be modified by written agreement of both parties.</w:t>
      </w:r>
    </w:p>
    <w:bookmarkEnd w:id="43"/>
    <w:bookmarkStart w:id="44" w:name="termination"/>
    <w:p>
      <w:pPr>
        <w:pStyle w:val="Heading3"/>
      </w:pPr>
      <w:r>
        <w:t xml:space="preserve">12.3 Termination</w:t>
      </w:r>
    </w:p>
    <w:p>
      <w:pPr>
        <w:pStyle w:val="FirstParagraph"/>
      </w:pPr>
      <w:r>
        <w:t xml:space="preserve">This DPA shall automatically terminate upon termination of the Agreement.</w:t>
      </w:r>
    </w:p>
    <w:bookmarkEnd w:id="44"/>
    <w:bookmarkStart w:id="45" w:name="governing-law"/>
    <w:p>
      <w:pPr>
        <w:pStyle w:val="Heading3"/>
      </w:pPr>
      <w:r>
        <w:t xml:space="preserve">12.4 Governing Law</w:t>
      </w:r>
    </w:p>
    <w:p>
      <w:pPr>
        <w:pStyle w:val="FirstParagraph"/>
      </w:pPr>
      <w:r>
        <w:t xml:space="preserve">This DPA is governed by the laws specified in the Agreement, except where Data Protection Laws require otherwise.</w:t>
      </w:r>
    </w:p>
    <w:bookmarkEnd w:id="45"/>
    <w:bookmarkEnd w:id="46"/>
    <w:bookmarkStart w:id="49" w:name="contact-information"/>
    <w:p>
      <w:pPr>
        <w:pStyle w:val="Heading2"/>
      </w:pPr>
      <w:r>
        <w:t xml:space="preserve">13. Contact Information</w:t>
      </w:r>
    </w:p>
    <w:bookmarkStart w:id="47" w:name="connie-data-protection-officer"/>
    <w:p>
      <w:pPr>
        <w:pStyle w:val="Heading3"/>
      </w:pPr>
      <w:r>
        <w:t xml:space="preserve">Connie Data Protection Officer</w:t>
      </w:r>
    </w:p>
    <w:p>
      <w:pPr>
        <w:pStyle w:val="FirstParagraph"/>
      </w:pPr>
      <w:r>
        <w:rPr>
          <w:b/>
          <w:bCs/>
        </w:rPr>
        <w:t xml:space="preserve">Email:</w:t>
      </w:r>
      <w:r>
        <w:t xml:space="preserve"> </w:t>
      </w:r>
      <w:r>
        <w:t xml:space="preserve">[DPO_EMAIL]</w:t>
      </w:r>
      <w:r>
        <w:br/>
      </w:r>
      <w:r>
        <w:rPr>
          <w:b/>
          <w:bCs/>
        </w:rPr>
        <w:t xml:space="preserve">Phone:</w:t>
      </w:r>
      <w:r>
        <w:t xml:space="preserve"> </w:t>
      </w:r>
      <w:r>
        <w:t xml:space="preserve">[DPO_PHONE]</w:t>
      </w:r>
      <w:r>
        <w:br/>
      </w:r>
      <w:r>
        <w:rPr>
          <w:b/>
          <w:bCs/>
        </w:rPr>
        <w:t xml:space="preserve">Address:</w:t>
      </w:r>
      <w:r>
        <w:t xml:space="preserve"> </w:t>
      </w:r>
      <w:r>
        <w:t xml:space="preserve">[DPO_ADDRESS]</w:t>
      </w:r>
    </w:p>
    <w:bookmarkEnd w:id="47"/>
    <w:bookmarkStart w:id="48" w:name="customer-data-protection-contact"/>
    <w:p>
      <w:pPr>
        <w:pStyle w:val="Heading3"/>
      </w:pPr>
      <w:r>
        <w:t xml:space="preserve">Customer Data Protection Contact</w:t>
      </w:r>
    </w:p>
    <w:p>
      <w:pPr>
        <w:pStyle w:val="FirstParagraph"/>
      </w:pPr>
      <w:r>
        <w:t xml:space="preserve">To be provided by Customer in writing to Connie.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appendix-1-standard-contractual-clauses"/>
    <w:p>
      <w:pPr>
        <w:pStyle w:val="Heading2"/>
      </w:pPr>
      <w:r>
        <w:t xml:space="preserve">Appendix 1: Standard Contractual Clauses</w:t>
      </w:r>
    </w:p>
    <w:p>
      <w:pPr>
        <w:pStyle w:val="FirstParagraph"/>
      </w:pPr>
      <w:r>
        <w:t xml:space="preserve">The Standard Contractual Clauses pursuant to Commission Implementing Decision (EU) 2021/914 of 4 June 2021 are hereby incorporated by reference and form an integral part of this DPA for transfers of Personal Data from the EEA to third countries.</w:t>
      </w:r>
    </w:p>
    <w:p>
      <w:pPr>
        <w:pStyle w:val="BodyText"/>
      </w:pPr>
      <w:r>
        <w:rPr>
          <w:b/>
          <w:bCs/>
        </w:rPr>
        <w:t xml:space="preserve">Module Selection:</w:t>
      </w:r>
      <w:r>
        <w:t xml:space="preserve"> </w:t>
      </w:r>
      <w:r>
        <w:t xml:space="preserve">- Module Two (Controller to Processor) applies where Customer is a Controller</w:t>
      </w:r>
    </w:p>
    <w:p>
      <w:pPr>
        <w:pStyle w:val="BodyText"/>
      </w:pPr>
      <w:r>
        <w:rPr>
          <w:b/>
          <w:bCs/>
        </w:rPr>
        <w:t xml:space="preserve">Clause 7 - Docking Clause:</w:t>
      </w:r>
      <w:r>
        <w:t xml:space="preserve"> </w:t>
      </w:r>
      <w:r>
        <w:t xml:space="preserve">The parties agree that additional controllers and processors may accede to these Clauses.</w:t>
      </w:r>
    </w:p>
    <w:p>
      <w:pPr>
        <w:pStyle w:val="BodyText"/>
      </w:pPr>
      <w:r>
        <w:rPr>
          <w:b/>
          <w:bCs/>
        </w:rPr>
        <w:t xml:space="preserve">Clause 9 - Use of Sub-processors:</w:t>
      </w:r>
      <w:r>
        <w:t xml:space="preserve"> </w:t>
      </w:r>
      <w:r>
        <w:t xml:space="preserve">Option 2 (General written authorization) applies.</w:t>
      </w:r>
    </w:p>
    <w:p>
      <w:pPr>
        <w:pStyle w:val="BodyText"/>
      </w:pPr>
      <w:r>
        <w:rPr>
          <w:b/>
          <w:bCs/>
        </w:rPr>
        <w:t xml:space="preserve">Clause 11 - Redress:</w:t>
      </w:r>
      <w:r>
        <w:t xml:space="preserve"> </w:t>
      </w:r>
      <w:r>
        <w:t xml:space="preserve">The optional requirement for an independent dispute resolution mechanism is not applied.</w:t>
      </w:r>
    </w:p>
    <w:p>
      <w:pPr>
        <w:pStyle w:val="BodyText"/>
      </w:pPr>
      <w:r>
        <w:rPr>
          <w:b/>
          <w:bCs/>
        </w:rPr>
        <w:t xml:space="preserve">Clause 17 - Governing Law:</w:t>
      </w:r>
      <w:r>
        <w:t xml:space="preserve"> </w:t>
      </w:r>
      <w:r>
        <w:t xml:space="preserve">The laws of [EU_MEMBER_STATE] apply.</w:t>
      </w:r>
    </w:p>
    <w:p>
      <w:pPr>
        <w:pStyle w:val="BodyText"/>
      </w:pPr>
      <w:r>
        <w:rPr>
          <w:b/>
          <w:bCs/>
        </w:rPr>
        <w:t xml:space="preserve">Clause 18 - Choice of Forum:</w:t>
      </w:r>
      <w:r>
        <w:t xml:space="preserve"> </w:t>
      </w:r>
      <w:r>
        <w:t xml:space="preserve">The courts of [EU_MEMBER_STATE] have jurisdiction.</w:t>
      </w:r>
    </w:p>
    <w:p>
      <w:r>
        <w:pict>
          <v:rect style="width:0;height:1.5pt" o:hralign="center" o:hrstd="t" o:hr="t"/>
        </w:pict>
      </w:r>
    </w:p>
    <w:bookmarkEnd w:id="50"/>
    <w:bookmarkStart w:id="52" w:name="X70aa41c88cbb59a41b2293e2356297825f4301f"/>
    <w:p>
      <w:pPr>
        <w:pStyle w:val="Heading2"/>
      </w:pPr>
      <w:r>
        <w:t xml:space="preserve">Appendix 2: Technical and Organizational Measures</w:t>
      </w:r>
    </w:p>
    <w:bookmarkStart w:id="51" w:name="security-measures-1"/>
    <w:p>
      <w:pPr>
        <w:pStyle w:val="Heading3"/>
      </w:pPr>
      <w:r>
        <w:t xml:space="preserve">Security Measures</w:t>
      </w:r>
    </w:p>
    <w:p>
      <w:pPr>
        <w:pStyle w:val="FirstParagraph"/>
      </w:pPr>
      <w:r>
        <w:rPr>
          <w:b/>
          <w:bCs/>
        </w:rPr>
        <w:t xml:space="preserve">1. Access Control</w:t>
      </w:r>
      <w:r>
        <w:t xml:space="preserve"> </w:t>
      </w:r>
      <w:r>
        <w:t xml:space="preserve">- Multi-factor authentication</w:t>
      </w:r>
      <w:r>
        <w:t xml:space="preserve"> </w:t>
      </w:r>
      <w:r>
        <w:t xml:space="preserve">- Role-based access controls</w:t>
      </w:r>
      <w:r>
        <w:t xml:space="preserve"> </w:t>
      </w:r>
      <w:r>
        <w:t xml:space="preserve">- Regular access reviews</w:t>
      </w:r>
      <w:r>
        <w:t xml:space="preserve"> </w:t>
      </w:r>
      <w:r>
        <w:t xml:space="preserve">- Privileged access management</w:t>
      </w:r>
    </w:p>
    <w:p>
      <w:pPr>
        <w:pStyle w:val="BodyText"/>
      </w:pPr>
      <w:r>
        <w:rPr>
          <w:b/>
          <w:bCs/>
        </w:rPr>
        <w:t xml:space="preserve">2. Data Protection</w:t>
      </w:r>
      <w:r>
        <w:t xml:space="preserve"> </w:t>
      </w:r>
      <w:r>
        <w:t xml:space="preserve">- Encryption at rest (AES-256)</w:t>
      </w:r>
      <w:r>
        <w:t xml:space="preserve"> </w:t>
      </w:r>
      <w:r>
        <w:t xml:space="preserve">- Encryption in transit (TLS 1.2+)</w:t>
      </w:r>
      <w:r>
        <w:t xml:space="preserve"> </w:t>
      </w:r>
      <w:r>
        <w:t xml:space="preserve">- Key management procedures</w:t>
      </w:r>
      <w:r>
        <w:t xml:space="preserve"> </w:t>
      </w:r>
      <w:r>
        <w:t xml:space="preserve">- Data loss prevention controls</w:t>
      </w:r>
    </w:p>
    <w:p>
      <w:pPr>
        <w:pStyle w:val="BodyText"/>
      </w:pPr>
      <w:r>
        <w:rPr>
          <w:b/>
          <w:bCs/>
        </w:rPr>
        <w:t xml:space="preserve">3. System Security</w:t>
      </w:r>
      <w:r>
        <w:t xml:space="preserve"> </w:t>
      </w:r>
      <w:r>
        <w:t xml:space="preserve">- Firewall protection</w:t>
      </w:r>
      <w:r>
        <w:t xml:space="preserve"> </w:t>
      </w:r>
      <w:r>
        <w:t xml:space="preserve">- Intrusion detection/prevention</w:t>
      </w:r>
      <w:r>
        <w:t xml:space="preserve"> </w:t>
      </w:r>
      <w:r>
        <w:t xml:space="preserve">- Anti-malware protection</w:t>
      </w:r>
      <w:r>
        <w:t xml:space="preserve"> </w:t>
      </w:r>
      <w:r>
        <w:t xml:space="preserve">- Security patch management</w:t>
      </w:r>
    </w:p>
    <w:p>
      <w:pPr>
        <w:pStyle w:val="BodyText"/>
      </w:pPr>
      <w:r>
        <w:rPr>
          <w:b/>
          <w:bCs/>
        </w:rPr>
        <w:t xml:space="preserve">4. Operational Security</w:t>
      </w:r>
      <w:r>
        <w:t xml:space="preserve"> </w:t>
      </w:r>
      <w:r>
        <w:t xml:space="preserve">- Change management procedures</w:t>
      </w:r>
      <w:r>
        <w:t xml:space="preserve"> </w:t>
      </w:r>
      <w:r>
        <w:t xml:space="preserve">- Vulnerability management</w:t>
      </w:r>
      <w:r>
        <w:t xml:space="preserve"> </w:t>
      </w:r>
      <w:r>
        <w:t xml:space="preserve">- Security incident response</w:t>
      </w:r>
      <w:r>
        <w:t xml:space="preserve"> </w:t>
      </w:r>
      <w:r>
        <w:t xml:space="preserve">- Business continuity planning</w:t>
      </w:r>
    </w:p>
    <w:p>
      <w:pPr>
        <w:pStyle w:val="BodyText"/>
      </w:pPr>
      <w:r>
        <w:rPr>
          <w:b/>
          <w:bCs/>
        </w:rPr>
        <w:t xml:space="preserve">5. Physical Security</w:t>
      </w:r>
      <w:r>
        <w:t xml:space="preserve"> </w:t>
      </w:r>
      <w:r>
        <w:t xml:space="preserve">- Secured data centers</w:t>
      </w:r>
      <w:r>
        <w:t xml:space="preserve"> </w:t>
      </w:r>
      <w:r>
        <w:t xml:space="preserve">- Environmental controls</w:t>
      </w:r>
      <w:r>
        <w:t xml:space="preserve"> </w:t>
      </w:r>
      <w:r>
        <w:t xml:space="preserve">- Access logging</w:t>
      </w:r>
      <w:r>
        <w:t xml:space="preserve"> </w:t>
      </w:r>
      <w:r>
        <w:t xml:space="preserve">- Video surveillance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BY EXECUTING THE AGREEMENT, CUSTOMER AGREES TO THIS DATA PROCESSING AGREEMENT.</w:t>
      </w:r>
    </w:p>
    <w:p>
      <w:pPr>
        <w:pStyle w:val="BodyText"/>
      </w:pPr>
      <w:r>
        <w:rPr>
          <w:b/>
          <w:bCs/>
        </w:rPr>
        <w:t xml:space="preserve">ConnieML, Inc.</w:t>
      </w:r>
      <w:r>
        <w:br/>
      </w:r>
      <w:r>
        <w:t xml:space="preserve">[ADDRESS]</w:t>
      </w:r>
      <w:r>
        <w:br/>
      </w:r>
      <w:r>
        <w:t xml:space="preserve">[CITY, STATE ZIP]</w:t>
      </w:r>
      <w:r>
        <w:br/>
      </w:r>
      <w:r>
        <w:t xml:space="preserve">[COUNTRY]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a template and must be reviewed by legal counsel before use. Replace all bracketed placeholders with appropriate information.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2025-08-27T14:31:09Z</dcterms:created>
  <dcterms:modified xsi:type="dcterms:W3CDTF">2025-08-27T14:31:09Z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