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f78c3316676687bc125e6429c3fb1b7f9ef67df"/>
    <w:p>
      <w:pPr>
        <w:pStyle w:val="Heading1"/>
      </w:pPr>
      <w:r>
        <w:t xml:space="preserve">Connie Law Enforcement Request Guidelines</w: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[DATE]</w:t>
      </w:r>
      <w:r>
        <w:br/>
      </w:r>
      <w:r>
        <w:rPr>
          <w:b/>
          <w:bCs/>
        </w:rPr>
        <w:t xml:space="preserve">Effective Date:</w:t>
      </w:r>
      <w:r>
        <w:t xml:space="preserve"> </w:t>
      </w:r>
      <w:r>
        <w:t xml:space="preserve">[DATE]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These guidelines are provided for law enforcement agencies and government officials seeking records from Connie, Inc. (</w:t>
      </w:r>
      <w:r>
        <w:t xml:space="preserve">“Connie”</w:t>
      </w:r>
      <w:r>
        <w:t xml:space="preserve">) relating to Connie’s customers’ use of Connie services. Connie reserves the right to update these Guidelines at any time without prior notice.</w:t>
      </w:r>
    </w:p>
    <w:bookmarkEnd w:id="9"/>
    <w:bookmarkStart w:id="10" w:name="Xa0a41e84d0506b65f785252cdf31e60efe09466"/>
    <w:p>
      <w:pPr>
        <w:pStyle w:val="Heading2"/>
      </w:pPr>
      <w:r>
        <w:t xml:space="preserve">Important Notice for Non-Law Enforcement Requests</w:t>
      </w:r>
    </w:p>
    <w:p>
      <w:pPr>
        <w:pStyle w:val="FirstParagraph"/>
      </w:pPr>
      <w:r>
        <w:t xml:space="preserve">These Guidelines apply only to law enforcement and government requests. For all other requests: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Civil litigation discovery</w:t>
      </w:r>
      <w:r>
        <w:t xml:space="preserve">: Contact [LEGAL EMAIL]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Privacy inquiries</w:t>
      </w:r>
      <w:r>
        <w:t xml:space="preserve">: See our Privacy Policy at [PRIVACY URL]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DMCA/Copyright</w:t>
      </w:r>
      <w:r>
        <w:t xml:space="preserve">: See our DMCA Policy at [DMCA URL]</w:t>
      </w:r>
    </w:p>
    <w:bookmarkEnd w:id="10"/>
    <w:bookmarkStart w:id="11" w:name="connies-commitment-to-user-privacy"/>
    <w:p>
      <w:pPr>
        <w:pStyle w:val="Heading2"/>
      </w:pPr>
      <w:r>
        <w:t xml:space="preserve">Connie’s Commitment to User Privacy</w:t>
      </w:r>
    </w:p>
    <w:p>
      <w:pPr>
        <w:pStyle w:val="FirstParagraph"/>
      </w:pPr>
      <w:r>
        <w:t xml:space="preserve">Connie is committed to protecting the privacy of its users while also complying with applicable laws. We carefully review each law enforcement request to ensure it satisfies applicable legal requirements.</w:t>
      </w:r>
    </w:p>
    <w:bookmarkEnd w:id="11"/>
    <w:bookmarkStart w:id="15" w:name="types-of-customer-information"/>
    <w:p>
      <w:pPr>
        <w:pStyle w:val="Heading2"/>
      </w:pPr>
      <w:r>
        <w:t xml:space="preserve">Types of Customer Information</w:t>
      </w:r>
    </w:p>
    <w:p>
      <w:pPr>
        <w:pStyle w:val="FirstParagraph"/>
      </w:pPr>
      <w:r>
        <w:t xml:space="preserve">Connie may maintain the following types of customer information:</w:t>
      </w:r>
    </w:p>
    <w:bookmarkStart w:id="12" w:name="basic-account-information"/>
    <w:p>
      <w:pPr>
        <w:pStyle w:val="Heading3"/>
      </w:pPr>
      <w:r>
        <w:t xml:space="preserve">Basic Account Information</w:t>
      </w:r>
    </w:p>
    <w:p>
      <w:pPr>
        <w:pStyle w:val="Compact"/>
        <w:numPr>
          <w:ilvl w:val="0"/>
          <w:numId w:val="1001"/>
        </w:numPr>
      </w:pPr>
      <w:r>
        <w:t xml:space="preserve">Account holder name</w:t>
      </w:r>
    </w:p>
    <w:p>
      <w:pPr>
        <w:pStyle w:val="Compact"/>
        <w:numPr>
          <w:ilvl w:val="0"/>
          <w:numId w:val="1001"/>
        </w:numPr>
      </w:pPr>
      <w:r>
        <w:t xml:space="preserve">Account creation date</w:t>
      </w:r>
    </w:p>
    <w:p>
      <w:pPr>
        <w:pStyle w:val="Compact"/>
        <w:numPr>
          <w:ilvl w:val="0"/>
          <w:numId w:val="1001"/>
        </w:numPr>
      </w:pPr>
      <w:r>
        <w:t xml:space="preserve">Email address</w:t>
      </w:r>
    </w:p>
    <w:p>
      <w:pPr>
        <w:pStyle w:val="Compact"/>
        <w:numPr>
          <w:ilvl w:val="0"/>
          <w:numId w:val="1001"/>
        </w:numPr>
      </w:pPr>
      <w:r>
        <w:t xml:space="preserve">Billing information (if applicable)</w:t>
      </w:r>
    </w:p>
    <w:p>
      <w:pPr>
        <w:pStyle w:val="Compact"/>
        <w:numPr>
          <w:ilvl w:val="0"/>
          <w:numId w:val="1001"/>
        </w:numPr>
      </w:pPr>
      <w:r>
        <w:t xml:space="preserve">IP address logs</w:t>
      </w:r>
    </w:p>
    <w:bookmarkEnd w:id="12"/>
    <w:bookmarkStart w:id="13" w:name="usage-information"/>
    <w:p>
      <w:pPr>
        <w:pStyle w:val="Heading3"/>
      </w:pPr>
      <w:r>
        <w:t xml:space="preserve">Usage Information</w:t>
      </w:r>
    </w:p>
    <w:p>
      <w:pPr>
        <w:pStyle w:val="Compact"/>
        <w:numPr>
          <w:ilvl w:val="0"/>
          <w:numId w:val="1002"/>
        </w:numPr>
      </w:pPr>
      <w:r>
        <w:t xml:space="preserve">Call Detail Records (CDRs)</w:t>
      </w:r>
    </w:p>
    <w:p>
      <w:pPr>
        <w:pStyle w:val="Compact"/>
        <w:numPr>
          <w:ilvl w:val="0"/>
          <w:numId w:val="1002"/>
        </w:numPr>
      </w:pPr>
      <w:r>
        <w:t xml:space="preserve">Message logs (metadata only)</w:t>
      </w:r>
    </w:p>
    <w:p>
      <w:pPr>
        <w:pStyle w:val="Compact"/>
        <w:numPr>
          <w:ilvl w:val="0"/>
          <w:numId w:val="1002"/>
        </w:numPr>
      </w:pPr>
      <w:r>
        <w:t xml:space="preserve">API usage logs</w:t>
      </w:r>
    </w:p>
    <w:p>
      <w:pPr>
        <w:pStyle w:val="Compact"/>
        <w:numPr>
          <w:ilvl w:val="0"/>
          <w:numId w:val="1002"/>
        </w:numPr>
      </w:pPr>
      <w:r>
        <w:t xml:space="preserve">Service configuration data</w:t>
      </w:r>
    </w:p>
    <w:bookmarkEnd w:id="13"/>
    <w:bookmarkStart w:id="14" w:name="communications-content"/>
    <w:p>
      <w:pPr>
        <w:pStyle w:val="Heading3"/>
      </w:pPr>
      <w:r>
        <w:t xml:space="preserve">Communications Content</w:t>
      </w:r>
    </w:p>
    <w:p>
      <w:pPr>
        <w:pStyle w:val="Compact"/>
        <w:numPr>
          <w:ilvl w:val="0"/>
          <w:numId w:val="1003"/>
        </w:numPr>
      </w:pPr>
      <w:r>
        <w:t xml:space="preserve">Stored voicemails</w:t>
      </w:r>
    </w:p>
    <w:p>
      <w:pPr>
        <w:pStyle w:val="Compact"/>
        <w:numPr>
          <w:ilvl w:val="0"/>
          <w:numId w:val="1003"/>
        </w:numPr>
      </w:pPr>
      <w:r>
        <w:t xml:space="preserve">Recorded calls (if recording is enabled)</w:t>
      </w:r>
    </w:p>
    <w:p>
      <w:pPr>
        <w:pStyle w:val="Compact"/>
        <w:numPr>
          <w:ilvl w:val="0"/>
          <w:numId w:val="1003"/>
        </w:numPr>
      </w:pPr>
      <w:r>
        <w:t xml:space="preserve">Message content (where stored)</w:t>
      </w:r>
    </w:p>
    <w:p>
      <w:pPr>
        <w:pStyle w:val="Compact"/>
        <w:numPr>
          <w:ilvl w:val="0"/>
          <w:numId w:val="1003"/>
        </w:numPr>
      </w:pPr>
      <w:r>
        <w:t xml:space="preserve">Fax content</w:t>
      </w:r>
    </w:p>
    <w:bookmarkEnd w:id="14"/>
    <w:bookmarkEnd w:id="15"/>
    <w:bookmarkStart w:id="21" w:name="legal-process-requirements"/>
    <w:p>
      <w:pPr>
        <w:pStyle w:val="Heading2"/>
      </w:pPr>
      <w:r>
        <w:t xml:space="preserve">Legal Process Requirements</w:t>
      </w:r>
    </w:p>
    <w:bookmarkStart w:id="16" w:name="X90cf7849b6514bb1e423945b5c653b0977d6c76"/>
    <w:p>
      <w:pPr>
        <w:pStyle w:val="Heading3"/>
      </w:pPr>
      <w:r>
        <w:t xml:space="preserve">Subpoena (Administrative, Grand Jury, or Trial)</w:t>
      </w:r>
    </w:p>
    <w:p>
      <w:pPr>
        <w:pStyle w:val="FirstParagraph"/>
      </w:pPr>
      <w:r>
        <w:rPr>
          <w:b/>
          <w:bCs/>
        </w:rPr>
        <w:t xml:space="preserve">Information Available:</w:t>
      </w:r>
      <w:r>
        <w:t xml:space="preserve"> </w:t>
      </w:r>
      <w:r>
        <w:t xml:space="preserve">- Basic account information</w:t>
      </w:r>
      <w:r>
        <w:t xml:space="preserve"> </w:t>
      </w:r>
      <w:r>
        <w:t xml:space="preserve">- Account activity logs</w:t>
      </w:r>
      <w:r>
        <w:t xml:space="preserve"> </w:t>
      </w:r>
      <w:r>
        <w:t xml:space="preserve">- IP address information</w:t>
      </w:r>
    </w:p>
    <w:p>
      <w:pPr>
        <w:pStyle w:val="BodyText"/>
      </w:pPr>
      <w:r>
        <w:rPr>
          <w:b/>
          <w:bCs/>
        </w:rPr>
        <w:t xml:space="preserve">Not Available via Subpoena:</w:t>
      </w:r>
      <w:r>
        <w:t xml:space="preserve"> </w:t>
      </w:r>
      <w:r>
        <w:t xml:space="preserve">- Communications content</w:t>
      </w:r>
      <w:r>
        <w:t xml:space="preserve"> </w:t>
      </w:r>
      <w:r>
        <w:t xml:space="preserve">- Real-time information</w:t>
      </w:r>
      <w:r>
        <w:t xml:space="preserve"> </w:t>
      </w:r>
      <w:r>
        <w:t xml:space="preserve">- Location information beyond IP address</w:t>
      </w:r>
    </w:p>
    <w:bookmarkEnd w:id="16"/>
    <w:bookmarkStart w:id="17" w:name="court-order-18-u.s.c.-2703d"/>
    <w:p>
      <w:pPr>
        <w:pStyle w:val="Heading3"/>
      </w:pPr>
      <w:r>
        <w:t xml:space="preserve">Court Order (18 U.S.C. § 2703(d))</w:t>
      </w:r>
    </w:p>
    <w:p>
      <w:pPr>
        <w:pStyle w:val="FirstParagraph"/>
      </w:pPr>
      <w:r>
        <w:rPr>
          <w:b/>
          <w:bCs/>
        </w:rPr>
        <w:t xml:space="preserve">Information Available:</w:t>
      </w:r>
      <w:r>
        <w:t xml:space="preserve"> </w:t>
      </w:r>
      <w:r>
        <w:t xml:space="preserve">- Everything available via subpoena</w:t>
      </w:r>
      <w:r>
        <w:t xml:space="preserve"> </w:t>
      </w:r>
      <w:r>
        <w:t xml:space="preserve">- Extended account records</w:t>
      </w:r>
      <w:r>
        <w:t xml:space="preserve"> </w:t>
      </w:r>
      <w:r>
        <w:t xml:space="preserve">- Session times and durations</w:t>
      </w:r>
      <w:r>
        <w:t xml:space="preserve"> </w:t>
      </w:r>
      <w:r>
        <w:t xml:space="preserve">- Historical IP addresses</w:t>
      </w:r>
    </w:p>
    <w:bookmarkEnd w:id="17"/>
    <w:bookmarkStart w:id="18" w:name="search-warrant"/>
    <w:p>
      <w:pPr>
        <w:pStyle w:val="Heading3"/>
      </w:pPr>
      <w:r>
        <w:t xml:space="preserve">Search Warrant</w:t>
      </w:r>
    </w:p>
    <w:p>
      <w:pPr>
        <w:pStyle w:val="FirstParagraph"/>
      </w:pPr>
      <w:r>
        <w:rPr>
          <w:b/>
          <w:bCs/>
        </w:rPr>
        <w:t xml:space="preserve">Information Available:</w:t>
      </w:r>
      <w:r>
        <w:t xml:space="preserve"> </w:t>
      </w:r>
      <w:r>
        <w:t xml:space="preserve">- All available account information</w:t>
      </w:r>
      <w:r>
        <w:t xml:space="preserve"> </w:t>
      </w:r>
      <w:r>
        <w:t xml:space="preserve">- Communications content</w:t>
      </w:r>
      <w:r>
        <w:t xml:space="preserve"> </w:t>
      </w:r>
      <w:r>
        <w:t xml:space="preserve">- Stored data</w:t>
      </w:r>
      <w:r>
        <w:t xml:space="preserve"> </w:t>
      </w:r>
      <w:r>
        <w:t xml:space="preserve">- Any information in Connie’s possession</w:t>
      </w:r>
    </w:p>
    <w:bookmarkEnd w:id="18"/>
    <w:bookmarkStart w:id="19" w:name="wiretap-order-title-iii"/>
    <w:p>
      <w:pPr>
        <w:pStyle w:val="Heading3"/>
      </w:pPr>
      <w:r>
        <w:t xml:space="preserve">Wiretap Order (Title III)</w:t>
      </w:r>
    </w:p>
    <w:p>
      <w:pPr>
        <w:pStyle w:val="FirstParagraph"/>
      </w:pPr>
      <w:r>
        <w:t xml:space="preserve">Required for real-time interception of communications content.</w:t>
      </w:r>
    </w:p>
    <w:bookmarkEnd w:id="19"/>
    <w:bookmarkStart w:id="20" w:name="pen-registertrap-and-trace-order"/>
    <w:p>
      <w:pPr>
        <w:pStyle w:val="Heading3"/>
      </w:pPr>
      <w:r>
        <w:t xml:space="preserve">Pen Register/Trap and Trace Order</w:t>
      </w:r>
    </w:p>
    <w:p>
      <w:pPr>
        <w:pStyle w:val="FirstParagraph"/>
      </w:pPr>
      <w:r>
        <w:t xml:space="preserve">Required for real-time, prospective non-content information.</w:t>
      </w:r>
    </w:p>
    <w:bookmarkEnd w:id="20"/>
    <w:bookmarkEnd w:id="21"/>
    <w:bookmarkStart w:id="22" w:name="emergency-requests"/>
    <w:p>
      <w:pPr>
        <w:pStyle w:val="Heading2"/>
      </w:pPr>
      <w:r>
        <w:t xml:space="preserve">Emergency Requests</w:t>
      </w:r>
    </w:p>
    <w:p>
      <w:pPr>
        <w:pStyle w:val="FirstParagraph"/>
      </w:pPr>
      <w:r>
        <w:t xml:space="preserve">Connie evaluates emergency requests on a case-by-case basis. Emergency requests must:</w:t>
      </w:r>
    </w:p>
    <w:p>
      <w:pPr>
        <w:pStyle w:val="Compact"/>
        <w:numPr>
          <w:ilvl w:val="0"/>
          <w:numId w:val="1004"/>
        </w:numPr>
      </w:pPr>
      <w:r>
        <w:t xml:space="preserve">Come from a law enforcement agency</w:t>
      </w:r>
    </w:p>
    <w:p>
      <w:pPr>
        <w:pStyle w:val="Compact"/>
        <w:numPr>
          <w:ilvl w:val="0"/>
          <w:numId w:val="1004"/>
        </w:numPr>
      </w:pPr>
      <w:r>
        <w:t xml:space="preserve">Involve imminent danger of:</w:t>
      </w:r>
    </w:p>
    <w:p>
      <w:pPr>
        <w:pStyle w:val="Compact"/>
        <w:numPr>
          <w:ilvl w:val="1"/>
          <w:numId w:val="1005"/>
        </w:numPr>
      </w:pPr>
      <w:r>
        <w:t xml:space="preserve">Death or serious physical injury to a person</w:t>
      </w:r>
    </w:p>
    <w:p>
      <w:pPr>
        <w:pStyle w:val="Compact"/>
        <w:numPr>
          <w:ilvl w:val="1"/>
          <w:numId w:val="1005"/>
        </w:numPr>
      </w:pPr>
      <w:r>
        <w:t xml:space="preserve">Child exploitation or abduction</w:t>
      </w:r>
    </w:p>
    <w:p>
      <w:pPr>
        <w:pStyle w:val="Compact"/>
        <w:numPr>
          <w:ilvl w:val="0"/>
          <w:numId w:val="1004"/>
        </w:numPr>
      </w:pPr>
      <w:r>
        <w:t xml:space="preserve">Require immediate disclosure to prevent harm</w:t>
      </w:r>
    </w:p>
    <w:p>
      <w:pPr>
        <w:pStyle w:val="FirstParagraph"/>
      </w:pPr>
      <w:r>
        <w:rPr>
          <w:b/>
          <w:bCs/>
        </w:rPr>
        <w:t xml:space="preserve">Emergency Request Contact:</w:t>
      </w:r>
      <w:r>
        <w:br/>
      </w:r>
      <w:r>
        <w:t xml:space="preserve">Email: [EMERGENCY EMAIL]</w:t>
      </w:r>
      <w:r>
        <w:br/>
      </w:r>
      <w:r>
        <w:t xml:space="preserve">Phone: [24/7 EMERGENCY PHONE]</w:t>
      </w:r>
    </w:p>
    <w:p>
      <w:pPr>
        <w:pStyle w:val="BodyText"/>
      </w:pPr>
      <w:r>
        <w:t xml:space="preserve">Include</w:t>
      </w:r>
      <w:r>
        <w:t xml:space="preserve"> </w:t>
      </w:r>
      <w:r>
        <w:t xml:space="preserve">“EMERGENCY”</w:t>
      </w:r>
      <w:r>
        <w:t xml:space="preserve"> </w:t>
      </w:r>
      <w:r>
        <w:t xml:space="preserve">in the subject line and provide:</w:t>
      </w:r>
      <w:r>
        <w:t xml:space="preserve"> </w:t>
      </w:r>
      <w:r>
        <w:t xml:space="preserve">- Nature of emergency</w:t>
      </w:r>
      <w:r>
        <w:t xml:space="preserve"> </w:t>
      </w:r>
      <w:r>
        <w:t xml:space="preserve">- Information sought</w:t>
      </w:r>
      <w:r>
        <w:t xml:space="preserve"> </w:t>
      </w:r>
      <w:r>
        <w:t xml:space="preserve">- How information will prevent harm</w:t>
      </w:r>
      <w:r>
        <w:t xml:space="preserve"> </w:t>
      </w:r>
      <w:r>
        <w:t xml:space="preserve">- Agency case number</w:t>
      </w:r>
      <w:r>
        <w:t xml:space="preserve"> </w:t>
      </w:r>
      <w:r>
        <w:t xml:space="preserve">- Contact information for follow-up</w:t>
      </w:r>
    </w:p>
    <w:bookmarkEnd w:id="22"/>
    <w:bookmarkStart w:id="26" w:name="submitting-requests"/>
    <w:p>
      <w:pPr>
        <w:pStyle w:val="Heading2"/>
      </w:pPr>
      <w:r>
        <w:t xml:space="preserve">Submitting Requests</w:t>
      </w:r>
    </w:p>
    <w:bookmarkStart w:id="23" w:name="mailing-address"/>
    <w:p>
      <w:pPr>
        <w:pStyle w:val="Heading3"/>
      </w:pPr>
      <w:r>
        <w:t xml:space="preserve">Mailing Address</w:t>
      </w:r>
    </w:p>
    <w:p>
      <w:pPr>
        <w:pStyle w:val="FirstParagraph"/>
      </w:pPr>
      <w:r>
        <w:t xml:space="preserve">Connie Legal Department</w:t>
      </w:r>
      <w:r>
        <w:br/>
      </w:r>
      <w:r>
        <w:t xml:space="preserve">Attn: Law Enforcement Response</w:t>
      </w:r>
      <w:r>
        <w:br/>
      </w:r>
      <w:r>
        <w:t xml:space="preserve">[ADDRESS]</w:t>
      </w:r>
      <w:r>
        <w:br/>
      </w:r>
      <w:r>
        <w:t xml:space="preserve">[CITY, STATE ZIP]</w:t>
      </w:r>
    </w:p>
    <w:bookmarkEnd w:id="23"/>
    <w:bookmarkStart w:id="24" w:name="email-for-non-emergency-requests"/>
    <w:p>
      <w:pPr>
        <w:pStyle w:val="Heading3"/>
      </w:pPr>
      <w:r>
        <w:t xml:space="preserve">Email (for non-emergency requests)</w:t>
      </w:r>
    </w:p>
    <w:p>
      <w:pPr>
        <w:pStyle w:val="FirstParagraph"/>
      </w:pPr>
      <w:r>
        <w:t xml:space="preserve">[LAW ENFORCEMENT EMAIL]</w:t>
      </w:r>
    </w:p>
    <w:bookmarkEnd w:id="24"/>
    <w:bookmarkStart w:id="25" w:name="required-information"/>
    <w:p>
      <w:pPr>
        <w:pStyle w:val="Heading3"/>
      </w:pPr>
      <w:r>
        <w:t xml:space="preserve">Required Information</w:t>
      </w:r>
    </w:p>
    <w:p>
      <w:pPr>
        <w:pStyle w:val="FirstParagraph"/>
      </w:pPr>
      <w:r>
        <w:t xml:space="preserve">All requests must include:</w:t>
      </w:r>
      <w:r>
        <w:t xml:space="preserve"> </w:t>
      </w:r>
      <w:r>
        <w:t xml:space="preserve">- Valid legal process</w:t>
      </w:r>
      <w:r>
        <w:t xml:space="preserve"> </w:t>
      </w:r>
      <w:r>
        <w:t xml:space="preserve">- Clear identification of account(s) or user(s)</w:t>
      </w:r>
      <w:r>
        <w:t xml:space="preserve"> </w:t>
      </w:r>
      <w:r>
        <w:t xml:space="preserve">- Specific information requested</w:t>
      </w:r>
      <w:r>
        <w:t xml:space="preserve"> </w:t>
      </w:r>
      <w:r>
        <w:t xml:space="preserve">- Date range for requested information</w:t>
      </w:r>
      <w:r>
        <w:t xml:space="preserve"> </w:t>
      </w:r>
      <w:r>
        <w:t xml:space="preserve">- Law enforcement agency information</w:t>
      </w:r>
      <w:r>
        <w:t xml:space="preserve"> </w:t>
      </w:r>
      <w:r>
        <w:t xml:space="preserve">- Agent/officer contact information</w:t>
      </w:r>
      <w:r>
        <w:t xml:space="preserve"> </w:t>
      </w:r>
      <w:r>
        <w:t xml:space="preserve">- Case/reference number</w:t>
      </w:r>
    </w:p>
    <w:bookmarkEnd w:id="25"/>
    <w:bookmarkEnd w:id="26"/>
    <w:bookmarkStart w:id="27" w:name="user-notification"/>
    <w:p>
      <w:pPr>
        <w:pStyle w:val="Heading2"/>
      </w:pPr>
      <w:r>
        <w:t xml:space="preserve">User Notification</w:t>
      </w:r>
    </w:p>
    <w:p>
      <w:pPr>
        <w:pStyle w:val="FirstParagraph"/>
      </w:pPr>
      <w:r>
        <w:t xml:space="preserve">Connie’s policy is to notify users of law enforcement requests for their information unless:</w:t>
      </w:r>
      <w:r>
        <w:t xml:space="preserve"> </w:t>
      </w:r>
      <w:r>
        <w:t xml:space="preserve">- Prohibited by law or court order</w:t>
      </w:r>
      <w:r>
        <w:t xml:space="preserve"> </w:t>
      </w:r>
      <w:r>
        <w:t xml:space="preserve">- Emergency circumstances exist</w:t>
      </w:r>
      <w:r>
        <w:t xml:space="preserve"> </w:t>
      </w:r>
      <w:r>
        <w:t xml:space="preserve">- Notice would jeopardize investigation</w:t>
      </w:r>
      <w:r>
        <w:t xml:space="preserve"> </w:t>
      </w:r>
      <w:r>
        <w:t xml:space="preserve">- Valid non-disclosure order is provided</w:t>
      </w:r>
    </w:p>
    <w:bookmarkEnd w:id="27"/>
    <w:bookmarkStart w:id="28" w:name="data-preservation-requests"/>
    <w:p>
      <w:pPr>
        <w:pStyle w:val="Heading2"/>
      </w:pPr>
      <w:r>
        <w:t xml:space="preserve">Data Preservation Requests</w:t>
      </w:r>
    </w:p>
    <w:p>
      <w:pPr>
        <w:pStyle w:val="FirstParagraph"/>
      </w:pPr>
      <w:r>
        <w:t xml:space="preserve">Connie will preserve account information for 90 days upon receipt of a valid preservation request. Extensions may be granted for an additional 90 days upon request.</w:t>
      </w:r>
    </w:p>
    <w:p>
      <w:pPr>
        <w:pStyle w:val="BodyText"/>
      </w:pPr>
      <w:r>
        <w:rPr>
          <w:b/>
          <w:bCs/>
        </w:rPr>
        <w:t xml:space="preserve">Preservation requests must include:</w:t>
      </w:r>
      <w:r>
        <w:t xml:space="preserve"> </w:t>
      </w:r>
      <w:r>
        <w:t xml:space="preserve">- Account identifiers</w:t>
      </w:r>
      <w:r>
        <w:t xml:space="preserve"> </w:t>
      </w:r>
      <w:r>
        <w:t xml:space="preserve">- Types of data to preserve</w:t>
      </w:r>
      <w:r>
        <w:t xml:space="preserve"> </w:t>
      </w:r>
      <w:r>
        <w:t xml:space="preserve">- Date range</w:t>
      </w:r>
      <w:r>
        <w:t xml:space="preserve"> </w:t>
      </w:r>
      <w:r>
        <w:t xml:space="preserve">- Case information</w:t>
      </w:r>
      <w:r>
        <w:t xml:space="preserve"> </w:t>
      </w:r>
      <w:r>
        <w:t xml:space="preserve">- Expected date of formal legal process</w:t>
      </w:r>
    </w:p>
    <w:bookmarkEnd w:id="28"/>
    <w:bookmarkStart w:id="29" w:name="international-requests"/>
    <w:p>
      <w:pPr>
        <w:pStyle w:val="Heading2"/>
      </w:pPr>
      <w:r>
        <w:t xml:space="preserve">International Requests</w:t>
      </w:r>
    </w:p>
    <w:p>
      <w:pPr>
        <w:pStyle w:val="FirstParagraph"/>
      </w:pPr>
      <w:r>
        <w:t xml:space="preserve">Connie is headquartered in the United States. International law enforcement requests should be served via:</w:t>
      </w:r>
      <w:r>
        <w:t xml:space="preserve"> </w:t>
      </w:r>
      <w:r>
        <w:t xml:space="preserve">- Mutual Legal Assistance Treaty (MLAT)</w:t>
      </w:r>
      <w:r>
        <w:t xml:space="preserve"> </w:t>
      </w:r>
      <w:r>
        <w:t xml:space="preserve">- Letters Rogatory</w:t>
      </w:r>
      <w:r>
        <w:t xml:space="preserve"> </w:t>
      </w:r>
      <w:r>
        <w:t xml:space="preserve">- Other applicable international agreements</w:t>
      </w:r>
    </w:p>
    <w:p>
      <w:pPr>
        <w:pStyle w:val="BodyText"/>
      </w:pPr>
      <w:r>
        <w:t xml:space="preserve">Direct requests from international law enforcement may be considered for emergency situations only.</w:t>
      </w:r>
    </w:p>
    <w:bookmarkEnd w:id="29"/>
    <w:bookmarkStart w:id="30" w:name="cost-reimbursement"/>
    <w:p>
      <w:pPr>
        <w:pStyle w:val="Heading2"/>
      </w:pPr>
      <w:r>
        <w:t xml:space="preserve">Cost Reimbursement</w:t>
      </w:r>
    </w:p>
    <w:p>
      <w:pPr>
        <w:pStyle w:val="FirstParagraph"/>
      </w:pPr>
      <w:r>
        <w:t xml:space="preserve">Connie may seek reimbursement for costs associated with responding to law enforcement requests as permitted by law, including:</w:t>
      </w:r>
      <w:r>
        <w:t xml:space="preserve"> </w:t>
      </w:r>
      <w:r>
        <w:t xml:space="preserve">- Research time</w:t>
      </w:r>
      <w:r>
        <w:t xml:space="preserve"> </w:t>
      </w:r>
      <w:r>
        <w:t xml:space="preserve">- Data preparation</w:t>
      </w:r>
      <w:r>
        <w:t xml:space="preserve"> </w:t>
      </w:r>
      <w:r>
        <w:t xml:space="preserve">- Technical services</w:t>
      </w:r>
      <w:r>
        <w:t xml:space="preserve"> </w:t>
      </w:r>
      <w:r>
        <w:t xml:space="preserve">- Legal review</w:t>
      </w:r>
    </w:p>
    <w:bookmarkEnd w:id="30"/>
    <w:bookmarkStart w:id="31" w:name="testimony"/>
    <w:p>
      <w:pPr>
        <w:pStyle w:val="Heading2"/>
      </w:pPr>
      <w:r>
        <w:t xml:space="preserve">Testimony</w:t>
      </w:r>
    </w:p>
    <w:p>
      <w:pPr>
        <w:pStyle w:val="FirstParagraph"/>
      </w:pPr>
      <w:r>
        <w:t xml:space="preserve">Connie does not provide expert testimony. Witness testimony may be available for:</w:t>
      </w:r>
      <w:r>
        <w:t xml:space="preserve"> </w:t>
      </w:r>
      <w:r>
        <w:t xml:space="preserve">- Authentication of records</w:t>
      </w:r>
      <w:r>
        <w:t xml:space="preserve"> </w:t>
      </w:r>
      <w:r>
        <w:t xml:space="preserve">- Chain of custody</w:t>
      </w:r>
      <w:r>
        <w:t xml:space="preserve"> </w:t>
      </w:r>
      <w:r>
        <w:t xml:space="preserve">- Business record foundation</w:t>
      </w:r>
    </w:p>
    <w:p>
      <w:pPr>
        <w:pStyle w:val="BodyText"/>
      </w:pPr>
      <w:r>
        <w:t xml:space="preserve">Testimony requests require separate subpoena and reasonable advance notice.</w:t>
      </w:r>
    </w:p>
    <w:bookmarkEnd w:id="31"/>
    <w:bookmarkStart w:id="32" w:name="records-authentication"/>
    <w:p>
      <w:pPr>
        <w:pStyle w:val="Heading2"/>
      </w:pPr>
      <w:r>
        <w:t xml:space="preserve">Records Authentication</w:t>
      </w:r>
    </w:p>
    <w:p>
      <w:pPr>
        <w:pStyle w:val="FirstParagraph"/>
      </w:pPr>
      <w:r>
        <w:t xml:space="preserve">Connie can provide:</w:t>
      </w:r>
      <w:r>
        <w:t xml:space="preserve"> </w:t>
      </w:r>
      <w:r>
        <w:t xml:space="preserve">- Business records affidavit</w:t>
      </w:r>
      <w:r>
        <w:t xml:space="preserve"> </w:t>
      </w:r>
      <w:r>
        <w:t xml:space="preserve">- Certificate of authenticity</w:t>
      </w:r>
      <w:r>
        <w:t xml:space="preserve"> </w:t>
      </w:r>
      <w:r>
        <w:t xml:space="preserve">- Custodian of records declaration</w:t>
      </w:r>
    </w:p>
    <w:bookmarkEnd w:id="32"/>
    <w:bookmarkStart w:id="37" w:name="frequently-requested-information"/>
    <w:p>
      <w:pPr>
        <w:pStyle w:val="Heading2"/>
      </w:pPr>
      <w:r>
        <w:t xml:space="preserve">Frequently Requested Information</w:t>
      </w:r>
    </w:p>
    <w:bookmarkStart w:id="33" w:name="call-detail-records-cdrs"/>
    <w:p>
      <w:pPr>
        <w:pStyle w:val="Heading3"/>
      </w:pPr>
      <w:r>
        <w:t xml:space="preserve">Call Detail Records (CDRs)</w:t>
      </w:r>
    </w:p>
    <w:p>
      <w:pPr>
        <w:pStyle w:val="FirstParagraph"/>
      </w:pPr>
      <w:r>
        <w:t xml:space="preserve">Include: Date, time, duration, parties, call direction</w:t>
      </w:r>
      <w:r>
        <w:t xml:space="preserve"> </w:t>
      </w:r>
      <w:r>
        <w:t xml:space="preserve">Retention: [RETENTION PERIOD]</w:t>
      </w:r>
    </w:p>
    <w:bookmarkEnd w:id="33"/>
    <w:bookmarkStart w:id="34" w:name="ip-address-logs"/>
    <w:p>
      <w:pPr>
        <w:pStyle w:val="Heading3"/>
      </w:pPr>
      <w:r>
        <w:t xml:space="preserve">IP Address Logs</w:t>
      </w:r>
    </w:p>
    <w:p>
      <w:pPr>
        <w:pStyle w:val="FirstParagraph"/>
      </w:pPr>
      <w:r>
        <w:t xml:space="preserve">Include: Login IP addresses, timestamps</w:t>
      </w:r>
      <w:r>
        <w:t xml:space="preserve"> </w:t>
      </w:r>
      <w:r>
        <w:t xml:space="preserve">Retention: [RETENTION PERIOD]</w:t>
      </w:r>
    </w:p>
    <w:bookmarkEnd w:id="34"/>
    <w:bookmarkStart w:id="35" w:name="account-information"/>
    <w:p>
      <w:pPr>
        <w:pStyle w:val="Heading3"/>
      </w:pPr>
      <w:r>
        <w:t xml:space="preserve">Account Information</w:t>
      </w:r>
    </w:p>
    <w:p>
      <w:pPr>
        <w:pStyle w:val="FirstParagraph"/>
      </w:pPr>
      <w:r>
        <w:t xml:space="preserve">Include: Registration details, billing information</w:t>
      </w:r>
      <w:r>
        <w:t xml:space="preserve"> </w:t>
      </w:r>
      <w:r>
        <w:t xml:space="preserve">Retention: Duration of account plus [RETENTION PERIOD]</w:t>
      </w:r>
    </w:p>
    <w:bookmarkEnd w:id="35"/>
    <w:bookmarkStart w:id="36" w:name="communications-content-1"/>
    <w:p>
      <w:pPr>
        <w:pStyle w:val="Heading3"/>
      </w:pPr>
      <w:r>
        <w:t xml:space="preserve">Communications Content</w:t>
      </w:r>
    </w:p>
    <w:p>
      <w:pPr>
        <w:pStyle w:val="FirstParagraph"/>
      </w:pPr>
      <w:r>
        <w:t xml:space="preserve">Availability: Only if specifically stored by customer configuration</w:t>
      </w:r>
      <w:r>
        <w:t xml:space="preserve"> </w:t>
      </w:r>
      <w:r>
        <w:t xml:space="preserve">Retention: Varies by service and customer settings</w:t>
      </w:r>
    </w:p>
    <w:bookmarkEnd w:id="36"/>
    <w:bookmarkEnd w:id="37"/>
    <w:bookmarkStart w:id="38" w:name="retention-periods"/>
    <w:p>
      <w:pPr>
        <w:pStyle w:val="Heading2"/>
      </w:pPr>
      <w:r>
        <w:t xml:space="preserve">Retention Periods</w:t>
      </w:r>
    </w:p>
    <w:p>
      <w:pPr>
        <w:pStyle w:val="FirstParagraph"/>
      </w:pPr>
      <w:r>
        <w:t xml:space="preserve">Connie’s data retention periods vary by service and data type. Law enforcement should submit preservation requests promptly to ensure data availability.</w:t>
      </w:r>
    </w:p>
    <w:bookmarkEnd w:id="38"/>
    <w:bookmarkStart w:id="39" w:name="transparency-reporting"/>
    <w:p>
      <w:pPr>
        <w:pStyle w:val="Heading2"/>
      </w:pPr>
      <w:r>
        <w:t xml:space="preserve">Transparency Reporting</w:t>
      </w:r>
    </w:p>
    <w:p>
      <w:pPr>
        <w:pStyle w:val="FirstParagraph"/>
      </w:pPr>
      <w:r>
        <w:t xml:space="preserve">Connie publishes transparency reports regarding law enforcement requests at [TRANSPARENCY URL].</w:t>
      </w:r>
    </w:p>
    <w:bookmarkEnd w:id="39"/>
    <w:bookmarkStart w:id="40" w:name="contact-information"/>
    <w:p>
      <w:pPr>
        <w:pStyle w:val="Heading2"/>
      </w:pPr>
      <w:r>
        <w:t xml:space="preserve">Contact Information</w:t>
      </w:r>
    </w:p>
    <w:p>
      <w:pPr>
        <w:pStyle w:val="FirstParagraph"/>
      </w:pPr>
      <w:r>
        <w:rPr>
          <w:b/>
          <w:bCs/>
        </w:rPr>
        <w:t xml:space="preserve">For Law Enforcement Requests:</w:t>
      </w:r>
      <w:r>
        <w:br/>
      </w:r>
      <w:r>
        <w:t xml:space="preserve">Email: [LAW ENFORCEMENT EMAIL]</w:t>
      </w:r>
      <w:r>
        <w:br/>
      </w:r>
      <w:r>
        <w:t xml:space="preserve">Mail: [ADDRESS]</w:t>
      </w:r>
    </w:p>
    <w:p>
      <w:pPr>
        <w:pStyle w:val="BodyText"/>
      </w:pPr>
      <w:r>
        <w:rPr>
          <w:b/>
          <w:bCs/>
        </w:rPr>
        <w:t xml:space="preserve">For Emergency Requests (24/7):</w:t>
      </w:r>
      <w:r>
        <w:br/>
      </w:r>
      <w:r>
        <w:t xml:space="preserve">Email: [EMERGENCY EMAIL]</w:t>
      </w:r>
      <w:r>
        <w:br/>
      </w:r>
      <w:r>
        <w:t xml:space="preserve">Phone: [EMERGENCY PHONE]</w:t>
      </w:r>
    </w:p>
    <w:p>
      <w:pPr>
        <w:pStyle w:val="BodyText"/>
      </w:pPr>
      <w:r>
        <w:rPr>
          <w:b/>
          <w:bCs/>
        </w:rPr>
        <w:t xml:space="preserve">For General Legal Inquiries:</w:t>
      </w:r>
      <w:r>
        <w:br/>
      </w:r>
      <w:r>
        <w:t xml:space="preserve">Email: [LEGAL EMAIL]</w:t>
      </w:r>
    </w:p>
    <w:bookmarkEnd w:id="40"/>
    <w:bookmarkStart w:id="41" w:name="legal-disclaimer"/>
    <w:p>
      <w:pPr>
        <w:pStyle w:val="Heading2"/>
      </w:pPr>
      <w:r>
        <w:t xml:space="preserve">Legal Disclaimer</w:t>
      </w:r>
    </w:p>
    <w:p>
      <w:pPr>
        <w:pStyle w:val="FirstParagraph"/>
      </w:pPr>
      <w:r>
        <w:t xml:space="preserve">These guidelines are provided for informational purposes only and do not create any enforceable rights. Connie reserves the right to:</w:t>
      </w:r>
      <w:r>
        <w:t xml:space="preserve"> </w:t>
      </w:r>
      <w:r>
        <w:t xml:space="preserve">- Require additional information</w:t>
      </w:r>
      <w:r>
        <w:t xml:space="preserve"> </w:t>
      </w:r>
      <w:r>
        <w:t xml:space="preserve">- Reject requests that don’t meet legal requirements</w:t>
      </w:r>
      <w:r>
        <w:t xml:space="preserve"> </w:t>
      </w:r>
      <w:r>
        <w:t xml:space="preserve">- Seek clarification from requesting agencies</w:t>
      </w:r>
      <w:r>
        <w:t xml:space="preserve"> </w:t>
      </w:r>
      <w:r>
        <w:t xml:space="preserve">- Challenge requests when appropriate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Connie, Inc.</w:t>
      </w:r>
      <w:r>
        <w:br/>
      </w:r>
      <w:r>
        <w:t xml:space="preserve">[ADDRESS]</w:t>
      </w:r>
      <w:r>
        <w:br/>
      </w:r>
      <w:r>
        <w:t xml:space="preserve">[CITY, STATE ZIP]</w:t>
      </w:r>
      <w:r>
        <w:br/>
      </w:r>
      <w:r>
        <w:t xml:space="preserve">[COUNTRY]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a template and must be reviewed by legal counsel before use. Replace all bracketed placeholders with appropriate information.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2025-08-27T11:15:19Z</dcterms:created>
  <dcterms:modified xsi:type="dcterms:W3CDTF">2025-08-27T11:15:19Z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