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onnie-service-level-agreement-sla"/>
    <w:p>
      <w:pPr>
        <w:pStyle w:val="Heading1"/>
      </w:pPr>
      <w:r>
        <w:t xml:space="preserve">Connie Service Level Agreement (SLA)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[DATE]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This Service Level Agreement (</w:t>
      </w:r>
      <w:r>
        <w:t xml:space="preserve">“SLA”</w:t>
      </w:r>
      <w:r>
        <w:t xml:space="preserve">) applies to the Connie communication platform services (</w:t>
      </w:r>
      <w:r>
        <w:t xml:space="preserve">“Services”</w:t>
      </w:r>
      <w:r>
        <w:t xml:space="preserve">) provided by ConnieML, Inc. (</w:t>
      </w:r>
      <w:r>
        <w:t xml:space="preserve">“Connie”</w:t>
      </w:r>
      <w:r>
        <w:t xml:space="preserve">) to customers (</w:t>
      </w:r>
      <w:r>
        <w:t xml:space="preserve">“Customer”</w:t>
      </w:r>
      <w:r>
        <w:t xml:space="preserve">) pursuant to the Connie Terms of Service (</w:t>
      </w:r>
      <w:r>
        <w:t xml:space="preserve">“Agreement”</w:t>
      </w:r>
      <w:r>
        <w:t xml:space="preserve">). This SLA does not apply to free trials, beta services, or services provided at no charge.</w:t>
      </w:r>
    </w:p>
    <w:bookmarkStart w:id="12" w:name="service-availability-commitment"/>
    <w:p>
      <w:pPr>
        <w:pStyle w:val="Heading2"/>
      </w:pPr>
      <w:r>
        <w:t xml:space="preserve">1. Service Availability Commitment</w:t>
      </w:r>
    </w:p>
    <w:bookmarkStart w:id="9" w:name="uptime-target"/>
    <w:p>
      <w:pPr>
        <w:pStyle w:val="Heading3"/>
      </w:pPr>
      <w:r>
        <w:t xml:space="preserve">1.1 Uptime Target</w:t>
      </w:r>
    </w:p>
    <w:p>
      <w:pPr>
        <w:pStyle w:val="FirstParagraph"/>
      </w:pPr>
      <w:r>
        <w:t xml:space="preserve">Connie commits to maintaining the following availability levels for covered Services: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Component</w:t>
            </w:r>
          </w:p>
        </w:tc>
        <w:tc>
          <w:tcPr/>
          <w:p>
            <w:pPr>
              <w:pStyle w:val="Compact"/>
            </w:pPr>
            <w:r>
              <w:t xml:space="preserve">Monthly Uptime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Platform API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Services (via Twilio)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Services (via Sinch/Twilio)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Delivery (via Mailgun/SendGrid)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99.0%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Fax Services</w:t>
            </w:r>
          </w:p>
        </w:tc>
        <w:tc>
          <w:tcPr/>
          <w:p>
            <w:pPr>
              <w:pStyle w:val="Compact"/>
            </w:pPr>
            <w:r>
              <w:t xml:space="preserve">98.0%</w:t>
            </w:r>
          </w:p>
        </w:tc>
      </w:tr>
    </w:tbl>
    <w:bookmarkEnd w:id="9"/>
    <w:bookmarkStart w:id="10" w:name="measurement-period"/>
    <w:p>
      <w:pPr>
        <w:pStyle w:val="Heading3"/>
      </w:pPr>
      <w:r>
        <w:t xml:space="preserve">1.2 Measurement Period</w:t>
      </w:r>
    </w:p>
    <w:p>
      <w:pPr>
        <w:pStyle w:val="FirstParagraph"/>
      </w:pPr>
      <w:r>
        <w:t xml:space="preserve">Availability is calculated on a calendar month basis using the formula:</w:t>
      </w:r>
    </w:p>
    <w:p>
      <w:pPr>
        <w:pStyle w:val="BodyText"/>
      </w:pPr>
      <w:r>
        <w:rPr>
          <w:b/>
          <w:bCs/>
        </w:rPr>
        <w:t xml:space="preserve">Uptime % = (Total Minutes in Month - Downtime Minutes) / Total Minutes in Month × 100</w:t>
      </w:r>
    </w:p>
    <w:bookmarkEnd w:id="10"/>
    <w:bookmarkStart w:id="11" w:name="service-credits"/>
    <w:p>
      <w:pPr>
        <w:pStyle w:val="Heading3"/>
      </w:pPr>
      <w:r>
        <w:t xml:space="preserve">1.3 Service Credits</w:t>
      </w:r>
    </w:p>
    <w:p>
      <w:pPr>
        <w:pStyle w:val="FirstParagraph"/>
      </w:pPr>
      <w:r>
        <w:t xml:space="preserve">If Connie fails to meet the uptime commitment, Customer may be eligible for service credits: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Monthly Uptime Percentage</w:t>
            </w:r>
          </w:p>
        </w:tc>
        <w:tc>
          <w:tcPr/>
          <w:p>
            <w:pPr>
              <w:pStyle w:val="Compact"/>
            </w:pPr>
            <w:r>
              <w:t xml:space="preserve">Service 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99.0% - &lt; 99.5%</w:t>
            </w:r>
          </w:p>
        </w:tc>
        <w:tc>
          <w:tcPr/>
          <w:p>
            <w:pPr>
              <w:pStyle w:val="Compact"/>
            </w:pPr>
            <w:r>
              <w:t xml:space="preserve">10% of monthly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95.0% - &lt; 99.0%</w:t>
            </w:r>
          </w:p>
        </w:tc>
        <w:tc>
          <w:tcPr/>
          <w:p>
            <w:pPr>
              <w:pStyle w:val="Compact"/>
            </w:pPr>
            <w:r>
              <w:t xml:space="preserve">25% of monthly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90.0% - &lt; 95.0%</w:t>
            </w:r>
          </w:p>
        </w:tc>
        <w:tc>
          <w:tcPr/>
          <w:p>
            <w:pPr>
              <w:pStyle w:val="Compact"/>
            </w:pPr>
            <w:r>
              <w:t xml:space="preserve">50% of monthly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90.0%</w:t>
            </w:r>
          </w:p>
        </w:tc>
        <w:tc>
          <w:tcPr/>
          <w:p>
            <w:pPr>
              <w:pStyle w:val="Compact"/>
            </w:pPr>
            <w:r>
              <w:t xml:space="preserve">100% of monthly fee</w:t>
            </w:r>
          </w:p>
        </w:tc>
      </w:tr>
    </w:tbl>
    <w:bookmarkEnd w:id="11"/>
    <w:bookmarkEnd w:id="12"/>
    <w:bookmarkStart w:id="15" w:name="service-definitions"/>
    <w:p>
      <w:pPr>
        <w:pStyle w:val="Heading2"/>
      </w:pPr>
      <w:r>
        <w:t xml:space="preserve">2. Service Definitions</w:t>
      </w:r>
    </w:p>
    <w:bookmarkStart w:id="13" w:name="covered-services"/>
    <w:p>
      <w:pPr>
        <w:pStyle w:val="Heading3"/>
      </w:pPr>
      <w:r>
        <w:t xml:space="preserve">2.1 Covered Services</w:t>
      </w:r>
    </w:p>
    <w:p>
      <w:pPr>
        <w:pStyle w:val="FirstParagraph"/>
      </w:pPr>
      <w:r>
        <w:t xml:space="preserve">This SLA covers:</w:t>
      </w:r>
      <w:r>
        <w:t xml:space="preserve"> </w:t>
      </w:r>
      <w:r>
        <w:t xml:space="preserve">- Connie API endpoints</w:t>
      </w:r>
      <w:r>
        <w:t xml:space="preserve"> </w:t>
      </w:r>
      <w:r>
        <w:t xml:space="preserve">- Voice call routing and delivery</w:t>
      </w:r>
      <w:r>
        <w:t xml:space="preserve"> </w:t>
      </w:r>
      <w:r>
        <w:t xml:space="preserve">- SMS/MMS message delivery</w:t>
      </w:r>
      <w:r>
        <w:t xml:space="preserve"> </w:t>
      </w:r>
      <w:r>
        <w:t xml:space="preserve">- Email transmission services</w:t>
      </w:r>
      <w:r>
        <w:t xml:space="preserve"> </w:t>
      </w:r>
      <w:r>
        <w:t xml:space="preserve">- Fax transmission services</w:t>
      </w:r>
      <w:r>
        <w:t xml:space="preserve"> </w:t>
      </w:r>
      <w:r>
        <w:t xml:space="preserve">- Admin dashboard accessibility</w:t>
      </w:r>
      <w:r>
        <w:t xml:space="preserve"> </w:t>
      </w:r>
      <w:r>
        <w:t xml:space="preserve">- Agent dashboard functionality</w:t>
      </w:r>
    </w:p>
    <w:bookmarkEnd w:id="13"/>
    <w:bookmarkStart w:id="14" w:name="service-components-not-covered"/>
    <w:p>
      <w:pPr>
        <w:pStyle w:val="Heading3"/>
      </w:pPr>
      <w:r>
        <w:t xml:space="preserve">2.2 Service Components Not Covered</w:t>
      </w:r>
    </w:p>
    <w:p>
      <w:pPr>
        <w:pStyle w:val="FirstParagraph"/>
      </w:pPr>
      <w:r>
        <w:t xml:space="preserve">This SLA does not cover:</w:t>
      </w:r>
      <w:r>
        <w:t xml:space="preserve"> </w:t>
      </w:r>
      <w:r>
        <w:t xml:space="preserve">- Customer’s internet connectivity</w:t>
      </w:r>
      <w:r>
        <w:t xml:space="preserve"> </w:t>
      </w:r>
      <w:r>
        <w:t xml:space="preserve">- Customer’s equipment or software</w:t>
      </w:r>
      <w:r>
        <w:t xml:space="preserve"> </w:t>
      </w:r>
      <w:r>
        <w:t xml:space="preserve">- Third-party integrations not managed by Connie</w:t>
      </w:r>
      <w:r>
        <w:t xml:space="preserve"> </w:t>
      </w:r>
      <w:r>
        <w:t xml:space="preserve">- Services explicitly labeled as</w:t>
      </w:r>
      <w:r>
        <w:t xml:space="preserve"> </w:t>
      </w:r>
      <w:r>
        <w:t xml:space="preserve">“beta”</w:t>
      </w:r>
      <w:r>
        <w:t xml:space="preserve"> </w:t>
      </w:r>
      <w:r>
        <w:t xml:space="preserve">or</w:t>
      </w:r>
      <w:r>
        <w:t xml:space="preserve"> </w:t>
      </w:r>
      <w:r>
        <w:t xml:space="preserve">“experimental”</w:t>
      </w:r>
      <w:r>
        <w:t xml:space="preserve"> </w:t>
      </w:r>
      <w:r>
        <w:t xml:space="preserve">- Free tier services</w:t>
      </w:r>
    </w:p>
    <w:bookmarkEnd w:id="14"/>
    <w:bookmarkEnd w:id="15"/>
    <w:bookmarkStart w:id="18" w:name="downtime-definition"/>
    <w:p>
      <w:pPr>
        <w:pStyle w:val="Heading2"/>
      </w:pPr>
      <w:r>
        <w:t xml:space="preserve">3. Downtime Definition</w:t>
      </w:r>
    </w:p>
    <w:bookmarkStart w:id="16" w:name="what-constitutes-downtime"/>
    <w:p>
      <w:pPr>
        <w:pStyle w:val="Heading3"/>
      </w:pPr>
      <w:r>
        <w:t xml:space="preserve">3.1 What Constitutes Downtime</w:t>
      </w:r>
    </w:p>
    <w:p>
      <w:pPr>
        <w:pStyle w:val="FirstParagraph"/>
      </w:pPr>
      <w:r>
        <w:t xml:space="preserve">“Downtime”</w:t>
      </w:r>
      <w:r>
        <w:t xml:space="preserve"> </w:t>
      </w:r>
      <w:r>
        <w:t xml:space="preserve">means:</w:t>
      </w:r>
      <w:r>
        <w:t xml:space="preserve"> </w:t>
      </w:r>
      <w:r>
        <w:t xml:space="preserve">- Complete unavailability of the Service</w:t>
      </w:r>
      <w:r>
        <w:t xml:space="preserve"> </w:t>
      </w:r>
      <w:r>
        <w:t xml:space="preserve">- Error rates exceeding 5% for API calls</w:t>
      </w:r>
      <w:r>
        <w:t xml:space="preserve"> </w:t>
      </w:r>
      <w:r>
        <w:t xml:space="preserve">- Inability to make or receive calls/messages</w:t>
      </w:r>
      <w:r>
        <w:t xml:space="preserve"> </w:t>
      </w:r>
      <w:r>
        <w:t xml:space="preserve">- Dashboard inaccessibility for authorized users</w:t>
      </w:r>
    </w:p>
    <w:bookmarkEnd w:id="16"/>
    <w:bookmarkStart w:id="17" w:name="downtime-exclusions"/>
    <w:p>
      <w:pPr>
        <w:pStyle w:val="Heading3"/>
      </w:pPr>
      <w:r>
        <w:t xml:space="preserve">3.2 Downtime Exclusions</w:t>
      </w:r>
    </w:p>
    <w:p>
      <w:pPr>
        <w:pStyle w:val="FirstParagraph"/>
      </w:pPr>
      <w:r>
        <w:t xml:space="preserve">Downtime does not include:</w:t>
      </w:r>
      <w:r>
        <w:t xml:space="preserve"> </w:t>
      </w:r>
      <w:r>
        <w:t xml:space="preserve">- Scheduled maintenance (with 5 days advance notice)</w:t>
      </w:r>
      <w:r>
        <w:t xml:space="preserve"> </w:t>
      </w:r>
      <w:r>
        <w:t xml:space="preserve">- Emergency maintenance (with maximum 4 hours duration per month)</w:t>
      </w:r>
      <w:r>
        <w:t xml:space="preserve"> </w:t>
      </w:r>
      <w:r>
        <w:t xml:space="preserve">- Force majeure events</w:t>
      </w:r>
      <w:r>
        <w:t xml:space="preserve"> </w:t>
      </w:r>
      <w:r>
        <w:t xml:space="preserve">- Customer-caused issues</w:t>
      </w:r>
      <w:r>
        <w:t xml:space="preserve"> </w:t>
      </w:r>
      <w:r>
        <w:t xml:space="preserve">- Issues with upstream providers beyond Connie’s control</w:t>
      </w:r>
      <w:r>
        <w:t xml:space="preserve"> </w:t>
      </w:r>
      <w:r>
        <w:t xml:space="preserve">- DNS or routing issues outside Connie’s network</w:t>
      </w:r>
      <w:r>
        <w:t xml:space="preserve"> </w:t>
      </w:r>
      <w:r>
        <w:t xml:space="preserve">- Suspension for Agreement violations</w:t>
      </w:r>
    </w:p>
    <w:bookmarkEnd w:id="17"/>
    <w:bookmarkEnd w:id="18"/>
    <w:bookmarkStart w:id="21" w:name="support-response-times"/>
    <w:p>
      <w:pPr>
        <w:pStyle w:val="Heading2"/>
      </w:pPr>
      <w:r>
        <w:t xml:space="preserve">4. Support Response Times</w:t>
      </w:r>
    </w:p>
    <w:bookmarkStart w:id="19" w:name="severity-levels-and-response-targets"/>
    <w:p>
      <w:pPr>
        <w:pStyle w:val="Heading3"/>
      </w:pPr>
      <w:r>
        <w:t xml:space="preserve">4.1 Severity Levels and Response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321"/>
        <w:gridCol w:w="2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Initial Response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 1 (Critical)</w:t>
            </w:r>
          </w:p>
        </w:tc>
        <w:tc>
          <w:tcPr/>
          <w:p>
            <w:pPr>
              <w:pStyle w:val="Compact"/>
            </w:pPr>
            <w:r>
              <w:t xml:space="preserve">Complete service outage affecting all users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 2 (High)</w:t>
            </w:r>
          </w:p>
        </w:tc>
        <w:tc>
          <w:tcPr/>
          <w:p>
            <w:pPr>
              <w:pStyle w:val="Compact"/>
            </w:pPr>
            <w:r>
              <w:t xml:space="preserve">Major functionality degraded, affecting multiple users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 3 (Medium)</w:t>
            </w:r>
          </w:p>
        </w:tc>
        <w:tc>
          <w:tcPr/>
          <w:p>
            <w:pPr>
              <w:pStyle w:val="Compact"/>
            </w:pPr>
            <w:r>
              <w:t xml:space="preserve">Limited impact, workaround available</w:t>
            </w:r>
          </w:p>
        </w:tc>
        <w:tc>
          <w:tcPr/>
          <w:p>
            <w:pPr>
              <w:pStyle w:val="Compact"/>
            </w:pPr>
            <w:r>
              <w:t xml:space="preserve">8 business hours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 4 (Low)</w:t>
            </w:r>
          </w:p>
        </w:tc>
        <w:tc>
          <w:tcPr/>
          <w:p>
            <w:pPr>
              <w:pStyle w:val="Compact"/>
            </w:pPr>
            <w:r>
              <w:t xml:space="preserve">Minor issue, no immediate impact</w:t>
            </w:r>
          </w:p>
        </w:tc>
        <w:tc>
          <w:tcPr/>
          <w:p>
            <w:pPr>
              <w:pStyle w:val="Compact"/>
            </w:pPr>
            <w:r>
              <w:t xml:space="preserve">24 business hours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</w:tbl>
    <w:bookmarkEnd w:id="19"/>
    <w:bookmarkStart w:id="20" w:name="support-availability"/>
    <w:p>
      <w:pPr>
        <w:pStyle w:val="Heading3"/>
      </w:pPr>
      <w:r>
        <w:t xml:space="preserve">4.2 Support Availability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24/7 Support:</w:t>
      </w:r>
      <w:r>
        <w:t xml:space="preserve"> </w:t>
      </w:r>
      <w:r>
        <w:t xml:space="preserve">Severity 1 and 2 issues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Hours Support:</w:t>
      </w:r>
      <w:r>
        <w:t xml:space="preserve"> </w:t>
      </w:r>
      <w:r>
        <w:t xml:space="preserve">Severity 3 and 4 issues (Monday-Friday, 9 AM - 6 PM [TIMEZONE])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Emergency Hotline:</w:t>
      </w:r>
      <w:r>
        <w:t xml:space="preserve"> </w:t>
      </w:r>
      <w:r>
        <w:t xml:space="preserve">[EMERGENCY_PHONE] (Severity 1 only)</w:t>
      </w:r>
    </w:p>
    <w:bookmarkEnd w:id="20"/>
    <w:bookmarkEnd w:id="21"/>
    <w:bookmarkStart w:id="25" w:name="service-credit-process"/>
    <w:p>
      <w:pPr>
        <w:pStyle w:val="Heading2"/>
      </w:pPr>
      <w:r>
        <w:t xml:space="preserve">5. Service Credit Process</w:t>
      </w:r>
    </w:p>
    <w:bookmarkStart w:id="22" w:name="credit-request-requirements"/>
    <w:p>
      <w:pPr>
        <w:pStyle w:val="Heading3"/>
      </w:pPr>
      <w:r>
        <w:t xml:space="preserve">5.1 Credit Request Requirements</w:t>
      </w:r>
    </w:p>
    <w:p>
      <w:pPr>
        <w:pStyle w:val="FirstParagraph"/>
      </w:pPr>
      <w:r>
        <w:t xml:space="preserve">To receive service credits, Customer must:</w:t>
      </w:r>
      <w:r>
        <w:t xml:space="preserve"> </w:t>
      </w:r>
      <w:r>
        <w:t xml:space="preserve">- Submit a request within 30 days of the incident</w:t>
      </w:r>
      <w:r>
        <w:t xml:space="preserve"> </w:t>
      </w:r>
      <w:r>
        <w:t xml:space="preserve">- Provide incident details and impact description</w:t>
      </w:r>
      <w:r>
        <w:t xml:space="preserve"> </w:t>
      </w:r>
      <w:r>
        <w:t xml:space="preserve">- Include relevant logs or error messages</w:t>
      </w:r>
      <w:r>
        <w:t xml:space="preserve"> </w:t>
      </w:r>
      <w:r>
        <w:t xml:space="preserve">- Reference ticket numbers from reported issues</w:t>
      </w:r>
    </w:p>
    <w:bookmarkEnd w:id="22"/>
    <w:bookmarkStart w:id="23" w:name="credit-application"/>
    <w:p>
      <w:pPr>
        <w:pStyle w:val="Heading3"/>
      </w:pPr>
      <w:r>
        <w:t xml:space="preserve">5.2 Credit Application</w:t>
      </w:r>
    </w:p>
    <w:p>
      <w:pPr>
        <w:pStyle w:val="Compact"/>
        <w:numPr>
          <w:ilvl w:val="0"/>
          <w:numId w:val="1002"/>
        </w:numPr>
      </w:pPr>
      <w:r>
        <w:t xml:space="preserve">Credits apply only to future invoices</w:t>
      </w:r>
    </w:p>
    <w:p>
      <w:pPr>
        <w:pStyle w:val="Compact"/>
        <w:numPr>
          <w:ilvl w:val="0"/>
          <w:numId w:val="1002"/>
        </w:numPr>
      </w:pPr>
      <w:r>
        <w:t xml:space="preserve">Credits cannot exceed total monthly service fees</w:t>
      </w:r>
    </w:p>
    <w:p>
      <w:pPr>
        <w:pStyle w:val="Compact"/>
        <w:numPr>
          <w:ilvl w:val="0"/>
          <w:numId w:val="1002"/>
        </w:numPr>
      </w:pPr>
      <w:r>
        <w:t xml:space="preserve">Credits are the sole remedy for SLA failures</w:t>
      </w:r>
    </w:p>
    <w:p>
      <w:pPr>
        <w:pStyle w:val="Compact"/>
        <w:numPr>
          <w:ilvl w:val="0"/>
          <w:numId w:val="1002"/>
        </w:numPr>
      </w:pPr>
      <w:r>
        <w:t xml:space="preserve">Credits not redeemable for cash</w:t>
      </w:r>
    </w:p>
    <w:bookmarkEnd w:id="23"/>
    <w:bookmarkStart w:id="24" w:name="credit-request-submission"/>
    <w:p>
      <w:pPr>
        <w:pStyle w:val="Heading3"/>
      </w:pPr>
      <w:r>
        <w:t xml:space="preserve">5.3 Credit Request Submission</w:t>
      </w:r>
    </w:p>
    <w:p>
      <w:pPr>
        <w:pStyle w:val="FirstParagraph"/>
      </w:pPr>
      <w:r>
        <w:t xml:space="preserve">Submit credit requests to: [SLA_CREDIT_EMAIL]</w:t>
      </w:r>
    </w:p>
    <w:bookmarkEnd w:id="24"/>
    <w:bookmarkEnd w:id="25"/>
    <w:bookmarkStart w:id="28" w:name="maintenance-windows"/>
    <w:p>
      <w:pPr>
        <w:pStyle w:val="Heading2"/>
      </w:pPr>
      <w:r>
        <w:t xml:space="preserve">6. Maintenance Windows</w:t>
      </w:r>
    </w:p>
    <w:bookmarkStart w:id="26" w:name="scheduled-maintenance"/>
    <w:p>
      <w:pPr>
        <w:pStyle w:val="Heading3"/>
      </w:pPr>
      <w:r>
        <w:t xml:space="preserve">6.1 Scheduled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Maximum once per month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Maximum 4 hours per window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Weekends, 2 AM - 6 AM [TIMEZONE]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Minimum 5 business days advance notice</w:t>
      </w:r>
    </w:p>
    <w:bookmarkEnd w:id="26"/>
    <w:bookmarkStart w:id="27" w:name="emergency-maintenance"/>
    <w:p>
      <w:pPr>
        <w:pStyle w:val="Heading3"/>
      </w:pPr>
      <w:r>
        <w:t xml:space="preserve">6.2 Emergency Maintenance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Maximum 4 hours per month cumulative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Notice:</w:t>
      </w:r>
      <w:r>
        <w:t xml:space="preserve"> </w:t>
      </w:r>
      <w:r>
        <w:t xml:space="preserve">Best effort advance notice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Communication:</w:t>
      </w:r>
      <w:r>
        <w:t xml:space="preserve"> </w:t>
      </w:r>
      <w:r>
        <w:t xml:space="preserve">Status page updates every 30 minutes</w:t>
      </w:r>
    </w:p>
    <w:bookmarkEnd w:id="27"/>
    <w:bookmarkEnd w:id="28"/>
    <w:bookmarkStart w:id="31" w:name="performance-metrics"/>
    <w:p>
      <w:pPr>
        <w:pStyle w:val="Heading2"/>
      </w:pPr>
      <w:r>
        <w:t xml:space="preserve">7. Performance Metrics</w:t>
      </w:r>
    </w:p>
    <w:bookmarkStart w:id="29" w:name="api-response-times"/>
    <w:p>
      <w:pPr>
        <w:pStyle w:val="Heading3"/>
      </w:pPr>
      <w:r>
        <w:t xml:space="preserve">7.1 API Response Times</w:t>
      </w:r>
    </w:p>
    <w:p>
      <w:pPr>
        <w:pStyle w:val="FirstParagraph"/>
      </w:pPr>
      <w:r>
        <w:t xml:space="preserve">Target response times under normal load: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Type</w:t>
            </w:r>
          </w:p>
        </w:tc>
        <w:tc>
          <w:tcPr/>
          <w:p>
            <w:pPr>
              <w:pStyle w:val="Compact"/>
            </w:pPr>
            <w:r>
              <w:t xml:space="preserve">Target Response Time (95th percentile)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Operations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Operations</w:t>
            </w:r>
          </w:p>
        </w:tc>
        <w:tc>
          <w:tcPr/>
          <w:p>
            <w:pPr>
              <w:pStyle w:val="Compact"/>
            </w:pPr>
            <w:r>
              <w:t xml:space="preserve">&lt; 1000ms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Call Setup</w:t>
            </w:r>
          </w:p>
        </w:tc>
        <w:tc>
          <w:tcPr/>
          <w:p>
            <w:pPr>
              <w:pStyle w:val="Compact"/>
            </w:pPr>
            <w:r>
              <w:t xml:space="preserve">&lt; 3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Delivery</w:t>
            </w:r>
          </w:p>
        </w:tc>
        <w:tc>
          <w:tcPr/>
          <w:p>
            <w:pPr>
              <w:pStyle w:val="Compact"/>
            </w:pPr>
            <w:r>
              <w:t xml:space="preserve">&lt; 5 seconds</w:t>
            </w:r>
          </w:p>
        </w:tc>
      </w:tr>
    </w:tbl>
    <w:bookmarkEnd w:id="29"/>
    <w:bookmarkStart w:id="30" w:name="quality-metrics"/>
    <w:p>
      <w:pPr>
        <w:pStyle w:val="Heading3"/>
      </w:pPr>
      <w:r>
        <w:t xml:space="preserve">7.2 Quality Metrics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Voice Call Quality:</w:t>
      </w:r>
      <w:r>
        <w:t xml:space="preserve"> </w:t>
      </w:r>
      <w:r>
        <w:t xml:space="preserve">MOS score &gt; 3.5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Message Delivery Rate:</w:t>
      </w:r>
      <w:r>
        <w:t xml:space="preserve"> </w:t>
      </w:r>
      <w:r>
        <w:t xml:space="preserve">&gt; 98% successful delivery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 Delivery Rate:</w:t>
      </w:r>
      <w:r>
        <w:t xml:space="preserve"> </w:t>
      </w:r>
      <w:r>
        <w:t xml:space="preserve">&gt; 95% successful delivery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Fax Success Rate:</w:t>
      </w:r>
      <w:r>
        <w:t xml:space="preserve"> </w:t>
      </w:r>
      <w:r>
        <w:t xml:space="preserve">&gt; 90% successful transmission</w:t>
      </w:r>
    </w:p>
    <w:bookmarkEnd w:id="30"/>
    <w:bookmarkEnd w:id="31"/>
    <w:bookmarkStart w:id="32" w:name="customer-responsibilities"/>
    <w:p>
      <w:pPr>
        <w:pStyle w:val="Heading2"/>
      </w:pPr>
      <w:r>
        <w:t xml:space="preserve">8. Customer Responsibilities</w:t>
      </w:r>
    </w:p>
    <w:p>
      <w:pPr>
        <w:pStyle w:val="FirstParagraph"/>
      </w:pPr>
      <w:r>
        <w:t xml:space="preserve">To qualify for this SLA, Customer must:</w:t>
      </w:r>
      <w:r>
        <w:t xml:space="preserve"> </w:t>
      </w:r>
      <w:r>
        <w:t xml:space="preserve">- Report issues promptly through official support channels</w:t>
      </w:r>
      <w:r>
        <w:t xml:space="preserve"> </w:t>
      </w:r>
      <w:r>
        <w:t xml:space="preserve">- Provide reasonable cooperation in troubleshooting</w:t>
      </w:r>
      <w:r>
        <w:t xml:space="preserve"> </w:t>
      </w:r>
      <w:r>
        <w:t xml:space="preserve">- Maintain current account standing</w:t>
      </w:r>
      <w:r>
        <w:t xml:space="preserve"> </w:t>
      </w:r>
      <w:r>
        <w:t xml:space="preserve">- Use Services within documented limits</w:t>
      </w:r>
      <w:r>
        <w:t xml:space="preserve"> </w:t>
      </w:r>
      <w:r>
        <w:t xml:space="preserve">- Implement recommended error handling</w:t>
      </w:r>
      <w:r>
        <w:t xml:space="preserve"> </w:t>
      </w:r>
      <w:r>
        <w:t xml:space="preserve">- Maintain compatible software versions</w:t>
      </w:r>
    </w:p>
    <w:bookmarkEnd w:id="32"/>
    <w:bookmarkStart w:id="36" w:name="monitoring-and-reporting"/>
    <w:p>
      <w:pPr>
        <w:pStyle w:val="Heading2"/>
      </w:pPr>
      <w:r>
        <w:t xml:space="preserve">9. Monitoring and Reporting</w:t>
      </w:r>
    </w:p>
    <w:bookmarkStart w:id="33" w:name="service-status-page"/>
    <w:p>
      <w:pPr>
        <w:pStyle w:val="Heading3"/>
      </w:pPr>
      <w:r>
        <w:t xml:space="preserve">9.1 Service Status Page</w:t>
      </w:r>
    </w:p>
    <w:p>
      <w:pPr>
        <w:pStyle w:val="FirstParagraph"/>
      </w:pPr>
      <w:r>
        <w:t xml:space="preserve">Real-time status available at: [STATUS_URL]</w:t>
      </w:r>
    </w:p>
    <w:bookmarkEnd w:id="33"/>
    <w:bookmarkStart w:id="34" w:name="monthly-reports"/>
    <w:p>
      <w:pPr>
        <w:pStyle w:val="Heading3"/>
      </w:pPr>
      <w:r>
        <w:t xml:space="preserve">9.2 Monthly Reports</w:t>
      </w:r>
    </w:p>
    <w:p>
      <w:pPr>
        <w:pStyle w:val="FirstParagraph"/>
      </w:pPr>
      <w:r>
        <w:t xml:space="preserve">Upon request, Connie will provide:</w:t>
      </w:r>
      <w:r>
        <w:t xml:space="preserve"> </w:t>
      </w:r>
      <w:r>
        <w:t xml:space="preserve">- Monthly uptime statistics</w:t>
      </w:r>
      <w:r>
        <w:t xml:space="preserve"> </w:t>
      </w:r>
      <w:r>
        <w:t xml:space="preserve">- Incident summaries</w:t>
      </w:r>
      <w:r>
        <w:t xml:space="preserve"> </w:t>
      </w:r>
      <w:r>
        <w:t xml:space="preserve">- Performance metrics</w:t>
      </w:r>
      <w:r>
        <w:t xml:space="preserve"> </w:t>
      </w:r>
      <w:r>
        <w:t xml:space="preserve">- Maintenance schedule</w:t>
      </w:r>
    </w:p>
    <w:bookmarkEnd w:id="34"/>
    <w:bookmarkStart w:id="35" w:name="monitoring-methodology"/>
    <w:p>
      <w:pPr>
        <w:pStyle w:val="Heading3"/>
      </w:pPr>
      <w:r>
        <w:t xml:space="preserve">9.3 Monitoring Methodology</w:t>
      </w:r>
    </w:p>
    <w:p>
      <w:pPr>
        <w:pStyle w:val="Compact"/>
        <w:numPr>
          <w:ilvl w:val="0"/>
          <w:numId w:val="1006"/>
        </w:numPr>
      </w:pPr>
      <w:r>
        <w:t xml:space="preserve">External monitoring from multiple geographic locations</w:t>
      </w:r>
    </w:p>
    <w:p>
      <w:pPr>
        <w:pStyle w:val="Compact"/>
        <w:numPr>
          <w:ilvl w:val="0"/>
          <w:numId w:val="1006"/>
        </w:numPr>
      </w:pPr>
      <w:r>
        <w:t xml:space="preserve">1-minute interval health checks</w:t>
      </w:r>
    </w:p>
    <w:p>
      <w:pPr>
        <w:pStyle w:val="Compact"/>
        <w:numPr>
          <w:ilvl w:val="0"/>
          <w:numId w:val="1006"/>
        </w:numPr>
      </w:pPr>
      <w:r>
        <w:t xml:space="preserve">Synthetic transaction monitoring</w:t>
      </w:r>
    </w:p>
    <w:p>
      <w:pPr>
        <w:pStyle w:val="Compact"/>
        <w:numPr>
          <w:ilvl w:val="0"/>
          <w:numId w:val="1006"/>
        </w:numPr>
      </w:pPr>
      <w:r>
        <w:t xml:space="preserve">Real user monitoring (RUM) data</w:t>
      </w:r>
    </w:p>
    <w:bookmarkEnd w:id="35"/>
    <w:bookmarkEnd w:id="36"/>
    <w:bookmarkStart w:id="39" w:name="nonprofit-specific-provisions"/>
    <w:p>
      <w:pPr>
        <w:pStyle w:val="Heading2"/>
      </w:pPr>
      <w:r>
        <w:t xml:space="preserve">10. Nonprofit-Specific Provisions</w:t>
      </w:r>
    </w:p>
    <w:bookmarkStart w:id="37" w:name="enhanced-support-for-critical-services"/>
    <w:p>
      <w:pPr>
        <w:pStyle w:val="Heading3"/>
      </w:pPr>
      <w:r>
        <w:t xml:space="preserve">10.1 Enhanced Support for Critical Services</w:t>
      </w:r>
    </w:p>
    <w:p>
      <w:pPr>
        <w:pStyle w:val="FirstParagraph"/>
      </w:pPr>
      <w:r>
        <w:t xml:space="preserve">For nonprofits providing critical services:</w:t>
      </w:r>
      <w:r>
        <w:t xml:space="preserve"> </w:t>
      </w:r>
      <w:r>
        <w:t xml:space="preserve">- Priority queue for Severity 1 issues</w:t>
      </w:r>
      <w:r>
        <w:t xml:space="preserve"> </w:t>
      </w:r>
      <w:r>
        <w:t xml:space="preserve">- Dedicated support contact during emergencies</w:t>
      </w:r>
      <w:r>
        <w:t xml:space="preserve"> </w:t>
      </w:r>
      <w:r>
        <w:t xml:space="preserve">- Disaster recovery assistance</w:t>
      </w:r>
    </w:p>
    <w:bookmarkEnd w:id="37"/>
    <w:bookmarkStart w:id="38" w:name="flexible-maintenance-windows"/>
    <w:p>
      <w:pPr>
        <w:pStyle w:val="Heading3"/>
      </w:pPr>
      <w:r>
        <w:t xml:space="preserve">10.2 Flexible Maintenance Windows</w:t>
      </w:r>
    </w:p>
    <w:p>
      <w:pPr>
        <w:pStyle w:val="Compact"/>
        <w:numPr>
          <w:ilvl w:val="0"/>
          <w:numId w:val="1007"/>
        </w:numPr>
      </w:pPr>
      <w:r>
        <w:t xml:space="preserve">Accommodation for nonprofit operating hours</w:t>
      </w:r>
    </w:p>
    <w:p>
      <w:pPr>
        <w:pStyle w:val="Compact"/>
        <w:numPr>
          <w:ilvl w:val="0"/>
          <w:numId w:val="1007"/>
        </w:numPr>
      </w:pPr>
      <w:r>
        <w:t xml:space="preserve">Avoidance of critical service periods</w:t>
      </w:r>
    </w:p>
    <w:p>
      <w:pPr>
        <w:pStyle w:val="Compact"/>
        <w:numPr>
          <w:ilvl w:val="0"/>
          <w:numId w:val="1007"/>
        </w:numPr>
      </w:pPr>
      <w:r>
        <w:t xml:space="preserve">Coordination with major nonprofit events</w:t>
      </w:r>
    </w:p>
    <w:bookmarkEnd w:id="38"/>
    <w:bookmarkEnd w:id="39"/>
    <w:bookmarkStart w:id="42" w:name="escalation-procedures"/>
    <w:p>
      <w:pPr>
        <w:pStyle w:val="Heading2"/>
      </w:pPr>
      <w:r>
        <w:t xml:space="preserve">11. Escalation Procedures</w:t>
      </w:r>
    </w:p>
    <w:bookmarkStart w:id="40" w:name="support-escalation-path"/>
    <w:p>
      <w:pPr>
        <w:pStyle w:val="Heading3"/>
      </w:pPr>
      <w:r>
        <w:t xml:space="preserve">11.1 Support Escalation Path</w:t>
      </w:r>
    </w:p>
    <w:p>
      <w:pPr>
        <w:pStyle w:val="FirstParagraph"/>
      </w:pPr>
      <w:r>
        <w:rPr>
          <w:b/>
          <w:bCs/>
        </w:rPr>
        <w:t xml:space="preserve">Level 1:</w:t>
      </w:r>
      <w:r>
        <w:t xml:space="preserve"> </w:t>
      </w:r>
      <w:r>
        <w:t xml:space="preserve">Initial Support Team</w:t>
      </w:r>
      <w:r>
        <w:t xml:space="preserve"> </w:t>
      </w:r>
      <w:r>
        <w:t xml:space="preserve">- Email: [SUPPORT_EMAIL]</w:t>
      </w:r>
      <w:r>
        <w:t xml:space="preserve"> </w:t>
      </w:r>
      <w:r>
        <w:t xml:space="preserve">- Phone: [SUPPORT_PHONE]</w:t>
      </w:r>
    </w:p>
    <w:p>
      <w:pPr>
        <w:pStyle w:val="BodyText"/>
      </w:pPr>
      <w:r>
        <w:rPr>
          <w:b/>
          <w:bCs/>
        </w:rPr>
        <w:t xml:space="preserve">Level 2:</w:t>
      </w:r>
      <w:r>
        <w:t xml:space="preserve"> </w:t>
      </w:r>
      <w:r>
        <w:t xml:space="preserve">Technical Lead</w:t>
      </w:r>
      <w:r>
        <w:t xml:space="preserve"> </w:t>
      </w:r>
      <w:r>
        <w:t xml:space="preserve">- Available for Severity 1-2 issues</w:t>
      </w:r>
      <w:r>
        <w:t xml:space="preserve"> </w:t>
      </w:r>
      <w:r>
        <w:t xml:space="preserve">- Response within 1 hour of escalation</w:t>
      </w:r>
    </w:p>
    <w:p>
      <w:pPr>
        <w:pStyle w:val="BodyText"/>
      </w:pPr>
      <w:r>
        <w:rPr>
          <w:b/>
          <w:bCs/>
        </w:rPr>
        <w:t xml:space="preserve">Level 3:</w:t>
      </w:r>
      <w:r>
        <w:t xml:space="preserve"> </w:t>
      </w:r>
      <w:r>
        <w:t xml:space="preserve">Engineering Manager</w:t>
      </w:r>
      <w:r>
        <w:t xml:space="preserve"> </w:t>
      </w:r>
      <w:r>
        <w:t xml:space="preserve">- Available for unresolved Severity 1 issues</w:t>
      </w:r>
      <w:r>
        <w:t xml:space="preserve"> </w:t>
      </w:r>
      <w:r>
        <w:t xml:space="preserve">- Response within 2 hours of escalation</w:t>
      </w:r>
    </w:p>
    <w:p>
      <w:pPr>
        <w:pStyle w:val="BodyText"/>
      </w:pPr>
      <w:r>
        <w:rPr>
          <w:b/>
          <w:bCs/>
        </w:rPr>
        <w:t xml:space="preserve">Level 4:</w:t>
      </w:r>
      <w:r>
        <w:t xml:space="preserve"> </w:t>
      </w:r>
      <w:r>
        <w:t xml:space="preserve">VP of Engineering</w:t>
      </w:r>
      <w:r>
        <w:t xml:space="preserve"> </w:t>
      </w:r>
      <w:r>
        <w:t xml:space="preserve">- Critical customer impact situations</w:t>
      </w:r>
      <w:r>
        <w:t xml:space="preserve"> </w:t>
      </w:r>
      <w:r>
        <w:t xml:space="preserve">- Response within 4 hours of escalation</w:t>
      </w:r>
    </w:p>
    <w:bookmarkEnd w:id="40"/>
    <w:bookmarkStart w:id="41" w:name="executive-escalation"/>
    <w:p>
      <w:pPr>
        <w:pStyle w:val="Heading3"/>
      </w:pPr>
      <w:r>
        <w:t xml:space="preserve">11.2 Executive Escalation</w:t>
      </w:r>
    </w:p>
    <w:p>
      <w:pPr>
        <w:pStyle w:val="FirstParagraph"/>
      </w:pPr>
      <w:r>
        <w:t xml:space="preserve">For SLA disputes or critical situations:</w:t>
      </w:r>
      <w:r>
        <w:t xml:space="preserve"> </w:t>
      </w:r>
      <w:r>
        <w:t xml:space="preserve">- Contact: [EXECUTIVE_ESCALATION_EMAIL]</w:t>
      </w:r>
      <w:r>
        <w:t xml:space="preserve"> </w:t>
      </w:r>
      <w:r>
        <w:t xml:space="preserve">- Response: Within 24 business hours</w:t>
      </w:r>
    </w:p>
    <w:bookmarkEnd w:id="41"/>
    <w:bookmarkEnd w:id="42"/>
    <w:bookmarkStart w:id="46" w:name="limitations"/>
    <w:p>
      <w:pPr>
        <w:pStyle w:val="Heading2"/>
      </w:pPr>
      <w:r>
        <w:t xml:space="preserve">12. Limitations</w:t>
      </w:r>
    </w:p>
    <w:bookmarkStart w:id="43" w:name="maximum-liability"/>
    <w:p>
      <w:pPr>
        <w:pStyle w:val="Heading3"/>
      </w:pPr>
      <w:r>
        <w:t xml:space="preserve">12.1 Maximum Liability</w:t>
      </w:r>
    </w:p>
    <w:p>
      <w:pPr>
        <w:pStyle w:val="FirstParagraph"/>
      </w:pPr>
      <w:r>
        <w:t xml:space="preserve">Total service credits for any month shall not exceed 100% of monthly service fees.</w:t>
      </w:r>
    </w:p>
    <w:bookmarkEnd w:id="43"/>
    <w:bookmarkStart w:id="44" w:name="sole-remedy"/>
    <w:p>
      <w:pPr>
        <w:pStyle w:val="Heading3"/>
      </w:pPr>
      <w:r>
        <w:t xml:space="preserve">12.2 Sole Remedy</w:t>
      </w:r>
    </w:p>
    <w:p>
      <w:pPr>
        <w:pStyle w:val="FirstParagraph"/>
      </w:pPr>
      <w:r>
        <w:t xml:space="preserve">Service credits are Customer’s sole remedy for SLA failures.</w:t>
      </w:r>
    </w:p>
    <w:bookmarkEnd w:id="44"/>
    <w:bookmarkStart w:id="45" w:name="force-majeure"/>
    <w:p>
      <w:pPr>
        <w:pStyle w:val="Heading3"/>
      </w:pPr>
      <w:r>
        <w:t xml:space="preserve">12.3 Force Majeure</w:t>
      </w:r>
    </w:p>
    <w:p>
      <w:pPr>
        <w:pStyle w:val="FirstParagraph"/>
      </w:pPr>
      <w:r>
        <w:t xml:space="preserve">Connie is not liable for failures caused by factors beyond reasonable control.</w:t>
      </w:r>
    </w:p>
    <w:bookmarkEnd w:id="45"/>
    <w:bookmarkEnd w:id="46"/>
    <w:bookmarkStart w:id="49" w:name="sla-modifications"/>
    <w:p>
      <w:pPr>
        <w:pStyle w:val="Heading2"/>
      </w:pPr>
      <w:r>
        <w:t xml:space="preserve">13. SLA Modifications</w:t>
      </w:r>
    </w:p>
    <w:bookmarkStart w:id="47" w:name="update-process"/>
    <w:p>
      <w:pPr>
        <w:pStyle w:val="Heading3"/>
      </w:pPr>
      <w:r>
        <w:t xml:space="preserve">13.1 Update Process</w:t>
      </w:r>
    </w:p>
    <w:p>
      <w:pPr>
        <w:pStyle w:val="Compact"/>
        <w:numPr>
          <w:ilvl w:val="0"/>
          <w:numId w:val="1008"/>
        </w:numPr>
      </w:pPr>
      <w:r>
        <w:t xml:space="preserve">30 days advance notice for material changes</w:t>
      </w:r>
    </w:p>
    <w:p>
      <w:pPr>
        <w:pStyle w:val="Compact"/>
        <w:numPr>
          <w:ilvl w:val="0"/>
          <w:numId w:val="1008"/>
        </w:numPr>
      </w:pPr>
      <w:r>
        <w:t xml:space="preserve">Notification via email and dashboard announcement</w:t>
      </w:r>
    </w:p>
    <w:p>
      <w:pPr>
        <w:pStyle w:val="Compact"/>
        <w:numPr>
          <w:ilvl w:val="0"/>
          <w:numId w:val="1008"/>
        </w:numPr>
      </w:pPr>
      <w:r>
        <w:t xml:space="preserve">Current version always available at [SLA_URL]</w:t>
      </w:r>
    </w:p>
    <w:bookmarkEnd w:id="47"/>
    <w:bookmarkStart w:id="48" w:name="acceptance"/>
    <w:p>
      <w:pPr>
        <w:pStyle w:val="Heading3"/>
      </w:pPr>
      <w:r>
        <w:t xml:space="preserve">13.2 Acceptance</w:t>
      </w:r>
    </w:p>
    <w:p>
      <w:pPr>
        <w:pStyle w:val="FirstParagraph"/>
      </w:pPr>
      <w:r>
        <w:t xml:space="preserve">Continued use of Services after SLA updates constitutes acceptance.</w:t>
      </w:r>
    </w:p>
    <w:bookmarkEnd w:id="48"/>
    <w:bookmarkEnd w:id="49"/>
    <w:bookmarkStart w:id="50" w:name="definitions"/>
    <w:p>
      <w:pPr>
        <w:pStyle w:val="Heading2"/>
      </w:pPr>
      <w:r>
        <w:t xml:space="preserve">14. Definitions</w:t>
      </w:r>
    </w:p>
    <w:p>
      <w:pPr>
        <w:pStyle w:val="FirstParagraph"/>
      </w:pPr>
      <w:r>
        <w:rPr>
          <w:b/>
          <w:bCs/>
        </w:rPr>
        <w:t xml:space="preserve">“API”</w:t>
      </w:r>
      <w:r>
        <w:t xml:space="preserve"> </w:t>
      </w:r>
      <w:r>
        <w:t xml:space="preserve">means Application Programming Interface</w:t>
      </w:r>
      <w:r>
        <w:br/>
      </w:r>
      <w:r>
        <w:rPr>
          <w:b/>
          <w:bCs/>
        </w:rPr>
        <w:t xml:space="preserve">“Business Day”</w:t>
      </w:r>
      <w:r>
        <w:t xml:space="preserve"> </w:t>
      </w:r>
      <w:r>
        <w:t xml:space="preserve">means Monday-Friday, excluding holidays</w:t>
      </w:r>
      <w:r>
        <w:br/>
      </w:r>
      <w:r>
        <w:rPr>
          <w:b/>
          <w:bCs/>
        </w:rPr>
        <w:t xml:space="preserve">“Business Hours”</w:t>
      </w:r>
      <w:r>
        <w:t xml:space="preserve"> </w:t>
      </w:r>
      <w:r>
        <w:t xml:space="preserve">means 9 AM - 6 PM [TIMEZONE]</w:t>
      </w:r>
      <w:r>
        <w:br/>
      </w:r>
      <w:r>
        <w:rPr>
          <w:b/>
          <w:bCs/>
        </w:rPr>
        <w:t xml:space="preserve">“Downtime”</w:t>
      </w:r>
      <w:r>
        <w:t xml:space="preserve"> </w:t>
      </w:r>
      <w:r>
        <w:t xml:space="preserve">means period of unavailability as defined in Section 3</w:t>
      </w:r>
      <w:r>
        <w:br/>
      </w:r>
      <w:r>
        <w:rPr>
          <w:b/>
          <w:bCs/>
        </w:rPr>
        <w:t xml:space="preserve">“MOS”</w:t>
      </w:r>
      <w:r>
        <w:t xml:space="preserve"> </w:t>
      </w:r>
      <w:r>
        <w:t xml:space="preserve">means Mean Opinion Score for voice quality</w:t>
      </w:r>
      <w:r>
        <w:br/>
      </w:r>
      <w:r>
        <w:rPr>
          <w:b/>
          <w:bCs/>
        </w:rPr>
        <w:t xml:space="preserve">“Service Credit”</w:t>
      </w:r>
      <w:r>
        <w:t xml:space="preserve"> </w:t>
      </w:r>
      <w:r>
        <w:t xml:space="preserve">means credit toward future Services</w:t>
      </w:r>
      <w:r>
        <w:br/>
      </w:r>
      <w:r>
        <w:rPr>
          <w:b/>
          <w:bCs/>
        </w:rPr>
        <w:t xml:space="preserve">“Uptime”</w:t>
      </w:r>
      <w:r>
        <w:t xml:space="preserve"> </w:t>
      </w:r>
      <w:r>
        <w:t xml:space="preserve">means period Services are available</w:t>
      </w:r>
    </w:p>
    <w:bookmarkEnd w:id="50"/>
    <w:bookmarkStart w:id="53" w:name="contact-information"/>
    <w:p>
      <w:pPr>
        <w:pStyle w:val="Heading2"/>
      </w:pPr>
      <w:r>
        <w:t xml:space="preserve">15. Contact Information</w:t>
      </w:r>
    </w:p>
    <w:bookmarkStart w:id="51" w:name="support-contacts"/>
    <w:p>
      <w:pPr>
        <w:pStyle w:val="Heading3"/>
      </w:pPr>
      <w:r>
        <w:t xml:space="preserve">Support Contacts</w:t>
      </w:r>
    </w:p>
    <w:p>
      <w:pPr>
        <w:pStyle w:val="FirstParagraph"/>
      </w:pPr>
      <w:r>
        <w:rPr>
          <w:b/>
          <w:bCs/>
        </w:rPr>
        <w:t xml:space="preserve">General Support:</w:t>
      </w:r>
      <w:r>
        <w:t xml:space="preserve"> </w:t>
      </w:r>
      <w:r>
        <w:t xml:space="preserve">[SUPPORT_EMAIL]</w:t>
      </w:r>
      <w:r>
        <w:br/>
      </w:r>
      <w:r>
        <w:rPr>
          <w:b/>
          <w:bCs/>
        </w:rPr>
        <w:t xml:space="preserve">Emergency Hotline:</w:t>
      </w:r>
      <w:r>
        <w:t xml:space="preserve"> </w:t>
      </w:r>
      <w:r>
        <w:t xml:space="preserve">[EMERGENCY_PHONE]</w:t>
      </w:r>
      <w:r>
        <w:br/>
      </w:r>
      <w:r>
        <w:rPr>
          <w:b/>
          <w:bCs/>
        </w:rPr>
        <w:t xml:space="preserve">SLA Credits:</w:t>
      </w:r>
      <w:r>
        <w:t xml:space="preserve"> </w:t>
      </w:r>
      <w:r>
        <w:t xml:space="preserve">[SLA_CREDIT_EMAIL]</w:t>
      </w:r>
      <w:r>
        <w:br/>
      </w:r>
      <w:r>
        <w:rPr>
          <w:b/>
          <w:bCs/>
        </w:rPr>
        <w:t xml:space="preserve">Status Page:</w:t>
      </w:r>
      <w:r>
        <w:t xml:space="preserve"> </w:t>
      </w:r>
      <w:r>
        <w:t xml:space="preserve">[STATUS_URL]</w:t>
      </w:r>
    </w:p>
    <w:bookmarkEnd w:id="51"/>
    <w:bookmarkStart w:id="52" w:name="business-hours"/>
    <w:p>
      <w:pPr>
        <w:pStyle w:val="Heading3"/>
      </w:pPr>
      <w:r>
        <w:t xml:space="preserve">Business Hours</w:t>
      </w:r>
    </w:p>
    <w:p>
      <w:pPr>
        <w:pStyle w:val="FirstParagraph"/>
      </w:pPr>
      <w:r>
        <w:t xml:space="preserve">Monday - Friday: 9 AM - 6 PM [TIMEZONE]</w:t>
      </w:r>
      <w:r>
        <w:br/>
      </w:r>
      <w:r>
        <w:t xml:space="preserve">24/7 for Severity 1 issues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ConnieML, Inc.</w:t>
      </w:r>
      <w:r>
        <w:br/>
      </w:r>
      <w:r>
        <w:t xml:space="preserve">[ADDRESS]</w:t>
      </w:r>
      <w:r>
        <w:br/>
      </w:r>
      <w:r>
        <w:t xml:space="preserve">[CITY, STATE ZIP]</w:t>
      </w:r>
      <w:r>
        <w:br/>
      </w:r>
      <w:r>
        <w:t xml:space="preserve">[COUNTRY]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SLA is subject to the terms of the Agreement. In case of conflict, the Agreement prevails except for specific SLA commitments stated herein.</w:t>
      </w:r>
    </w:p>
    <w:p>
      <w:pPr>
        <w:pStyle w:val="BodyText"/>
      </w:pPr>
      <w:r>
        <w:rPr>
          <w:i/>
          <w:iCs/>
        </w:rPr>
        <w:t xml:space="preserve">This document is a template and must be reviewed by legal counsel before use. Replace all bracketed placeholders with appropriate information.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2025-08-27T14:46:03Z</dcterms:created>
  <dcterms:modified xsi:type="dcterms:W3CDTF">2025-08-27T14:46:03Z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