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nnie-website-privacy-notice"/>
    <w:p>
      <w:pPr>
        <w:pStyle w:val="Heading1"/>
      </w:pPr>
      <w:r>
        <w:t xml:space="preserve">Connie Website Privacy Notice</w:t>
      </w:r>
    </w:p>
    <w:p>
      <w:pPr>
        <w:pStyle w:val="FirstParagraph"/>
      </w:pPr>
      <w:r>
        <w:rPr>
          <w:b/>
          <w:bCs/>
        </w:rPr>
        <w:t xml:space="preserve">Effective Date:</w:t>
      </w:r>
      <w:r>
        <w:t xml:space="preserve"> </w:t>
      </w:r>
      <w:r>
        <w:t xml:space="preserve">[DATE]</w:t>
      </w:r>
      <w:r>
        <w:br/>
      </w:r>
      <w:r>
        <w:rPr>
          <w:b/>
          <w:bCs/>
        </w:rPr>
        <w:t xml:space="preserve">Last Updated:</w:t>
      </w:r>
      <w:r>
        <w:t xml:space="preserve"> </w:t>
      </w:r>
      <w:r>
        <w:t xml:space="preserve">[DATE]</w:t>
      </w:r>
    </w:p>
    <w:bookmarkStart w:id="9" w:name="introduction-and-scope"/>
    <w:p>
      <w:pPr>
        <w:pStyle w:val="Heading2"/>
      </w:pPr>
      <w:r>
        <w:t xml:space="preserve">1. Introduction and Scope</w:t>
      </w:r>
    </w:p>
    <w:p>
      <w:pPr>
        <w:pStyle w:val="FirstParagraph"/>
      </w:pPr>
      <w:r>
        <w:t xml:space="preserve">This Website Privacy Notice (</w:t>
      </w:r>
      <w:r>
        <w:t xml:space="preserve">“Privacy Notice”</w:t>
      </w:r>
      <w:r>
        <w:t xml:space="preserve">) describes how ConnieML, Inc. (</w:t>
      </w:r>
      <w:r>
        <w:t xml:space="preserve">“Connie,”</w:t>
      </w:r>
      <w:r>
        <w:t xml:space="preserve"> </w:t>
      </w:r>
      <w:r>
        <w:t xml:space="preserve">“we,”</w:t>
      </w:r>
      <w:r>
        <w:t xml:space="preserve"> </w:t>
      </w:r>
      <w:r>
        <w:t xml:space="preserve">“us,”</w:t>
      </w:r>
      <w:r>
        <w:t xml:space="preserve"> </w:t>
      </w:r>
      <w:r>
        <w:t xml:space="preserve">or</w:t>
      </w:r>
      <w:r>
        <w:t xml:space="preserve"> </w:t>
      </w:r>
      <w:r>
        <w:t xml:space="preserve">“our”</w:t>
      </w:r>
      <w:r>
        <w:t xml:space="preserve">) collects, uses, shares, and protects personal information when you visit our websites, including docs.connie.one, connie.plus, and connie.center (collectively, the</w:t>
      </w:r>
      <w:r>
        <w:t xml:space="preserve"> </w:t>
      </w:r>
      <w:r>
        <w:t xml:space="preserve">“Sites”</w:t>
      </w:r>
      <w:r>
        <w:t xml:space="preserve">), and when you use our communication platform services designed specifically for community-based organizations (CBOs) and nonprofit entities.</w:t>
      </w:r>
    </w:p>
    <w:p>
      <w:pPr>
        <w:pStyle w:val="BodyText"/>
      </w:pPr>
      <w:r>
        <w:t xml:space="preserve">This Privacy Notice applies to personal information we collect through:</w:t>
      </w:r>
      <w:r>
        <w:t xml:space="preserve"> </w:t>
      </w:r>
      <w:r>
        <w:t xml:space="preserve">- Our websites and documentation platforms</w:t>
      </w:r>
      <w:r>
        <w:t xml:space="preserve"> </w:t>
      </w:r>
      <w:r>
        <w:t xml:space="preserve">- Our Connie communication platform services</w:t>
      </w:r>
      <w:r>
        <w:t xml:space="preserve"> </w:t>
      </w:r>
      <w:r>
        <w:t xml:space="preserve">- Email communications, newsletters, and marketing materials</w:t>
      </w:r>
      <w:r>
        <w:t xml:space="preserve"> </w:t>
      </w:r>
      <w:r>
        <w:t xml:space="preserve">- Customer support interactions</w:t>
      </w:r>
      <w:r>
        <w:t xml:space="preserve"> </w:t>
      </w:r>
      <w:r>
        <w:t xml:space="preserve">- Events, webinars, and training sessions</w:t>
      </w:r>
    </w:p>
    <w:p>
      <w:pPr>
        <w:pStyle w:val="BodyText"/>
      </w:pPr>
      <w:r>
        <w:t xml:space="preserve">This Privacy Notice does not apply to:</w:t>
      </w:r>
      <w:r>
        <w:t xml:space="preserve"> </w:t>
      </w:r>
      <w:r>
        <w:t xml:space="preserve">- Information collected by third-party websites or services</w:t>
      </w:r>
      <w:r>
        <w:t xml:space="preserve"> </w:t>
      </w:r>
      <w:r>
        <w:t xml:space="preserve">- Personal data processed by our customers through the Connie platform</w:t>
      </w:r>
      <w:r>
        <w:t xml:space="preserve"> </w:t>
      </w:r>
      <w:r>
        <w:t xml:space="preserve">- Information collected by our business partners or service providers operating under their own privacy policies</w:t>
      </w:r>
    </w:p>
    <w:p>
      <w:pPr>
        <w:pStyle w:val="BodyText"/>
      </w:pPr>
      <w:r>
        <w:t xml:space="preserve">By using our Sites or services, you acknowledge that you have read and understood this Privacy Notice.</w:t>
      </w:r>
    </w:p>
    <w:bookmarkEnd w:id="9"/>
    <w:bookmarkStart w:id="13" w:name="information-we-collect"/>
    <w:p>
      <w:pPr>
        <w:pStyle w:val="Heading2"/>
      </w:pPr>
      <w:r>
        <w:t xml:space="preserve">2. Information We Collect</w:t>
      </w:r>
    </w:p>
    <w:bookmarkStart w:id="10" w:name="information-you-provide-to-us"/>
    <w:p>
      <w:pPr>
        <w:pStyle w:val="Heading3"/>
      </w:pPr>
      <w:r>
        <w:t xml:space="preserve">2.1 Information You Provide to Us</w:t>
      </w:r>
    </w:p>
    <w:p>
      <w:pPr>
        <w:pStyle w:val="FirstParagraph"/>
      </w:pPr>
      <w:r>
        <w:rPr>
          <w:b/>
          <w:bCs/>
        </w:rPr>
        <w:t xml:space="preserve">Account and Registration Information:</w:t>
      </w:r>
      <w:r>
        <w:t xml:space="preserve"> </w:t>
      </w:r>
      <w:r>
        <w:t xml:space="preserve">- Name, email address, phone number, and organization details</w:t>
      </w:r>
      <w:r>
        <w:t xml:space="preserve"> </w:t>
      </w:r>
      <w:r>
        <w:t xml:space="preserve">- Job title, role within organization, and contact preferences</w:t>
      </w:r>
      <w:r>
        <w:t xml:space="preserve"> </w:t>
      </w:r>
      <w:r>
        <w:t xml:space="preserve">- Username, password, and security questions</w:t>
      </w:r>
      <w:r>
        <w:t xml:space="preserve"> </w:t>
      </w:r>
      <w:r>
        <w:t xml:space="preserve">- Payment and billing information (processed by third-party payment processors)</w:t>
      </w:r>
    </w:p>
    <w:p>
      <w:pPr>
        <w:pStyle w:val="BodyText"/>
      </w:pPr>
      <w:r>
        <w:rPr>
          <w:b/>
          <w:bCs/>
        </w:rPr>
        <w:t xml:space="preserve">Communications and Support:</w:t>
      </w:r>
      <w:r>
        <w:t xml:space="preserve"> </w:t>
      </w:r>
      <w:r>
        <w:t xml:space="preserve">- Information you provide when contacting us for support or inquiries</w:t>
      </w:r>
      <w:r>
        <w:t xml:space="preserve"> </w:t>
      </w:r>
      <w:r>
        <w:t xml:space="preserve">- Content of messages, chat transcripts, and support tickets</w:t>
      </w:r>
      <w:r>
        <w:t xml:space="preserve"> </w:t>
      </w:r>
      <w:r>
        <w:t xml:space="preserve">- Feedback, survey responses, and testimonials</w:t>
      </w:r>
      <w:r>
        <w:t xml:space="preserve"> </w:t>
      </w:r>
      <w:r>
        <w:t xml:space="preserve">- Information provided during webinars, training sessions, or events</w:t>
      </w:r>
    </w:p>
    <w:p>
      <w:pPr>
        <w:pStyle w:val="BodyText"/>
      </w:pPr>
      <w:r>
        <w:rPr>
          <w:b/>
          <w:bCs/>
        </w:rPr>
        <w:t xml:space="preserve">Service Usage Information:</w:t>
      </w:r>
      <w:r>
        <w:t xml:space="preserve"> </w:t>
      </w:r>
      <w:r>
        <w:t xml:space="preserve">- Configuration settings for voice, fax, email, and web chat channels</w:t>
      </w:r>
      <w:r>
        <w:t xml:space="preserve"> </w:t>
      </w:r>
      <w:r>
        <w:t xml:space="preserve">- Call forwarding numbers and voicemail preferences</w:t>
      </w:r>
      <w:r>
        <w:t xml:space="preserve"> </w:t>
      </w:r>
      <w:r>
        <w:t xml:space="preserve">- User roles, permissions, and access controls</w:t>
      </w:r>
      <w:r>
        <w:t xml:space="preserve"> </w:t>
      </w:r>
      <w:r>
        <w:t xml:space="preserve">- Content uploaded to our platform (documents, recordings, transcripts)</w:t>
      </w:r>
    </w:p>
    <w:bookmarkEnd w:id="10"/>
    <w:bookmarkStart w:id="11" w:name="information-we-collect-automatically"/>
    <w:p>
      <w:pPr>
        <w:pStyle w:val="Heading3"/>
      </w:pPr>
      <w:r>
        <w:t xml:space="preserve">2.2 Information We Collect Automatically</w:t>
      </w:r>
    </w:p>
    <w:p>
      <w:pPr>
        <w:pStyle w:val="FirstParagraph"/>
      </w:pPr>
      <w:r>
        <w:rPr>
          <w:b/>
          <w:bCs/>
        </w:rPr>
        <w:t xml:space="preserve">Technical Information:</w:t>
      </w:r>
      <w:r>
        <w:t xml:space="preserve"> </w:t>
      </w:r>
      <w:r>
        <w:t xml:space="preserve">- IP address, browser type, operating system, and device information</w:t>
      </w:r>
      <w:r>
        <w:t xml:space="preserve"> </w:t>
      </w:r>
      <w:r>
        <w:t xml:space="preserve">- Pages visited, time spent on pages, and navigation patterns</w:t>
      </w:r>
      <w:r>
        <w:t xml:space="preserve"> </w:t>
      </w:r>
      <w:r>
        <w:t xml:space="preserve">- Referral sources and search terms used to find our Sites</w:t>
      </w:r>
      <w:r>
        <w:t xml:space="preserve"> </w:t>
      </w:r>
      <w:r>
        <w:t xml:space="preserve">- Cookies, web beacons, and similar tracking technologies</w:t>
      </w:r>
    </w:p>
    <w:p>
      <w:pPr>
        <w:pStyle w:val="BodyText"/>
      </w:pPr>
      <w:r>
        <w:rPr>
          <w:b/>
          <w:bCs/>
        </w:rPr>
        <w:t xml:space="preserve">Service Performance Data:</w:t>
      </w:r>
      <w:r>
        <w:t xml:space="preserve"> </w:t>
      </w:r>
      <w:r>
        <w:t xml:space="preserve">- Call quality metrics, connection data, and system performance</w:t>
      </w:r>
      <w:r>
        <w:t xml:space="preserve"> </w:t>
      </w:r>
      <w:r>
        <w:t xml:space="preserve">- Error logs, diagnostic information, and usage analytics</w:t>
      </w:r>
      <w:r>
        <w:t xml:space="preserve"> </w:t>
      </w:r>
      <w:r>
        <w:t xml:space="preserve">- Feature utilization and platform engagement metrics</w:t>
      </w:r>
    </w:p>
    <w:bookmarkEnd w:id="11"/>
    <w:bookmarkStart w:id="12" w:name="information-from-third-parties"/>
    <w:p>
      <w:pPr>
        <w:pStyle w:val="Heading3"/>
      </w:pPr>
      <w:r>
        <w:t xml:space="preserve">2.3 Information from Third Parties</w:t>
      </w:r>
    </w:p>
    <w:p>
      <w:pPr>
        <w:pStyle w:val="FirstParagraph"/>
      </w:pPr>
      <w:r>
        <w:rPr>
          <w:b/>
          <w:bCs/>
        </w:rPr>
        <w:t xml:space="preserve">Service Providers and Partners:</w:t>
      </w:r>
      <w:r>
        <w:t xml:space="preserve"> </w:t>
      </w:r>
      <w:r>
        <w:t xml:space="preserve">- Information from payment processors, telecommunications carriers, and service providers</w:t>
      </w:r>
      <w:r>
        <w:t xml:space="preserve"> </w:t>
      </w:r>
      <w:r>
        <w:t xml:space="preserve">- Data from CRM systems, email marketing platforms, and analytics providers</w:t>
      </w:r>
      <w:r>
        <w:t xml:space="preserve"> </w:t>
      </w:r>
      <w:r>
        <w:t xml:space="preserve">- Information from social media platforms when you interact with our content</w:t>
      </w:r>
    </w:p>
    <w:p>
      <w:pPr>
        <w:pStyle w:val="BodyText"/>
      </w:pPr>
      <w:r>
        <w:rPr>
          <w:b/>
          <w:bCs/>
        </w:rPr>
        <w:t xml:space="preserve">Public Sources:</w:t>
      </w:r>
      <w:r>
        <w:t xml:space="preserve"> </w:t>
      </w:r>
      <w:r>
        <w:t xml:space="preserve">- Publicly available information about organizations and contacts</w:t>
      </w:r>
      <w:r>
        <w:t xml:space="preserve"> </w:t>
      </w:r>
      <w:r>
        <w:t xml:space="preserve">- Industry databases and professional networks</w:t>
      </w:r>
      <w:r>
        <w:t xml:space="preserve"> </w:t>
      </w:r>
      <w:r>
        <w:t xml:space="preserve">- Government databases for nonprofit verification</w:t>
      </w:r>
    </w:p>
    <w:bookmarkEnd w:id="12"/>
    <w:bookmarkEnd w:id="13"/>
    <w:bookmarkStart w:id="18" w:name="how-we-use-information"/>
    <w:p>
      <w:pPr>
        <w:pStyle w:val="Heading2"/>
      </w:pPr>
      <w:r>
        <w:t xml:space="preserve">3. How We Use Information</w:t>
      </w:r>
    </w:p>
    <w:p>
      <w:pPr>
        <w:pStyle w:val="FirstParagraph"/>
      </w:pPr>
      <w:r>
        <w:t xml:space="preserve">We use personal information for the following purposes:</w:t>
      </w:r>
    </w:p>
    <w:bookmarkStart w:id="14" w:name="service-delivery-and-support"/>
    <w:p>
      <w:pPr>
        <w:pStyle w:val="Heading3"/>
      </w:pPr>
      <w:r>
        <w:t xml:space="preserve">3.1 Service Delivery and Support</w:t>
      </w:r>
    </w:p>
    <w:p>
      <w:pPr>
        <w:pStyle w:val="Compact"/>
        <w:numPr>
          <w:ilvl w:val="0"/>
          <w:numId w:val="1001"/>
        </w:numPr>
      </w:pPr>
      <w:r>
        <w:t xml:space="preserve">Providing, maintaining, and improving our communication platform services</w:t>
      </w:r>
    </w:p>
    <w:p>
      <w:pPr>
        <w:pStyle w:val="Compact"/>
        <w:numPr>
          <w:ilvl w:val="0"/>
          <w:numId w:val="1001"/>
        </w:numPr>
      </w:pPr>
      <w:r>
        <w:t xml:space="preserve">Processing registrations, managing accounts, and billing</w:t>
      </w:r>
    </w:p>
    <w:p>
      <w:pPr>
        <w:pStyle w:val="Compact"/>
        <w:numPr>
          <w:ilvl w:val="0"/>
          <w:numId w:val="1001"/>
        </w:numPr>
      </w:pPr>
      <w:r>
        <w:t xml:space="preserve">Delivering customer support and technical assistance</w:t>
      </w:r>
    </w:p>
    <w:p>
      <w:pPr>
        <w:pStyle w:val="Compact"/>
        <w:numPr>
          <w:ilvl w:val="0"/>
          <w:numId w:val="1001"/>
        </w:numPr>
      </w:pPr>
      <w:r>
        <w:t xml:space="preserve">Configuring voice, fax, email, and web chat channels</w:t>
      </w:r>
    </w:p>
    <w:p>
      <w:pPr>
        <w:pStyle w:val="Compact"/>
        <w:numPr>
          <w:ilvl w:val="0"/>
          <w:numId w:val="1001"/>
        </w:numPr>
      </w:pPr>
      <w:r>
        <w:t xml:space="preserve">Facilitating communication routing and call forwarding</w:t>
      </w:r>
    </w:p>
    <w:bookmarkEnd w:id="14"/>
    <w:bookmarkStart w:id="15" w:name="communication-and-marketing"/>
    <w:p>
      <w:pPr>
        <w:pStyle w:val="Heading3"/>
      </w:pPr>
      <w:r>
        <w:t xml:space="preserve">3.2 Communication and Marketing</w:t>
      </w:r>
    </w:p>
    <w:p>
      <w:pPr>
        <w:pStyle w:val="Compact"/>
        <w:numPr>
          <w:ilvl w:val="0"/>
          <w:numId w:val="1002"/>
        </w:numPr>
      </w:pPr>
      <w:r>
        <w:t xml:space="preserve">Sending service-related notifications and updates</w:t>
      </w:r>
    </w:p>
    <w:p>
      <w:pPr>
        <w:pStyle w:val="Compact"/>
        <w:numPr>
          <w:ilvl w:val="0"/>
          <w:numId w:val="1002"/>
        </w:numPr>
      </w:pPr>
      <w:r>
        <w:t xml:space="preserve">Providing product information, newsletters, and educational content</w:t>
      </w:r>
    </w:p>
    <w:p>
      <w:pPr>
        <w:pStyle w:val="Compact"/>
        <w:numPr>
          <w:ilvl w:val="0"/>
          <w:numId w:val="1002"/>
        </w:numPr>
      </w:pPr>
      <w:r>
        <w:t xml:space="preserve">Conducting webinars, training sessions, and support events</w:t>
      </w:r>
    </w:p>
    <w:p>
      <w:pPr>
        <w:pStyle w:val="Compact"/>
        <w:numPr>
          <w:ilvl w:val="0"/>
          <w:numId w:val="1002"/>
        </w:numPr>
      </w:pPr>
      <w:r>
        <w:t xml:space="preserve">Responding to inquiries and support requests</w:t>
      </w:r>
    </w:p>
    <w:p>
      <w:pPr>
        <w:pStyle w:val="Compact"/>
        <w:numPr>
          <w:ilvl w:val="0"/>
          <w:numId w:val="1002"/>
        </w:numPr>
      </w:pPr>
      <w:r>
        <w:t xml:space="preserve">Personalizing marketing communications based on interests and usage</w:t>
      </w:r>
    </w:p>
    <w:bookmarkEnd w:id="15"/>
    <w:bookmarkStart w:id="16" w:name="platform-improvement-and-analytics"/>
    <w:p>
      <w:pPr>
        <w:pStyle w:val="Heading3"/>
      </w:pPr>
      <w:r>
        <w:t xml:space="preserve">3.3 Platform Improvement and Analytics</w:t>
      </w:r>
    </w:p>
    <w:p>
      <w:pPr>
        <w:pStyle w:val="Compact"/>
        <w:numPr>
          <w:ilvl w:val="0"/>
          <w:numId w:val="1003"/>
        </w:numPr>
      </w:pPr>
      <w:r>
        <w:t xml:space="preserve">Analyzing usage patterns to improve our services</w:t>
      </w:r>
    </w:p>
    <w:p>
      <w:pPr>
        <w:pStyle w:val="Compact"/>
        <w:numPr>
          <w:ilvl w:val="0"/>
          <w:numId w:val="1003"/>
        </w:numPr>
      </w:pPr>
      <w:r>
        <w:t xml:space="preserve">Conducting research and development for new features</w:t>
      </w:r>
    </w:p>
    <w:p>
      <w:pPr>
        <w:pStyle w:val="Compact"/>
        <w:numPr>
          <w:ilvl w:val="0"/>
          <w:numId w:val="1003"/>
        </w:numPr>
      </w:pPr>
      <w:r>
        <w:t xml:space="preserve">Monitoring system performance and security</w:t>
      </w:r>
    </w:p>
    <w:p>
      <w:pPr>
        <w:pStyle w:val="Compact"/>
        <w:numPr>
          <w:ilvl w:val="0"/>
          <w:numId w:val="1003"/>
        </w:numPr>
      </w:pPr>
      <w:r>
        <w:t xml:space="preserve">Generating aggregated, anonymized analytics and reports</w:t>
      </w:r>
    </w:p>
    <w:bookmarkEnd w:id="16"/>
    <w:bookmarkStart w:id="17" w:name="legal-and-compliance"/>
    <w:p>
      <w:pPr>
        <w:pStyle w:val="Heading3"/>
      </w:pPr>
      <w:r>
        <w:t xml:space="preserve">3.4 Legal and Compliance</w:t>
      </w:r>
    </w:p>
    <w:p>
      <w:pPr>
        <w:pStyle w:val="Compact"/>
        <w:numPr>
          <w:ilvl w:val="0"/>
          <w:numId w:val="1004"/>
        </w:numPr>
      </w:pPr>
      <w:r>
        <w:t xml:space="preserve">Complying with legal obligations and regulatory requirements</w:t>
      </w:r>
    </w:p>
    <w:p>
      <w:pPr>
        <w:pStyle w:val="Compact"/>
        <w:numPr>
          <w:ilvl w:val="0"/>
          <w:numId w:val="1004"/>
        </w:numPr>
      </w:pPr>
      <w:r>
        <w:t xml:space="preserve">Protecting our rights, property, and safety, and that of our users</w:t>
      </w:r>
    </w:p>
    <w:p>
      <w:pPr>
        <w:pStyle w:val="Compact"/>
        <w:numPr>
          <w:ilvl w:val="0"/>
          <w:numId w:val="1004"/>
        </w:numPr>
      </w:pPr>
      <w:r>
        <w:t xml:space="preserve">Detecting, preventing, and addressing fraud or security issues</w:t>
      </w:r>
    </w:p>
    <w:p>
      <w:pPr>
        <w:pStyle w:val="Compact"/>
        <w:numPr>
          <w:ilvl w:val="0"/>
          <w:numId w:val="1004"/>
        </w:numPr>
      </w:pPr>
      <w:r>
        <w:t xml:space="preserve">Enforcing our Terms of Service and other agreements</w:t>
      </w:r>
    </w:p>
    <w:bookmarkEnd w:id="17"/>
    <w:bookmarkEnd w:id="18"/>
    <w:bookmarkStart w:id="23" w:name="how-we-share-information"/>
    <w:p>
      <w:pPr>
        <w:pStyle w:val="Heading2"/>
      </w:pPr>
      <w:r>
        <w:t xml:space="preserve">4. How We Share Information</w:t>
      </w:r>
    </w:p>
    <w:bookmarkStart w:id="19" w:name="service-providers-and-partners"/>
    <w:p>
      <w:pPr>
        <w:pStyle w:val="Heading3"/>
      </w:pPr>
      <w:r>
        <w:t xml:space="preserve">4.1 Service Providers and Partners</w:t>
      </w:r>
    </w:p>
    <w:p>
      <w:pPr>
        <w:pStyle w:val="FirstParagraph"/>
      </w:pPr>
      <w:r>
        <w:t xml:space="preserve">We share personal information with trusted third parties who provide services on our behalf:</w:t>
      </w:r>
    </w:p>
    <w:p>
      <w:pPr>
        <w:pStyle w:val="BodyText"/>
      </w:pPr>
      <w:r>
        <w:rPr>
          <w:b/>
          <w:bCs/>
        </w:rPr>
        <w:t xml:space="preserve">Technology Partners:</w:t>
      </w:r>
      <w:r>
        <w:t xml:space="preserve"> </w:t>
      </w:r>
      <w:r>
        <w:t xml:space="preserve">- Twilio (voice and messaging services)</w:t>
      </w:r>
      <w:r>
        <w:t xml:space="preserve"> </w:t>
      </w:r>
      <w:r>
        <w:t xml:space="preserve">- Mailgun and SendGrid (email delivery)</w:t>
      </w:r>
      <w:r>
        <w:t xml:space="preserve"> </w:t>
      </w:r>
      <w:r>
        <w:t xml:space="preserve">- Adobe Acrobat Sign (document processing)</w:t>
      </w:r>
      <w:r>
        <w:t xml:space="preserve"> </w:t>
      </w:r>
      <w:r>
        <w:t xml:space="preserve">- Cloud hosting and infrastructure providers</w:t>
      </w:r>
    </w:p>
    <w:p>
      <w:pPr>
        <w:pStyle w:val="BodyText"/>
      </w:pPr>
      <w:r>
        <w:rPr>
          <w:b/>
          <w:bCs/>
        </w:rPr>
        <w:t xml:space="preserve">Business Service Providers:</w:t>
      </w:r>
      <w:r>
        <w:t xml:space="preserve"> </w:t>
      </w:r>
      <w:r>
        <w:t xml:space="preserve">- Payment processors and billing services</w:t>
      </w:r>
      <w:r>
        <w:t xml:space="preserve"> </w:t>
      </w:r>
      <w:r>
        <w:t xml:space="preserve">- Customer support platforms</w:t>
      </w:r>
      <w:r>
        <w:t xml:space="preserve"> </w:t>
      </w:r>
      <w:r>
        <w:t xml:space="preserve">- Analytics and marketing automation tools</w:t>
      </w:r>
      <w:r>
        <w:t xml:space="preserve"> </w:t>
      </w:r>
      <w:r>
        <w:t xml:space="preserve">- Legal, accounting, and professional service providers</w:t>
      </w:r>
    </w:p>
    <w:bookmarkEnd w:id="19"/>
    <w:bookmarkStart w:id="20" w:name="legal-requirements-and-protection"/>
    <w:p>
      <w:pPr>
        <w:pStyle w:val="Heading3"/>
      </w:pPr>
      <w:r>
        <w:t xml:space="preserve">4.2 Legal Requirements and Protection</w:t>
      </w:r>
    </w:p>
    <w:p>
      <w:pPr>
        <w:pStyle w:val="FirstParagraph"/>
      </w:pPr>
      <w:r>
        <w:t xml:space="preserve">We may disclose personal information when required by law or to protect our rights:</w:t>
      </w:r>
      <w:r>
        <w:t xml:space="preserve"> </w:t>
      </w:r>
      <w:r>
        <w:t xml:space="preserve">- In response to valid legal process (subpoenas, court orders, warrants)</w:t>
      </w:r>
      <w:r>
        <w:t xml:space="preserve"> </w:t>
      </w:r>
      <w:r>
        <w:t xml:space="preserve">- To comply with applicable laws and regulations</w:t>
      </w:r>
      <w:r>
        <w:t xml:space="preserve"> </w:t>
      </w:r>
      <w:r>
        <w:t xml:space="preserve">- To protect the rights, property, or safety of Connie, our users, or others</w:t>
      </w:r>
      <w:r>
        <w:t xml:space="preserve"> </w:t>
      </w:r>
      <w:r>
        <w:t xml:space="preserve">- In connection with investigations of fraud, security breaches, or illegal activities</w:t>
      </w:r>
    </w:p>
    <w:bookmarkEnd w:id="20"/>
    <w:bookmarkStart w:id="21" w:name="business-transfers"/>
    <w:p>
      <w:pPr>
        <w:pStyle w:val="Heading3"/>
      </w:pPr>
      <w:r>
        <w:t xml:space="preserve">4.3 Business Transfers</w:t>
      </w:r>
    </w:p>
    <w:p>
      <w:pPr>
        <w:pStyle w:val="FirstParagraph"/>
      </w:pPr>
      <w:r>
        <w:t xml:space="preserve">In the event of a merger, acquisition, sale, or other business transaction, personal information may be transferred as part of the transaction, subject to appropriate confidentiality and notice requirements.</w:t>
      </w:r>
    </w:p>
    <w:bookmarkEnd w:id="21"/>
    <w:bookmarkStart w:id="22" w:name="aggregated-and-anonymized-data"/>
    <w:p>
      <w:pPr>
        <w:pStyle w:val="Heading3"/>
      </w:pPr>
      <w:r>
        <w:t xml:space="preserve">4.4 Aggregated and Anonymized Data</w:t>
      </w:r>
    </w:p>
    <w:p>
      <w:pPr>
        <w:pStyle w:val="FirstParagraph"/>
      </w:pPr>
      <w:r>
        <w:t xml:space="preserve">We may share aggregated, anonymized, or de-identified information that cannot reasonably be used to identify individuals for research, analytics, or marketing purposes.</w:t>
      </w:r>
    </w:p>
    <w:bookmarkEnd w:id="22"/>
    <w:bookmarkEnd w:id="23"/>
    <w:bookmarkStart w:id="24" w:name="data-retention-policies"/>
    <w:p>
      <w:pPr>
        <w:pStyle w:val="Heading2"/>
      </w:pPr>
      <w:r>
        <w:t xml:space="preserve">5. Data Retention Policies</w:t>
      </w:r>
    </w:p>
    <w:p>
      <w:pPr>
        <w:pStyle w:val="FirstParagraph"/>
      </w:pPr>
      <w:r>
        <w:t xml:space="preserve">We retain personal information for as long as necessary to fulfill the purposes outlined in this Privacy Notice, unless a longer retention period is required by law.</w:t>
      </w:r>
    </w:p>
    <w:p>
      <w:pPr>
        <w:pStyle w:val="BodyText"/>
      </w:pPr>
      <w:r>
        <w:rPr>
          <w:b/>
          <w:bCs/>
        </w:rPr>
        <w:t xml:space="preserve">Account Information:</w:t>
      </w:r>
      <w:r>
        <w:t xml:space="preserve"> </w:t>
      </w:r>
      <w:r>
        <w:t xml:space="preserve">Retained while your account is active and for [X] years after account closure</w:t>
      </w:r>
      <w:r>
        <w:t xml:space="preserve"> </w:t>
      </w:r>
      <w:r>
        <w:rPr>
          <w:b/>
          <w:bCs/>
        </w:rPr>
        <w:t xml:space="preserve">Service Usage Data:</w:t>
      </w:r>
      <w:r>
        <w:t xml:space="preserve"> </w:t>
      </w:r>
      <w:r>
        <w:t xml:space="preserve">Retained for [X] years for analytics and service improvement purposes</w:t>
      </w:r>
      <w:r>
        <w:br/>
      </w:r>
      <w:r>
        <w:rPr>
          <w:b/>
          <w:bCs/>
        </w:rPr>
        <w:t xml:space="preserve">Support Communications:</w:t>
      </w:r>
      <w:r>
        <w:t xml:space="preserve"> </w:t>
      </w:r>
      <w:r>
        <w:t xml:space="preserve">Retained for [X] years to maintain support history and quality</w:t>
      </w:r>
      <w:r>
        <w:t xml:space="preserve"> </w:t>
      </w:r>
      <w:r>
        <w:rPr>
          <w:b/>
          <w:bCs/>
        </w:rPr>
        <w:t xml:space="preserve">Marketing Data:</w:t>
      </w:r>
      <w:r>
        <w:t xml:space="preserve"> </w:t>
      </w:r>
      <w:r>
        <w:t xml:space="preserve">Retained until you opt out or for [X] years of inactivity</w:t>
      </w:r>
      <w:r>
        <w:t xml:space="preserve"> </w:t>
      </w:r>
      <w:r>
        <w:rPr>
          <w:b/>
          <w:bCs/>
        </w:rPr>
        <w:t xml:space="preserve">Legal and Compliance Data:</w:t>
      </w:r>
      <w:r>
        <w:t xml:space="preserve"> </w:t>
      </w:r>
      <w:r>
        <w:t xml:space="preserve">Retained as required by applicable laws and regulations</w:t>
      </w:r>
    </w:p>
    <w:p>
      <w:pPr>
        <w:pStyle w:val="BodyText"/>
      </w:pPr>
      <w:r>
        <w:t xml:space="preserve">You may request deletion of your personal information, subject to legal and operational requirements.</w:t>
      </w:r>
    </w:p>
    <w:bookmarkEnd w:id="24"/>
    <w:bookmarkStart w:id="29" w:name="your-rights-and-choices"/>
    <w:p>
      <w:pPr>
        <w:pStyle w:val="Heading2"/>
      </w:pPr>
      <w:r>
        <w:t xml:space="preserve">6. Your Rights and Choices</w:t>
      </w:r>
    </w:p>
    <w:bookmarkStart w:id="25" w:name="access-and-control"/>
    <w:p>
      <w:pPr>
        <w:pStyle w:val="Heading3"/>
      </w:pPr>
      <w:r>
        <w:t xml:space="preserve">6.1 Access and Control</w:t>
      </w:r>
    </w:p>
    <w:p>
      <w:pPr>
        <w:pStyle w:val="FirstParagraph"/>
      </w:pPr>
      <w:r>
        <w:t xml:space="preserve">You have the right to:</w:t>
      </w:r>
      <w:r>
        <w:t xml:space="preserve"> </w:t>
      </w:r>
      <w:r>
        <w:t xml:space="preserve">- Access, review, and update your personal information</w:t>
      </w:r>
      <w:r>
        <w:t xml:space="preserve"> </w:t>
      </w:r>
      <w:r>
        <w:t xml:space="preserve">- Download or export your data in a portable format</w:t>
      </w:r>
      <w:r>
        <w:t xml:space="preserve"> </w:t>
      </w:r>
      <w:r>
        <w:t xml:space="preserve">- Delete or deactivate your account</w:t>
      </w:r>
      <w:r>
        <w:t xml:space="preserve"> </w:t>
      </w:r>
      <w:r>
        <w:t xml:space="preserve">- Object to certain processing activities</w:t>
      </w:r>
      <w:r>
        <w:t xml:space="preserve"> </w:t>
      </w:r>
      <w:r>
        <w:t xml:space="preserve">- Restrict how we use your information</w:t>
      </w:r>
    </w:p>
    <w:bookmarkEnd w:id="25"/>
    <w:bookmarkStart w:id="26" w:name="gdpr-rights-eu-residents"/>
    <w:p>
      <w:pPr>
        <w:pStyle w:val="Heading3"/>
      </w:pPr>
      <w:r>
        <w:t xml:space="preserve">6.2 GDPR Rights (EU Residents)</w:t>
      </w:r>
    </w:p>
    <w:p>
      <w:pPr>
        <w:pStyle w:val="FirstParagraph"/>
      </w:pPr>
      <w:r>
        <w:t xml:space="preserve">If you are located in the European Union, you have additional rights under the General Data Protection Regulation:</w:t>
      </w:r>
      <w:r>
        <w:t xml:space="preserve"> </w:t>
      </w:r>
      <w:r>
        <w:t xml:space="preserve">- Right of access to your personal data</w:t>
      </w:r>
      <w:r>
        <w:t xml:space="preserve"> </w:t>
      </w:r>
      <w:r>
        <w:t xml:space="preserve">- Right to rectification of inaccurate data</w:t>
      </w:r>
      <w:r>
        <w:t xml:space="preserve"> </w:t>
      </w:r>
      <w:r>
        <w:t xml:space="preserve">- Right to erasure (</w:t>
      </w:r>
      <w:r>
        <w:t xml:space="preserve">“right to be forgotten”</w:t>
      </w:r>
      <w:r>
        <w:t xml:space="preserve">)</w:t>
      </w:r>
      <w:r>
        <w:t xml:space="preserve"> </w:t>
      </w:r>
      <w:r>
        <w:t xml:space="preserve">- Right to restrict processing</w:t>
      </w:r>
      <w:r>
        <w:t xml:space="preserve"> </w:t>
      </w:r>
      <w:r>
        <w:t xml:space="preserve">- Right to data portability</w:t>
      </w:r>
      <w:r>
        <w:t xml:space="preserve"> </w:t>
      </w:r>
      <w:r>
        <w:t xml:space="preserve">- Right to object to processing</w:t>
      </w:r>
      <w:r>
        <w:t xml:space="preserve"> </w:t>
      </w:r>
      <w:r>
        <w:t xml:space="preserve">- Right to withdraw consent</w:t>
      </w:r>
      <w:r>
        <w:t xml:space="preserve"> </w:t>
      </w:r>
      <w:r>
        <w:t xml:space="preserve">- Right to lodge a complaint with supervisory authorities</w:t>
      </w:r>
    </w:p>
    <w:bookmarkEnd w:id="26"/>
    <w:bookmarkStart w:id="27" w:name="ccpa-rights-california-residents"/>
    <w:p>
      <w:pPr>
        <w:pStyle w:val="Heading3"/>
      </w:pPr>
      <w:r>
        <w:t xml:space="preserve">6.3 CCPA Rights (California Residents)</w:t>
      </w:r>
    </w:p>
    <w:p>
      <w:pPr>
        <w:pStyle w:val="FirstParagraph"/>
      </w:pPr>
      <w:r>
        <w:t xml:space="preserve">If you are a California resident, you have rights under the California Consumer Privacy Act:</w:t>
      </w:r>
      <w:r>
        <w:t xml:space="preserve"> </w:t>
      </w:r>
      <w:r>
        <w:t xml:space="preserve">- Right to know what personal information is collected and how it’s used</w:t>
      </w:r>
      <w:r>
        <w:t xml:space="preserve"> </w:t>
      </w:r>
      <w:r>
        <w:t xml:space="preserve">- Right to delete personal information</w:t>
      </w:r>
      <w:r>
        <w:t xml:space="preserve"> </w:t>
      </w:r>
      <w:r>
        <w:t xml:space="preserve">- Right to opt out of the sale of personal information</w:t>
      </w:r>
      <w:r>
        <w:t xml:space="preserve"> </w:t>
      </w:r>
      <w:r>
        <w:t xml:space="preserve">- Right to non-discrimination for exercising these rights</w:t>
      </w:r>
    </w:p>
    <w:bookmarkEnd w:id="27"/>
    <w:bookmarkStart w:id="28" w:name="communication-preferences"/>
    <w:p>
      <w:pPr>
        <w:pStyle w:val="Heading3"/>
      </w:pPr>
      <w:r>
        <w:t xml:space="preserve">6.4 Communication Preferences</w:t>
      </w:r>
    </w:p>
    <w:p>
      <w:pPr>
        <w:pStyle w:val="FirstParagraph"/>
      </w:pPr>
      <w:r>
        <w:t xml:space="preserve">You can manage your communication preferences by:</w:t>
      </w:r>
      <w:r>
        <w:t xml:space="preserve"> </w:t>
      </w:r>
      <w:r>
        <w:t xml:space="preserve">- Updating your account settings</w:t>
      </w:r>
      <w:r>
        <w:t xml:space="preserve"> </w:t>
      </w:r>
      <w:r>
        <w:t xml:space="preserve">- Using unsubscribe links in emails</w:t>
      </w:r>
      <w:r>
        <w:t xml:space="preserve"> </w:t>
      </w:r>
      <w:r>
        <w:t xml:space="preserve">- Contacting us directly at [EMAIL]</w:t>
      </w:r>
      <w:r>
        <w:t xml:space="preserve"> </w:t>
      </w:r>
      <w:r>
        <w:t xml:space="preserve">- Managing cookie preferences through browser settings</w:t>
      </w:r>
    </w:p>
    <w:bookmarkEnd w:id="28"/>
    <w:bookmarkEnd w:id="29"/>
    <w:bookmarkStart w:id="30" w:name="security-measures"/>
    <w:p>
      <w:pPr>
        <w:pStyle w:val="Heading2"/>
      </w:pPr>
      <w:r>
        <w:t xml:space="preserve">7. Security Measures</w:t>
      </w:r>
    </w:p>
    <w:p>
      <w:pPr>
        <w:pStyle w:val="FirstParagraph"/>
      </w:pPr>
      <w:r>
        <w:t xml:space="preserve">We implement comprehensive security measures to protect your personal information:</w:t>
      </w:r>
    </w:p>
    <w:p>
      <w:pPr>
        <w:pStyle w:val="BodyText"/>
      </w:pPr>
      <w:r>
        <w:rPr>
          <w:b/>
          <w:bCs/>
        </w:rPr>
        <w:t xml:space="preserve">Technical Safeguards:</w:t>
      </w:r>
      <w:r>
        <w:t xml:space="preserve"> </w:t>
      </w:r>
      <w:r>
        <w:t xml:space="preserve">- Encryption of data in transit and at rest</w:t>
      </w:r>
      <w:r>
        <w:t xml:space="preserve"> </w:t>
      </w:r>
      <w:r>
        <w:t xml:space="preserve">- Secure authentication and access controls</w:t>
      </w:r>
      <w:r>
        <w:t xml:space="preserve"> </w:t>
      </w:r>
      <w:r>
        <w:t xml:space="preserve">- Regular security assessments and penetration testing</w:t>
      </w:r>
      <w:r>
        <w:t xml:space="preserve"> </w:t>
      </w:r>
      <w:r>
        <w:t xml:space="preserve">- Network monitoring and intrusion detection systems</w:t>
      </w:r>
    </w:p>
    <w:p>
      <w:pPr>
        <w:pStyle w:val="BodyText"/>
      </w:pPr>
      <w:r>
        <w:rPr>
          <w:b/>
          <w:bCs/>
        </w:rPr>
        <w:t xml:space="preserve">Administrative Safeguards:</w:t>
      </w:r>
      <w:r>
        <w:t xml:space="preserve"> </w:t>
      </w:r>
      <w:r>
        <w:t xml:space="preserve">- Employee training on privacy and security practices</w:t>
      </w:r>
      <w:r>
        <w:t xml:space="preserve"> </w:t>
      </w:r>
      <w:r>
        <w:t xml:space="preserve">- Strict access controls based on job responsibilities</w:t>
      </w:r>
      <w:r>
        <w:t xml:space="preserve"> </w:t>
      </w:r>
      <w:r>
        <w:t xml:space="preserve">- Regular review and update of security policies</w:t>
      </w:r>
      <w:r>
        <w:t xml:space="preserve"> </w:t>
      </w:r>
      <w:r>
        <w:t xml:space="preserve">- Incident response and breach notification procedures</w:t>
      </w:r>
    </w:p>
    <w:p>
      <w:pPr>
        <w:pStyle w:val="BodyText"/>
      </w:pPr>
      <w:r>
        <w:rPr>
          <w:b/>
          <w:bCs/>
        </w:rPr>
        <w:t xml:space="preserve">Physical Safeguards:</w:t>
      </w:r>
      <w:r>
        <w:t xml:space="preserve"> </w:t>
      </w:r>
      <w:r>
        <w:t xml:space="preserve">- Secured data centers with restricted access</w:t>
      </w:r>
      <w:r>
        <w:t xml:space="preserve"> </w:t>
      </w:r>
      <w:r>
        <w:t xml:space="preserve">- Environmental controls and monitoring systems</w:t>
      </w:r>
      <w:r>
        <w:t xml:space="preserve"> </w:t>
      </w:r>
      <w:r>
        <w:t xml:space="preserve">- Secure disposal of hardware and storage media</w:t>
      </w:r>
    </w:p>
    <w:p>
      <w:pPr>
        <w:pStyle w:val="BodyText"/>
      </w:pPr>
      <w:r>
        <w:t xml:space="preserve">While we strive to protect your information, no security system is completely impenetrable. We continuously monitor and improve our security practices.</w:t>
      </w:r>
    </w:p>
    <w:bookmarkEnd w:id="30"/>
    <w:bookmarkStart w:id="31" w:name="international-data-transfers"/>
    <w:p>
      <w:pPr>
        <w:pStyle w:val="Heading2"/>
      </w:pPr>
      <w:r>
        <w:t xml:space="preserve">8. International Data Transfers</w:t>
      </w:r>
    </w:p>
    <w:p>
      <w:pPr>
        <w:pStyle w:val="FirstParagraph"/>
      </w:pPr>
      <w:r>
        <w:t xml:space="preserve">Connie operates globally and may transfer personal information to countries other than your country of residence. When we transfer personal information internationally, we implement appropriate safeguards to protect your data:</w:t>
      </w:r>
    </w:p>
    <w:p>
      <w:pPr>
        <w:pStyle w:val="BodyText"/>
      </w:pPr>
      <w:r>
        <w:rPr>
          <w:b/>
          <w:bCs/>
        </w:rPr>
        <w:t xml:space="preserve">Transfer Mechanisms:</w:t>
      </w:r>
      <w:r>
        <w:t xml:space="preserve"> </w:t>
      </w:r>
      <w:r>
        <w:t xml:space="preserve">- Standard Contractual Clauses (SCCs)</w:t>
      </w:r>
      <w:r>
        <w:t xml:space="preserve"> </w:t>
      </w:r>
      <w:r>
        <w:t xml:space="preserve">- Adequacy decisions by regulatory authorities</w:t>
      </w:r>
      <w:r>
        <w:t xml:space="preserve"> </w:t>
      </w:r>
      <w:r>
        <w:t xml:space="preserve">- Binding Corporate Rules (where applicable)</w:t>
      </w:r>
      <w:r>
        <w:t xml:space="preserve"> </w:t>
      </w:r>
      <w:r>
        <w:t xml:space="preserve">- Consent for specific transfers</w:t>
      </w:r>
    </w:p>
    <w:p>
      <w:pPr>
        <w:pStyle w:val="BodyText"/>
      </w:pPr>
      <w:r>
        <w:rPr>
          <w:b/>
          <w:bCs/>
        </w:rPr>
        <w:t xml:space="preserve">Data Processing Locations:</w:t>
      </w:r>
      <w:r>
        <w:t xml:space="preserve"> </w:t>
      </w:r>
      <w:r>
        <w:t xml:space="preserve">Our primary data processing occurs in the United States, with additional processing in [OTHER COUNTRIES] as necessary to provide our services.</w:t>
      </w:r>
    </w:p>
    <w:bookmarkEnd w:id="31"/>
    <w:bookmarkStart w:id="32" w:name="childrens-privacy"/>
    <w:p>
      <w:pPr>
        <w:pStyle w:val="Heading2"/>
      </w:pPr>
      <w:r>
        <w:t xml:space="preserve">9. Children’s Privacy</w:t>
      </w:r>
    </w:p>
    <w:p>
      <w:pPr>
        <w:pStyle w:val="FirstParagraph"/>
      </w:pPr>
      <w:r>
        <w:t xml:space="preserve">Our services are designed for organizations and are not intended for use by individuals under the age of 16. We do not knowingly collect personal information from children under 16 without verifiable parental consent.</w:t>
      </w:r>
    </w:p>
    <w:p>
      <w:pPr>
        <w:pStyle w:val="BodyText"/>
      </w:pPr>
      <w:r>
        <w:t xml:space="preserve">If we become aware that we have collected personal information from a child under 16 without appropriate consent, we will take steps to delete such information promptly.</w:t>
      </w:r>
    </w:p>
    <w:p>
      <w:pPr>
        <w:pStyle w:val="BodyText"/>
      </w:pPr>
      <w:r>
        <w:t xml:space="preserve">Organizations using our platform are responsible for ensuring compliance with applicable children’s privacy laws for any communications involving minors.</w:t>
      </w:r>
    </w:p>
    <w:bookmarkEnd w:id="32"/>
    <w:bookmarkStart w:id="33" w:name="third-party-services"/>
    <w:p>
      <w:pPr>
        <w:pStyle w:val="Heading2"/>
      </w:pPr>
      <w:r>
        <w:t xml:space="preserve">10. Third-Party Services</w:t>
      </w:r>
    </w:p>
    <w:p>
      <w:pPr>
        <w:pStyle w:val="FirstParagraph"/>
      </w:pPr>
      <w:r>
        <w:t xml:space="preserve">Our Sites and services may contain links to third-party websites, applications, or services that are not owned or controlled by Connie. This Privacy Notice does not apply to these third-party services.</w:t>
      </w:r>
    </w:p>
    <w:p>
      <w:pPr>
        <w:pStyle w:val="BodyText"/>
      </w:pPr>
      <w:r>
        <w:rPr>
          <w:b/>
          <w:bCs/>
        </w:rPr>
        <w:t xml:space="preserve">Key Third-Party Integrations:</w:t>
      </w:r>
      <w:r>
        <w:t xml:space="preserve"> </w:t>
      </w:r>
      <w:r>
        <w:t xml:space="preserve">- Telecommunications providers (Twilio, carrier partners)</w:t>
      </w:r>
      <w:r>
        <w:t xml:space="preserve"> </w:t>
      </w:r>
      <w:r>
        <w:t xml:space="preserve">- Email service providers (Mailgun, SendGrid, SMTP2GO)</w:t>
      </w:r>
      <w:r>
        <w:t xml:space="preserve"> </w:t>
      </w:r>
      <w:r>
        <w:t xml:space="preserve">- Document services (Adobe Acrobat Sign)</w:t>
      </w:r>
      <w:r>
        <w:t xml:space="preserve"> </w:t>
      </w:r>
      <w:r>
        <w:t xml:space="preserve">- Analytics providers (Google Analytics)</w:t>
      </w:r>
      <w:r>
        <w:t xml:space="preserve"> </w:t>
      </w:r>
      <w:r>
        <w:t xml:space="preserve">- Social media platforms</w:t>
      </w:r>
    </w:p>
    <w:p>
      <w:pPr>
        <w:pStyle w:val="BodyText"/>
      </w:pPr>
      <w:r>
        <w:t xml:space="preserve">We encourage you to review the privacy policies of any third-party services you access through our platform.</w:t>
      </w:r>
    </w:p>
    <w:bookmarkEnd w:id="33"/>
    <w:bookmarkStart w:id="36" w:name="cookies-and-tracking-technologies"/>
    <w:p>
      <w:pPr>
        <w:pStyle w:val="Heading2"/>
      </w:pPr>
      <w:r>
        <w:t xml:space="preserve">11. Cookies and Tracking Technologies</w:t>
      </w:r>
    </w:p>
    <w:p>
      <w:pPr>
        <w:pStyle w:val="FirstParagraph"/>
      </w:pPr>
      <w:r>
        <w:t xml:space="preserve">We use cookies and similar tracking technologies to enhance your experience and analyze usage patterns.</w:t>
      </w:r>
    </w:p>
    <w:bookmarkStart w:id="34" w:name="types-of-cookies-we-use"/>
    <w:p>
      <w:pPr>
        <w:pStyle w:val="Heading3"/>
      </w:pPr>
      <w:r>
        <w:t xml:space="preserve">11.1 Types of Cookies We Use</w:t>
      </w:r>
    </w:p>
    <w:p>
      <w:pPr>
        <w:pStyle w:val="FirstParagraph"/>
      </w:pPr>
      <w:r>
        <w:rPr>
          <w:b/>
          <w:bCs/>
        </w:rPr>
        <w:t xml:space="preserve">Essential Cookies:</w:t>
      </w:r>
      <w:r>
        <w:t xml:space="preserve"> </w:t>
      </w:r>
      <w:r>
        <w:t xml:space="preserve">Required for basic site functionality and security</w:t>
      </w:r>
      <w:r>
        <w:t xml:space="preserve"> </w:t>
      </w:r>
      <w:r>
        <w:rPr>
          <w:b/>
          <w:bCs/>
        </w:rPr>
        <w:t xml:space="preserve">Functional Cookies:</w:t>
      </w:r>
      <w:r>
        <w:t xml:space="preserve"> </w:t>
      </w:r>
      <w:r>
        <w:t xml:space="preserve">Enable enhanced features and personalization</w:t>
      </w:r>
      <w:r>
        <w:t xml:space="preserve"> </w:t>
      </w:r>
      <w:r>
        <w:rPr>
          <w:b/>
          <w:bCs/>
        </w:rPr>
        <w:t xml:space="preserve">Analytics Cookies:</w:t>
      </w:r>
      <w:r>
        <w:t xml:space="preserve"> </w:t>
      </w:r>
      <w:r>
        <w:t xml:space="preserve">Help us understand site usage and performance</w:t>
      </w:r>
      <w:r>
        <w:t xml:space="preserve"> </w:t>
      </w:r>
      <w:r>
        <w:rPr>
          <w:b/>
          <w:bCs/>
        </w:rPr>
        <w:t xml:space="preserve">Marketing Cookies:</w:t>
      </w:r>
      <w:r>
        <w:t xml:space="preserve"> </w:t>
      </w:r>
      <w:r>
        <w:t xml:space="preserve">Support targeted advertising and marketing campaigns</w:t>
      </w:r>
    </w:p>
    <w:bookmarkEnd w:id="34"/>
    <w:bookmarkStart w:id="35" w:name="cookie-management"/>
    <w:p>
      <w:pPr>
        <w:pStyle w:val="Heading3"/>
      </w:pPr>
      <w:r>
        <w:t xml:space="preserve">11.2 Cookie Management</w:t>
      </w:r>
    </w:p>
    <w:p>
      <w:pPr>
        <w:pStyle w:val="FirstParagraph"/>
      </w:pPr>
      <w:r>
        <w:t xml:space="preserve">You can control cookies through your browser settings:</w:t>
      </w:r>
      <w:r>
        <w:t xml:space="preserve"> </w:t>
      </w:r>
      <w:r>
        <w:t xml:space="preserve">- Block all cookies (may affect site functionality)</w:t>
      </w:r>
      <w:r>
        <w:t xml:space="preserve"> </w:t>
      </w:r>
      <w:r>
        <w:t xml:space="preserve">- Accept only first-party cookies</w:t>
      </w:r>
      <w:r>
        <w:t xml:space="preserve"> </w:t>
      </w:r>
      <w:r>
        <w:t xml:space="preserve">- Delete existing cookies</w:t>
      </w:r>
      <w:r>
        <w:t xml:space="preserve"> </w:t>
      </w:r>
      <w:r>
        <w:t xml:space="preserve">- Receive notifications when cookies are set</w:t>
      </w:r>
    </w:p>
    <w:p>
      <w:pPr>
        <w:pStyle w:val="BodyText"/>
      </w:pPr>
      <w:r>
        <w:t xml:space="preserve">For more information about managing cookies, visit [COOKIE POLICY LINK].</w:t>
      </w:r>
    </w:p>
    <w:bookmarkEnd w:id="35"/>
    <w:bookmarkEnd w:id="36"/>
    <w:bookmarkStart w:id="39" w:name="marketing-communications"/>
    <w:p>
      <w:pPr>
        <w:pStyle w:val="Heading2"/>
      </w:pPr>
      <w:r>
        <w:t xml:space="preserve">12. Marketing Communications</w:t>
      </w:r>
    </w:p>
    <w:bookmarkStart w:id="37" w:name="types-of-communications"/>
    <w:p>
      <w:pPr>
        <w:pStyle w:val="Heading3"/>
      </w:pPr>
      <w:r>
        <w:t xml:space="preserve">12.1 Types of Communications</w:t>
      </w:r>
    </w:p>
    <w:p>
      <w:pPr>
        <w:pStyle w:val="FirstParagraph"/>
      </w:pPr>
      <w:r>
        <w:t xml:space="preserve">We may send you marketing communications about:</w:t>
      </w:r>
      <w:r>
        <w:t xml:space="preserve"> </w:t>
      </w:r>
      <w:r>
        <w:t xml:space="preserve">- Product updates and new features</w:t>
      </w:r>
      <w:r>
        <w:t xml:space="preserve"> </w:t>
      </w:r>
      <w:r>
        <w:t xml:space="preserve">- Educational content and best practices</w:t>
      </w:r>
      <w:r>
        <w:t xml:space="preserve"> </w:t>
      </w:r>
      <w:r>
        <w:t xml:space="preserve">- Webinars, events, and training opportunities</w:t>
      </w:r>
      <w:r>
        <w:t xml:space="preserve"> </w:t>
      </w:r>
      <w:r>
        <w:t xml:space="preserve">- Industry news and insights</w:t>
      </w:r>
      <w:r>
        <w:t xml:space="preserve"> </w:t>
      </w:r>
      <w:r>
        <w:t xml:space="preserve">- Special offers and promotions</w:t>
      </w:r>
    </w:p>
    <w:bookmarkEnd w:id="37"/>
    <w:bookmarkStart w:id="38" w:name="opt-out-options"/>
    <w:p>
      <w:pPr>
        <w:pStyle w:val="Heading3"/>
      </w:pPr>
      <w:r>
        <w:t xml:space="preserve">12.2 Opt-Out Options</w:t>
      </w:r>
    </w:p>
    <w:p>
      <w:pPr>
        <w:pStyle w:val="FirstParagraph"/>
      </w:pPr>
      <w:r>
        <w:t xml:space="preserve">You can opt out of marketing communications by:</w:t>
      </w:r>
      <w:r>
        <w:t xml:space="preserve"> </w:t>
      </w:r>
      <w:r>
        <w:t xml:space="preserve">- Clicking unsubscribe links in emails</w:t>
      </w:r>
      <w:r>
        <w:t xml:space="preserve"> </w:t>
      </w:r>
      <w:r>
        <w:t xml:space="preserve">- Updating your account communication preferences</w:t>
      </w:r>
      <w:r>
        <w:t xml:space="preserve"> </w:t>
      </w:r>
      <w:r>
        <w:t xml:space="preserve">- Contacting us at [EMAIL]</w:t>
      </w:r>
      <w:r>
        <w:t xml:space="preserve"> </w:t>
      </w:r>
      <w:r>
        <w:t xml:space="preserve">- Calling us at [PHONE]</w:t>
      </w:r>
    </w:p>
    <w:p>
      <w:pPr>
        <w:pStyle w:val="BodyText"/>
      </w:pPr>
      <w:r>
        <w:t xml:space="preserve">Please note that even if you opt out of marketing communications, we may still send you service-related notifications and account updates.</w:t>
      </w:r>
    </w:p>
    <w:bookmarkEnd w:id="38"/>
    <w:bookmarkEnd w:id="39"/>
    <w:bookmarkStart w:id="40" w:name="changes-to-this-privacy-notice"/>
    <w:p>
      <w:pPr>
        <w:pStyle w:val="Heading2"/>
      </w:pPr>
      <w:r>
        <w:t xml:space="preserve">13. Changes to This Privacy Notice</w:t>
      </w:r>
    </w:p>
    <w:p>
      <w:pPr>
        <w:pStyle w:val="FirstParagraph"/>
      </w:pPr>
      <w:r>
        <w:t xml:space="preserve">We may update this Privacy Notice from time to time to reflect changes in our practices, services, or legal requirements. We will notify you of material changes by:</w:t>
      </w:r>
    </w:p>
    <w:p>
      <w:pPr>
        <w:pStyle w:val="Compact"/>
        <w:numPr>
          <w:ilvl w:val="0"/>
          <w:numId w:val="1005"/>
        </w:numPr>
      </w:pPr>
      <w:r>
        <w:t xml:space="preserve">Posting an updated notice on our website</w:t>
      </w:r>
    </w:p>
    <w:p>
      <w:pPr>
        <w:pStyle w:val="Compact"/>
        <w:numPr>
          <w:ilvl w:val="0"/>
          <w:numId w:val="1005"/>
        </w:numPr>
      </w:pPr>
      <w:r>
        <w:t xml:space="preserve">Sending email notifications to registered users</w:t>
      </w:r>
    </w:p>
    <w:p>
      <w:pPr>
        <w:pStyle w:val="Compact"/>
        <w:numPr>
          <w:ilvl w:val="0"/>
          <w:numId w:val="1005"/>
        </w:numPr>
      </w:pPr>
      <w:r>
        <w:t xml:space="preserve">Displaying prominent notices in our services</w:t>
      </w:r>
    </w:p>
    <w:p>
      <w:pPr>
        <w:pStyle w:val="Compact"/>
        <w:numPr>
          <w:ilvl w:val="0"/>
          <w:numId w:val="1005"/>
        </w:numPr>
      </w:pPr>
      <w:r>
        <w:t xml:space="preserve">Providing advance notice for significant changes</w:t>
      </w:r>
    </w:p>
    <w:p>
      <w:pPr>
        <w:pStyle w:val="FirstParagraph"/>
      </w:pPr>
      <w:r>
        <w:t xml:space="preserve">Your continued use of our services after changes become effective constitutes acceptance of the updated Privacy Notice.</w:t>
      </w:r>
    </w:p>
    <w:bookmarkEnd w:id="40"/>
    <w:bookmarkStart w:id="44" w:name="contact-information"/>
    <w:p>
      <w:pPr>
        <w:pStyle w:val="Heading2"/>
      </w:pPr>
      <w:r>
        <w:t xml:space="preserve">14. Contact Information</w:t>
      </w:r>
    </w:p>
    <w:bookmarkStart w:id="41" w:name="privacy-officer"/>
    <w:p>
      <w:pPr>
        <w:pStyle w:val="Heading3"/>
      </w:pPr>
      <w:r>
        <w:t xml:space="preserve">14.1 Privacy Officer</w:t>
      </w:r>
    </w:p>
    <w:p>
      <w:pPr>
        <w:pStyle w:val="FirstParagraph"/>
      </w:pPr>
      <w:r>
        <w:t xml:space="preserve">If you have questions, concerns, or requests regarding this Privacy Notice or our privacy practices, please contact our Privacy Officer:</w:t>
      </w:r>
    </w:p>
    <w:p>
      <w:pPr>
        <w:pStyle w:val="BodyText"/>
      </w:pPr>
      <w:r>
        <w:rPr>
          <w:b/>
          <w:bCs/>
        </w:rPr>
        <w:t xml:space="preserve">Email:</w:t>
      </w:r>
      <w:r>
        <w:t xml:space="preserve"> </w:t>
      </w:r>
      <w:r>
        <w:t xml:space="preserve">[PRIVACY_EMAIL]</w:t>
      </w:r>
      <w:r>
        <w:br/>
      </w:r>
      <w:r>
        <w:rPr>
          <w:b/>
          <w:bCs/>
        </w:rPr>
        <w:t xml:space="preserve">Phone:</w:t>
      </w:r>
      <w:r>
        <w:t xml:space="preserve"> </w:t>
      </w:r>
      <w:r>
        <w:t xml:space="preserve">[PHONE]</w:t>
      </w:r>
      <w:r>
        <w:br/>
      </w:r>
      <w:r>
        <w:rPr>
          <w:b/>
          <w:bCs/>
        </w:rPr>
        <w:t xml:space="preserve">Address:</w:t>
      </w:r>
      <w:r>
        <w:t xml:space="preserve"> </w:t>
      </w:r>
      <w:r>
        <w:t xml:space="preserve">[ADDRESS]</w:t>
      </w:r>
    </w:p>
    <w:bookmarkEnd w:id="41"/>
    <w:bookmarkStart w:id="42" w:name="data-protection-representative-eu"/>
    <w:p>
      <w:pPr>
        <w:pStyle w:val="Heading3"/>
      </w:pPr>
      <w:r>
        <w:t xml:space="preserve">14.2 Data Protection Representative (EU)</w:t>
      </w:r>
    </w:p>
    <w:p>
      <w:pPr>
        <w:pStyle w:val="FirstParagraph"/>
      </w:pPr>
      <w:r>
        <w:t xml:space="preserve">For EU residents, our Data Protection Representative can be reached at:</w:t>
      </w:r>
      <w:r>
        <w:t xml:space="preserve"> </w:t>
      </w:r>
      <w:r>
        <w:rPr>
          <w:b/>
          <w:bCs/>
        </w:rPr>
        <w:t xml:space="preserve">Email:</w:t>
      </w:r>
      <w:r>
        <w:t xml:space="preserve"> </w:t>
      </w:r>
      <w:r>
        <w:t xml:space="preserve">[EU_REP_EMAIL]</w:t>
      </w:r>
      <w:r>
        <w:br/>
      </w:r>
      <w:r>
        <w:rPr>
          <w:b/>
          <w:bCs/>
        </w:rPr>
        <w:t xml:space="preserve">Address:</w:t>
      </w:r>
      <w:r>
        <w:t xml:space="preserve"> </w:t>
      </w:r>
      <w:r>
        <w:t xml:space="preserve">[EU_REP_ADDRESS]</w:t>
      </w:r>
    </w:p>
    <w:bookmarkEnd w:id="42"/>
    <w:bookmarkStart w:id="43" w:name="response-times"/>
    <w:p>
      <w:pPr>
        <w:pStyle w:val="Heading3"/>
      </w:pPr>
      <w:r>
        <w:t xml:space="preserve">14.3 Response Times</w:t>
      </w:r>
    </w:p>
    <w:p>
      <w:pPr>
        <w:pStyle w:val="FirstParagraph"/>
      </w:pPr>
      <w:r>
        <w:t xml:space="preserve">We strive to respond to privacy inquiries within:</w:t>
      </w:r>
      <w:r>
        <w:t xml:space="preserve"> </w:t>
      </w:r>
      <w:r>
        <w:t xml:space="preserve">- 30 days for general inquiries</w:t>
      </w:r>
      <w:r>
        <w:t xml:space="preserve"> </w:t>
      </w:r>
      <w:r>
        <w:t xml:space="preserve">- 30 days for GDPR requests (may be extended to 90 days for complex requests)</w:t>
      </w:r>
      <w:r>
        <w:t xml:space="preserve"> </w:t>
      </w:r>
      <w:r>
        <w:t xml:space="preserve">- 45 days for CCPA requests (may be extended to 90 days with notice)</w:t>
      </w:r>
    </w:p>
    <w:p>
      <w:r>
        <w:pict>
          <v:rect style="width:0;height:1.5pt" o:hralign="center" o:hrstd="t" o:hr="t"/>
        </w:pict>
      </w:r>
    </w:p>
    <w:p>
      <w:pPr>
        <w:pStyle w:val="FirstParagraph"/>
      </w:pPr>
      <w:r>
        <w:rPr>
          <w:b/>
          <w:bCs/>
        </w:rPr>
        <w:t xml:space="preserve">ConnieML, Inc.</w:t>
      </w:r>
      <w:r>
        <w:br/>
      </w:r>
      <w:r>
        <w:rPr>
          <w:i/>
          <w:iCs/>
        </w:rPr>
        <w:t xml:space="preserve">Empowering Community-Based Organizations Through Secure Communication Technology</w:t>
      </w:r>
    </w:p>
    <w:p>
      <w:pPr>
        <w:pStyle w:val="BodyText"/>
      </w:pPr>
      <w:r>
        <w:rPr>
          <w:b/>
          <w:bCs/>
        </w:rPr>
        <w:t xml:space="preserve">Document Version:</w:t>
      </w:r>
      <w:r>
        <w:t xml:space="preserve"> </w:t>
      </w:r>
      <w:r>
        <w:t xml:space="preserve">1.0</w:t>
      </w:r>
      <w:r>
        <w:br/>
      </w:r>
      <w:r>
        <w:rPr>
          <w:b/>
          <w:bCs/>
        </w:rPr>
        <w:t xml:space="preserve">Classification:</w:t>
      </w:r>
      <w:r>
        <w:t xml:space="preserve"> </w:t>
      </w:r>
      <w:r>
        <w:t xml:space="preserve">Public</w:t>
      </w:r>
      <w:r>
        <w:br/>
      </w:r>
      <w:r>
        <w:rPr>
          <w:b/>
          <w:bCs/>
        </w:rPr>
        <w:t xml:space="preserve">Review Cycle:</w:t>
      </w:r>
      <w:r>
        <w:t xml:space="preserve"> </w:t>
      </w:r>
      <w:r>
        <w:t xml:space="preserve">Annual</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2025-08-27T11:15:19Z</dcterms:created>
  <dcterms:modified xsi:type="dcterms:W3CDTF">2025-08-27T11:15:19Z</dcterms:modified>
</cp:coreProperties>
</file>

<file path=docProps/custom.xml><?xml version="1.0" encoding="utf-8"?>
<Properties xmlns="http://schemas.openxmlformats.org/officeDocument/2006/custom-properties" xmlns:vt="http://schemas.openxmlformats.org/officeDocument/2006/docPropsVTypes"/>
</file>