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u w:val="single"/>
          <w:rtl w:val="0"/>
        </w:rPr>
        <w:t xml:space="preserve">Singh Individual Issue Test Guide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Testing music features of “Singularity” GUI can be complex but can be done by comparing audio file wave forms.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understand that the background music is chosen randomly from a dictionary containing different .ogg and .mp3 files. First thing to do is make note of which particular .ogg/.mp3 file was selected so that it can be compared to the song that is playing in the GUI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do this you can make note of the path and/or simply make note of the .ogg/.mp3 file that is being passed to the play_music parameter. After making note, use a package like scipy.signal to analyze the wave form and store that wave form for comparison later on in the test.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Next we need to identify the song that is playing in the “Singularity” GUI and compare that wave form to the previous wave form. If the waveforms match then the test is successful. If the wave forms do not match, then the song that we thought was playing in the GUI background is not accurate and the test fails.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