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svg" ContentType="image/svg"/>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CS 405 Project Two Script Template</w:t>
      </w:r>
    </w:p>
    <w:p>
      <w:pPr>
        <w:pStyle w:val="Normal"/>
        <w:suppressAutoHyphens w:val="true"/>
        <w:spacing w:lineRule="auto" w:line="240" w:before="0" w:after="0"/>
        <w:jc w:val="center"/>
        <w:rPr>
          <w:b/>
        </w:rPr>
      </w:pPr>
      <w:r>
        <w:rPr>
          <w:b/>
        </w:rPr>
      </w:r>
    </w:p>
    <w:p>
      <w:pPr>
        <w:pStyle w:val="Normal"/>
        <w:suppressAutoHyphens w:val="true"/>
        <w:spacing w:lineRule="auto" w:line="240" w:before="0" w:after="0"/>
        <w:jc w:val="center"/>
        <w:rPr/>
      </w:pPr>
      <w:r>
        <w:rPr/>
        <w:t>Connor Holohan</w:t>
      </w:r>
    </w:p>
    <w:p>
      <w:pPr>
        <w:pStyle w:val="Normal"/>
        <w:suppressAutoHyphens w:val="true"/>
        <w:spacing w:lineRule="auto" w:line="240" w:before="0" w:after="0"/>
        <w:jc w:val="center"/>
        <w:rPr/>
      </w:pPr>
      <w:r>
        <w:rPr/>
        <w:t>2/20/2026</w:t>
      </w:r>
    </w:p>
    <w:p>
      <w:pPr>
        <w:pStyle w:val="Normal"/>
        <w:suppressAutoHyphens w:val="true"/>
        <w:spacing w:lineRule="auto" w:line="240" w:before="0" w:after="0"/>
        <w:jc w:val="center"/>
        <w:rPr>
          <w:b/>
        </w:rPr>
      </w:pPr>
      <w:r>
        <w:rPr>
          <w:b/>
        </w:rPr>
      </w:r>
    </w:p>
    <w:tbl>
      <w:tblPr>
        <w:tblStyle w:val="a"/>
        <w:tblW w:w="9570"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2114"/>
        <w:gridCol w:w="7455"/>
      </w:tblGrid>
      <w:tr>
        <w:trPr>
          <w:tblHeader w:val="true"/>
          <w:trHeight w:val="1373"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Slide Number</w:t>
            </w:r>
          </w:p>
        </w:tc>
        <w:tc>
          <w:tcPr>
            <w:tcW w:w="7455"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Narrative</w:t>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1</w:t>
            </w:r>
          </w:p>
        </w:tc>
        <w:tc>
          <w:tcPr>
            <w:tcW w:w="7455" w:type="dxa"/>
            <w:tcBorders>
              <w:top w:val="single" w:sz="4" w:space="0" w:color="000000"/>
              <w:left w:val="single" w:sz="4" w:space="0" w:color="000000"/>
              <w:bottom w:val="single" w:sz="4" w:space="0" w:color="000000"/>
              <w:right w:val="single" w:sz="4" w:space="0" w:color="000000"/>
            </w:tcBorders>
          </w:tcPr>
          <w:p>
            <w:pPr>
              <w:pStyle w:val="Normal"/>
              <w:suppressAutoHyphens w:val="true"/>
              <w:rPr/>
            </w:pPr>
            <w:r>
              <w:rPr/>
              <w:t xml:space="preserve">Hello, my name is Connor Holohan, and this is my presentation on the Green Pace Secure Development Policy. In this presentation, I will summarize the security policy I created, explain the risks it addresses, demonstrate how automation supports secure development, and outline recommendations for strengthening security moving forward. </w:t>
            </w:r>
          </w:p>
          <w:p>
            <w:pPr>
              <w:pStyle w:val="Normal"/>
              <w:suppressAutoHyphens w:val="true"/>
              <w:rPr/>
            </w:pPr>
            <w:r>
              <w:rPr/>
            </w:r>
          </w:p>
          <w:p>
            <w:pPr>
              <w:pStyle w:val="Normal"/>
              <w:suppressAutoHyphens w:val="true"/>
              <w:spacing w:before="0" w:after="160"/>
              <w:rPr/>
            </w:pPr>
            <w:r>
              <w:rPr/>
            </w:r>
          </w:p>
        </w:tc>
      </w:tr>
      <w:tr>
        <w:trPr>
          <w:trHeight w:val="1373"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2</w:t>
            </w:r>
          </w:p>
        </w:tc>
        <w:tc>
          <w:tcPr>
            <w:tcW w:w="7455" w:type="dxa"/>
            <w:tcBorders>
              <w:top w:val="single" w:sz="4" w:space="0" w:color="000000"/>
              <w:left w:val="single" w:sz="4" w:space="0" w:color="000000"/>
              <w:bottom w:val="single" w:sz="4" w:space="0" w:color="000000"/>
              <w:right w:val="single" w:sz="4" w:space="0" w:color="000000"/>
            </w:tcBorders>
          </w:tcPr>
          <w:p>
            <w:pPr>
              <w:pStyle w:val="Normal"/>
              <w:suppressAutoHyphens w:val="true"/>
              <w:rPr/>
            </w:pPr>
            <w:r>
              <w:rPr/>
              <w:t xml:space="preserve">The Green Pace security policy was created to standardize secure coding practices across all development teams. The goal is to prevent vulnerabilities early instead of fixing them after deployment. This supports a defense-in-depth approach, meaning we use multiple layers of security so if one control fails, another still protects the system. </w:t>
            </w:r>
          </w:p>
          <w:p>
            <w:pPr>
              <w:pStyle w:val="Normal"/>
              <w:widowControl/>
              <w:bidi w:val="0"/>
              <w:spacing w:lineRule="auto" w:line="259" w:before="0" w:after="160"/>
              <w:jc w:val="left"/>
              <w:rPr/>
            </w:pPr>
            <w:r>
              <w:rPr/>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3</w:t>
            </w:r>
          </w:p>
        </w:tc>
        <w:tc>
          <w:tcPr>
            <w:tcW w:w="7455"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0" w:after="160"/>
              <w:rPr/>
            </w:pPr>
            <w:r>
              <w:rPr/>
              <w:t xml:space="preserve">The main risks identified include uninitialized memory, integer overflow, unsafe pointer arithmetic, command injection from system calls, file misuse, and unsafe type conversions. High-risk issues like command injection and integer overflow are prioritized because they can lead to serious exploits. Automation tools such as SonarQube, CodeQL, and clang-tidy are used in the CI pipeline to automatically detect these issues before code is merged. </w:t>
            </w:r>
          </w:p>
        </w:tc>
      </w:tr>
      <w:tr>
        <w:trPr>
          <w:trHeight w:val="1373"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4</w:t>
            </w:r>
          </w:p>
        </w:tc>
        <w:tc>
          <w:tcPr>
            <w:tcW w:w="7455" w:type="dxa"/>
            <w:tcBorders>
              <w:top w:val="single" w:sz="4" w:space="0" w:color="000000"/>
              <w:left w:val="single" w:sz="4" w:space="0" w:color="000000"/>
              <w:bottom w:val="single" w:sz="4" w:space="0" w:color="000000"/>
              <w:right w:val="single" w:sz="4" w:space="0" w:color="000000"/>
            </w:tcBorders>
          </w:tcPr>
          <w:p>
            <w:pPr>
              <w:pStyle w:val="BodyText"/>
              <w:suppressAutoHyphens w:val="true"/>
              <w:rPr/>
            </w:pPr>
            <w:r>
              <w:rPr/>
              <w:t>The policy is based on 10 core security principles, including validating input, least privilege, default deny, defense in depth, and secure coding standards.</w:t>
            </w:r>
          </w:p>
          <w:p>
            <w:pPr>
              <w:pStyle w:val="BodyText"/>
              <w:rPr/>
            </w:pPr>
            <w:r>
              <w:rPr/>
              <w:t>Each coding standard supports one or more principles. For example, preventing system() use supports default deny and defense in depth. Preventing integer overflow supports input validation and secure coding standards. This shows that the standards are directly connected to strong security principles.</w:t>
            </w:r>
          </w:p>
          <w:p>
            <w:pPr>
              <w:pStyle w:val="Normal"/>
              <w:suppressAutoHyphens w:val="true"/>
              <w:rPr/>
            </w:pPr>
            <w:r>
              <w:rPr/>
              <w:t>They are as follows,</w:t>
            </w:r>
          </w:p>
          <w:p>
            <w:pPr>
              <w:pStyle w:val="BodyText"/>
              <w:suppressAutoHyphens w:val="true"/>
              <w:rPr/>
            </w:pPr>
            <w:r>
              <w:rPr>
                <w:rStyle w:val="Strong"/>
              </w:rPr>
              <w:t>Validate Input Data</w:t>
            </w:r>
            <w:r>
              <w:rPr/>
              <w:t xml:space="preserve"> – Never trust user input; always check format, type, and range.</w:t>
            </w:r>
          </w:p>
          <w:p>
            <w:pPr>
              <w:pStyle w:val="BodyText"/>
              <w:numPr>
                <w:ilvl w:val="0"/>
                <w:numId w:val="1"/>
              </w:numPr>
              <w:tabs>
                <w:tab w:val="clear" w:pos="720"/>
                <w:tab w:val="left" w:pos="0" w:leader="none"/>
              </w:tabs>
              <w:ind w:hanging="283" w:left="720"/>
              <w:rPr/>
            </w:pPr>
            <w:r>
              <w:rPr>
                <w:rStyle w:val="Strong"/>
              </w:rPr>
              <w:t>Heed Compiler Warnings</w:t>
            </w:r>
            <w:r>
              <w:rPr/>
              <w:t xml:space="preserve"> – Treat warnings as potential security issues and fix them.</w:t>
            </w:r>
          </w:p>
          <w:p>
            <w:pPr>
              <w:pStyle w:val="BodyText"/>
              <w:numPr>
                <w:ilvl w:val="0"/>
                <w:numId w:val="2"/>
              </w:numPr>
              <w:tabs>
                <w:tab w:val="clear" w:pos="720"/>
                <w:tab w:val="left" w:pos="0" w:leader="none"/>
              </w:tabs>
              <w:ind w:hanging="283" w:left="720"/>
              <w:rPr/>
            </w:pPr>
            <w:r>
              <w:rPr>
                <w:rStyle w:val="Strong"/>
              </w:rPr>
              <w:t>Design for Security</w:t>
            </w:r>
            <w:r>
              <w:rPr/>
              <w:t xml:space="preserve"> – Build security into the system from the beginning.</w:t>
            </w:r>
          </w:p>
          <w:p>
            <w:pPr>
              <w:pStyle w:val="BodyText"/>
              <w:numPr>
                <w:ilvl w:val="0"/>
                <w:numId w:val="3"/>
              </w:numPr>
              <w:tabs>
                <w:tab w:val="clear" w:pos="720"/>
                <w:tab w:val="left" w:pos="0" w:leader="none"/>
              </w:tabs>
              <w:ind w:hanging="283" w:left="720"/>
              <w:rPr/>
            </w:pPr>
            <w:r>
              <w:rPr>
                <w:rStyle w:val="Strong"/>
              </w:rPr>
              <w:t>Keep It Simple</w:t>
            </w:r>
            <w:r>
              <w:rPr/>
              <w:t xml:space="preserve"> – Simple code is easier to secure and maintain.</w:t>
            </w:r>
          </w:p>
          <w:p>
            <w:pPr>
              <w:pStyle w:val="BodyText"/>
              <w:numPr>
                <w:ilvl w:val="0"/>
                <w:numId w:val="4"/>
              </w:numPr>
              <w:tabs>
                <w:tab w:val="clear" w:pos="720"/>
                <w:tab w:val="left" w:pos="0" w:leader="none"/>
              </w:tabs>
              <w:ind w:hanging="283" w:left="720"/>
              <w:rPr/>
            </w:pPr>
            <w:r>
              <w:rPr>
                <w:rStyle w:val="Strong"/>
              </w:rPr>
              <w:t>Default Deny</w:t>
            </w:r>
            <w:r>
              <w:rPr/>
              <w:t xml:space="preserve"> – Deny access unless it is explicitly allowed.</w:t>
            </w:r>
          </w:p>
          <w:p>
            <w:pPr>
              <w:pStyle w:val="BodyText"/>
              <w:numPr>
                <w:ilvl w:val="0"/>
                <w:numId w:val="5"/>
              </w:numPr>
              <w:tabs>
                <w:tab w:val="clear" w:pos="720"/>
                <w:tab w:val="left" w:pos="0" w:leader="none"/>
              </w:tabs>
              <w:ind w:hanging="283" w:left="720"/>
              <w:rPr/>
            </w:pPr>
            <w:r>
              <w:rPr>
                <w:rStyle w:val="Strong"/>
              </w:rPr>
              <w:t>Least Privilege</w:t>
            </w:r>
            <w:r>
              <w:rPr/>
              <w:t xml:space="preserve"> – Give users and systems only the access they need.</w:t>
            </w:r>
          </w:p>
          <w:p>
            <w:pPr>
              <w:pStyle w:val="BodyText"/>
              <w:numPr>
                <w:ilvl w:val="0"/>
                <w:numId w:val="6"/>
              </w:numPr>
              <w:tabs>
                <w:tab w:val="clear" w:pos="720"/>
                <w:tab w:val="left" w:pos="0" w:leader="none"/>
              </w:tabs>
              <w:ind w:hanging="283" w:left="720"/>
              <w:rPr/>
            </w:pPr>
            <w:r>
              <w:rPr>
                <w:rStyle w:val="Strong"/>
              </w:rPr>
              <w:t>Sanitize Data Sent to Other Systems</w:t>
            </w:r>
            <w:r>
              <w:rPr/>
              <w:t xml:space="preserve"> – Clean data before passing it elsewhere.</w:t>
            </w:r>
          </w:p>
          <w:p>
            <w:pPr>
              <w:pStyle w:val="BodyText"/>
              <w:numPr>
                <w:ilvl w:val="0"/>
                <w:numId w:val="7"/>
              </w:numPr>
              <w:tabs>
                <w:tab w:val="clear" w:pos="720"/>
                <w:tab w:val="left" w:pos="0" w:leader="none"/>
              </w:tabs>
              <w:ind w:hanging="283" w:left="720"/>
              <w:rPr/>
            </w:pPr>
            <w:r>
              <w:rPr>
                <w:rStyle w:val="Strong"/>
              </w:rPr>
              <w:t>Defense in Depth</w:t>
            </w:r>
            <w:r>
              <w:rPr/>
              <w:t xml:space="preserve"> – Use multiple layers of security controls.</w:t>
            </w:r>
          </w:p>
          <w:p>
            <w:pPr>
              <w:pStyle w:val="BodyText"/>
              <w:numPr>
                <w:ilvl w:val="0"/>
                <w:numId w:val="8"/>
              </w:numPr>
              <w:tabs>
                <w:tab w:val="clear" w:pos="720"/>
                <w:tab w:val="left" w:pos="0" w:leader="none"/>
              </w:tabs>
              <w:ind w:hanging="283" w:left="720"/>
              <w:rPr/>
            </w:pPr>
            <w:r>
              <w:rPr>
                <w:rStyle w:val="Strong"/>
              </w:rPr>
              <w:t>Use Quality Assurance Techniques</w:t>
            </w:r>
            <w:r>
              <w:rPr/>
              <w:t xml:space="preserve"> – Use testing and reviews to catch vulnerabilities early.</w:t>
            </w:r>
          </w:p>
          <w:p>
            <w:pPr>
              <w:pStyle w:val="BodyText"/>
              <w:numPr>
                <w:ilvl w:val="0"/>
                <w:numId w:val="9"/>
              </w:numPr>
              <w:tabs>
                <w:tab w:val="clear" w:pos="720"/>
                <w:tab w:val="left" w:pos="0" w:leader="none"/>
              </w:tabs>
              <w:ind w:hanging="283" w:left="720"/>
              <w:rPr/>
            </w:pPr>
            <w:r>
              <w:rPr>
                <w:rStyle w:val="Strong"/>
              </w:rPr>
              <w:t>Adopt a Secure Coding Standard</w:t>
            </w:r>
            <w:r>
              <w:rPr/>
              <w:t xml:space="preserve"> – Follow established rules like SEI CERT to prevent common weaknesses.</w:t>
            </w:r>
          </w:p>
          <w:p>
            <w:pPr>
              <w:pStyle w:val="Normal"/>
              <w:suppressAutoHyphens w:val="true"/>
              <w:rPr/>
            </w:pPr>
            <w:r>
              <w:rPr/>
            </w:r>
          </w:p>
          <w:p>
            <w:pPr>
              <w:pStyle w:val="Normal"/>
              <w:suppressAutoHyphens w:val="true"/>
              <w:spacing w:before="0" w:after="160"/>
              <w:rPr/>
            </w:pPr>
            <w:r>
              <w:rPr/>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5</w:t>
            </w:r>
          </w:p>
        </w:tc>
        <w:tc>
          <w:tcPr>
            <w:tcW w:w="7455" w:type="dxa"/>
            <w:tcBorders>
              <w:top w:val="single" w:sz="4" w:space="0" w:color="000000"/>
              <w:left w:val="single" w:sz="4" w:space="0" w:color="000000"/>
              <w:bottom w:val="single" w:sz="4" w:space="0" w:color="000000"/>
              <w:right w:val="single" w:sz="4" w:space="0" w:color="000000"/>
            </w:tcBorders>
          </w:tcPr>
          <w:p>
            <w:pPr>
              <w:pStyle w:val="Normal"/>
              <w:suppressAutoHyphens w:val="true"/>
              <w:rPr/>
            </w:pPr>
            <w:r>
              <w:rPr/>
              <w:t>Priority ranking for these risks are as follows.</w:t>
            </w:r>
          </w:p>
          <w:p>
            <w:pPr>
              <w:pStyle w:val="Normal"/>
              <w:suppressAutoHyphens w:val="true"/>
              <w:rPr/>
            </w:pPr>
            <w:r>
              <w:rPr/>
              <w:t>HIGH RISK</w:t>
            </w:r>
          </w:p>
          <w:p>
            <w:pPr>
              <w:pStyle w:val="BodyText"/>
              <w:suppressAutoHyphens w:val="true"/>
              <w:rPr/>
            </w:pPr>
            <w:r>
              <w:rPr>
                <w:rStyle w:val="Strong"/>
                <w:b w:val="false"/>
                <w:bCs w:val="false"/>
              </w:rPr>
              <w:t xml:space="preserve">STD-008-CPP – Do not call </w:t>
            </w:r>
            <w:r>
              <w:rPr>
                <w:rStyle w:val="SourceText"/>
                <w:b w:val="false"/>
                <w:bCs w:val="false"/>
              </w:rPr>
              <w:t>system()</w:t>
            </w:r>
          </w:p>
          <w:p>
            <w:pPr>
              <w:pStyle w:val="BodyText"/>
              <w:suppressAutoHyphens w:val="true"/>
              <w:rPr/>
            </w:pPr>
            <w:r>
              <w:rPr>
                <w:rStyle w:val="Strong"/>
                <w:b w:val="false"/>
                <w:bCs w:val="false"/>
              </w:rPr>
              <w:t>STD-004-CPP – Prevent unsigned integer wrap</w:t>
            </w:r>
          </w:p>
          <w:p>
            <w:pPr>
              <w:pStyle w:val="BodyText"/>
              <w:suppressAutoHyphens w:val="true"/>
              <w:rPr/>
            </w:pPr>
            <w:r>
              <w:rPr>
                <w:rStyle w:val="Strong"/>
                <w:b w:val="false"/>
                <w:bCs w:val="false"/>
              </w:rPr>
              <w:t>STD-009-CPP – Prevent unsafe integer conversions</w:t>
            </w:r>
          </w:p>
          <w:p>
            <w:pPr>
              <w:pStyle w:val="BodyText"/>
              <w:suppressAutoHyphens w:val="true"/>
              <w:rPr/>
            </w:pPr>
            <w:r>
              <w:rPr>
                <w:rStyle w:val="Strong"/>
                <w:b w:val="false"/>
                <w:bCs w:val="false"/>
              </w:rPr>
              <w:t>STD-006-CPP – Prevent scaled pointer arithmetic</w:t>
            </w:r>
          </w:p>
          <w:p>
            <w:pPr>
              <w:pStyle w:val="BodyText"/>
              <w:suppressAutoHyphens w:val="true"/>
              <w:rPr/>
            </w:pPr>
            <w:r>
              <w:rPr>
                <w:rStyle w:val="Strong"/>
                <w:b w:val="false"/>
                <w:bCs w:val="false"/>
              </w:rPr>
              <w:t>STD-003-CPP – Prevent uninitialized memory reads</w:t>
            </w:r>
          </w:p>
          <w:p>
            <w:pPr>
              <w:pStyle w:val="BodyText"/>
              <w:suppressAutoHyphens w:val="true"/>
              <w:rPr/>
            </w:pPr>
            <w:r>
              <w:rPr>
                <w:rStyle w:val="Strong"/>
                <w:b w:val="false"/>
                <w:bCs w:val="false"/>
              </w:rPr>
              <w:t>MEDIUM RISK</w:t>
            </w:r>
          </w:p>
          <w:p>
            <w:pPr>
              <w:pStyle w:val="BodyText"/>
              <w:suppressAutoHyphens w:val="true"/>
              <w:rPr/>
            </w:pPr>
            <w:r>
              <w:rPr>
                <w:rStyle w:val="Strong"/>
                <w:b w:val="false"/>
                <w:bCs w:val="false"/>
              </w:rPr>
              <w:t>STD-005-CPP – Do not use floating-point loop counters</w:t>
            </w:r>
          </w:p>
          <w:p>
            <w:pPr>
              <w:pStyle w:val="BodyText"/>
              <w:suppressAutoHyphens w:val="true"/>
              <w:rPr/>
            </w:pPr>
            <w:r>
              <w:rPr>
                <w:rStyle w:val="Strong"/>
                <w:b w:val="false"/>
                <w:bCs w:val="false"/>
              </w:rPr>
              <w:t>STD-007-CPP – Do not access a closed file</w:t>
            </w:r>
          </w:p>
          <w:p>
            <w:pPr>
              <w:pStyle w:val="BodyText"/>
              <w:suppressAutoHyphens w:val="true"/>
              <w:rPr/>
            </w:pPr>
            <w:r>
              <w:rPr>
                <w:rStyle w:val="Strong"/>
                <w:b w:val="false"/>
                <w:bCs w:val="false"/>
              </w:rPr>
              <w:t>LOW RISK</w:t>
            </w:r>
          </w:p>
          <w:p>
            <w:pPr>
              <w:pStyle w:val="BodyText"/>
              <w:suppressAutoHyphens w:val="true"/>
              <w:rPr/>
            </w:pPr>
            <w:r>
              <w:rPr>
                <w:rStyle w:val="Strong"/>
                <w:b w:val="false"/>
                <w:bCs w:val="false"/>
              </w:rPr>
              <w:t>STD-002-CPP – Do not define unnamed namespaces in headers</w:t>
            </w:r>
          </w:p>
          <w:p>
            <w:pPr>
              <w:pStyle w:val="BodyText"/>
              <w:suppressAutoHyphens w:val="true"/>
              <w:rPr/>
            </w:pPr>
            <w:r>
              <w:rPr>
                <w:rStyle w:val="Strong"/>
                <w:b w:val="false"/>
                <w:bCs w:val="false"/>
              </w:rPr>
              <w:t>STD-001-CPP – Obey the One Definition Rule</w:t>
            </w:r>
          </w:p>
          <w:p>
            <w:pPr>
              <w:pStyle w:val="BodyText"/>
              <w:suppressAutoHyphens w:val="true"/>
              <w:rPr/>
            </w:pPr>
            <w:r>
              <w:rPr>
                <w:rStyle w:val="Strong"/>
                <w:b w:val="false"/>
                <w:bCs w:val="false"/>
              </w:rPr>
              <w:t>STD-010-CPP – Do not declare or define reserved identifiers</w:t>
            </w:r>
          </w:p>
          <w:p>
            <w:pPr>
              <w:pStyle w:val="BodyText"/>
              <w:suppressAutoHyphens w:val="true"/>
              <w:rPr>
                <w:rStyle w:val="Strong"/>
                <w:b w:val="false"/>
                <w:bCs w:val="false"/>
              </w:rPr>
            </w:pPr>
            <w:r>
              <w:rPr/>
            </w:r>
          </w:p>
          <w:p>
            <w:pPr>
              <w:pStyle w:val="Normal"/>
              <w:suppressAutoHyphens w:val="true"/>
              <w:spacing w:before="0" w:after="160"/>
              <w:rPr/>
            </w:pPr>
            <w:r>
              <w:rPr/>
            </w:r>
          </w:p>
        </w:tc>
      </w:tr>
      <w:tr>
        <w:trPr>
          <w:trHeight w:val="1373"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6</w:t>
            </w:r>
          </w:p>
        </w:tc>
        <w:tc>
          <w:tcPr>
            <w:tcW w:w="7455" w:type="dxa"/>
            <w:tcBorders>
              <w:top w:val="single" w:sz="4" w:space="0" w:color="000000"/>
              <w:left w:val="single" w:sz="4" w:space="0" w:color="000000"/>
              <w:bottom w:val="single" w:sz="4" w:space="0" w:color="000000"/>
              <w:right w:val="single" w:sz="4" w:space="0" w:color="000000"/>
            </w:tcBorders>
          </w:tcPr>
          <w:p>
            <w:pPr>
              <w:pStyle w:val="BodyText"/>
              <w:suppressAutoHyphens w:val="true"/>
              <w:rPr/>
            </w:pPr>
            <w:r>
              <w:rPr/>
              <w:t>Encryption at rest protects stored data.</w:t>
              <w:br/>
              <w:t>Encryption in flight protects data sent across networks using TLS.</w:t>
              <w:br/>
              <w:t>Encryption in use protects sensitive data while it is being processed.</w:t>
            </w:r>
          </w:p>
          <w:p>
            <w:pPr>
              <w:pStyle w:val="BodyText"/>
              <w:rPr/>
            </w:pPr>
            <w:r>
              <w:rPr/>
              <w:t>Together, these policies protect data in all stages: storage, transmission, and processing.</w:t>
            </w:r>
          </w:p>
          <w:p>
            <w:pPr>
              <w:pStyle w:val="Normal"/>
              <w:suppressAutoHyphens w:val="true"/>
              <w:spacing w:before="0" w:after="160"/>
              <w:rPr/>
            </w:pPr>
            <w:r>
              <w:rPr/>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7</w:t>
            </w:r>
          </w:p>
        </w:tc>
        <w:tc>
          <w:tcPr>
            <w:tcW w:w="7455" w:type="dxa"/>
            <w:tcBorders>
              <w:top w:val="single" w:sz="4" w:space="0" w:color="000000"/>
              <w:left w:val="single" w:sz="4" w:space="0" w:color="000000"/>
              <w:bottom w:val="single" w:sz="4" w:space="0" w:color="000000"/>
              <w:right w:val="single" w:sz="4" w:space="0" w:color="000000"/>
            </w:tcBorders>
          </w:tcPr>
          <w:p>
            <w:pPr>
              <w:pStyle w:val="BodyText"/>
              <w:suppressAutoHyphens w:val="true"/>
              <w:rPr/>
            </w:pPr>
            <w:r>
              <w:rPr/>
              <w:t>Authentication verifies user identity through secure login systems.</w:t>
              <w:br/>
              <w:t>Authorization controls what users are allowed to access.</w:t>
              <w:br/>
              <w:t>Accounting logs user actions like login attempts, database changes, and file access.</w:t>
            </w:r>
          </w:p>
          <w:p>
            <w:pPr>
              <w:pStyle w:val="BodyText"/>
              <w:rPr/>
            </w:pPr>
            <w:r>
              <w:rPr/>
              <w:t>This framework ensures accountability and limits damage if an account is compromised.</w:t>
            </w:r>
          </w:p>
          <w:p>
            <w:pPr>
              <w:pStyle w:val="Normal"/>
              <w:suppressAutoHyphens w:val="true"/>
              <w:spacing w:before="0" w:after="160"/>
              <w:rPr/>
            </w:pPr>
            <w:r>
              <w:rPr/>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8</w:t>
            </w:r>
          </w:p>
        </w:tc>
        <w:tc>
          <w:tcPr>
            <w:tcW w:w="7455"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0" w:after="160"/>
              <w:rPr/>
            </w:pPr>
            <w:r>
              <w:rPr/>
              <w:t>Unit Test 1: Integer overflow boundary testing</w:t>
              <w:br/>
              <w:t>We test maximum values to confirm overflow is handled safely.</w:t>
              <w:br/>
              <w:t xml:space="preserve">To </w:t>
            </w:r>
            <w:r>
              <w:rPr/>
              <w:t>improve</w:t>
            </w:r>
            <w:r>
              <w:rPr/>
              <w:t xml:space="preserve">, we could add fuzz testing with random extreme inputs. </w:t>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9</w:t>
            </w:r>
          </w:p>
        </w:tc>
        <w:tc>
          <w:tcPr>
            <w:tcW w:w="7455"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0" w:after="160"/>
              <w:rPr/>
            </w:pPr>
            <w:r>
              <w:rPr/>
              <w:t>Unit Test 2: Input validation testing</w:t>
              <w:br/>
              <w:t>We test invalid or malicious inputs to confirm rejection.</w:t>
              <w:br/>
              <w:t xml:space="preserve">To </w:t>
            </w:r>
            <w:r>
              <w:rPr/>
              <w:t>improve</w:t>
            </w:r>
            <w:r>
              <w:rPr/>
              <w:t xml:space="preserve">, we could simulate injection patterns. </w:t>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10</w:t>
            </w:r>
          </w:p>
        </w:tc>
        <w:tc>
          <w:tcPr>
            <w:tcW w:w="7455"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0" w:after="160"/>
              <w:rPr/>
            </w:pPr>
            <w:r>
              <w:rPr/>
              <w:t>Unit Test 3: File handling validation</w:t>
              <w:br/>
              <w:t>We test behavior after closing files.</w:t>
              <w:br/>
              <w:t xml:space="preserve">To </w:t>
            </w:r>
            <w:r>
              <w:rPr/>
              <w:t>improve</w:t>
            </w:r>
            <w:r>
              <w:rPr/>
              <w:t xml:space="preserve">, we could integrate runtime sanitizers. </w:t>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11</w:t>
            </w:r>
          </w:p>
        </w:tc>
        <w:tc>
          <w:tcPr>
            <w:tcW w:w="7455" w:type="dxa"/>
            <w:tcBorders>
              <w:top w:val="single" w:sz="4" w:space="0" w:color="000000"/>
              <w:left w:val="single" w:sz="4" w:space="0" w:color="000000"/>
              <w:bottom w:val="single" w:sz="4" w:space="0" w:color="000000"/>
              <w:right w:val="single" w:sz="4" w:space="0" w:color="000000"/>
            </w:tcBorders>
          </w:tcPr>
          <w:p>
            <w:pPr>
              <w:pStyle w:val="BodyText"/>
              <w:suppressAutoHyphens w:val="true"/>
              <w:rPr/>
            </w:pPr>
            <w:r>
              <w:rPr/>
              <w:t>In the DevSecOps pipeline, automation occurs at multiple stages.</w:t>
            </w:r>
          </w:p>
          <w:p>
            <w:pPr>
              <w:pStyle w:val="BodyText"/>
              <w:rPr/>
            </w:pPr>
            <w:r>
              <w:rPr/>
              <w:t>During the Create stage, IDE plugins provide immediate feedback.</w:t>
              <w:br/>
              <w:t>During the Verify stage, static analysis tools run automatically.</w:t>
              <w:br/>
              <w:t>During Pre-Production, fuzz testing and integration testing occur.</w:t>
              <w:br/>
              <w:t>During Release, artifacts are signed.</w:t>
              <w:br/>
              <w:t>During Detect and Respond, logging and monitoring systems analyze behavior.</w:t>
            </w:r>
          </w:p>
          <w:p>
            <w:pPr>
              <w:pStyle w:val="BodyText"/>
              <w:rPr/>
            </w:pPr>
            <w:r>
              <w:rPr/>
              <w:t>The compiler is used continuously during development and in CI, with warnings treated as errors. Security automation is present from planning through deployment, reinforcing defense in depth.</w:t>
            </w:r>
          </w:p>
          <w:p>
            <w:pPr>
              <w:pStyle w:val="Normal"/>
              <w:suppressAutoHyphens w:val="true"/>
              <w:spacing w:before="0" w:after="160"/>
              <w:rPr/>
            </w:pPr>
            <w:r>
              <w:rPr/>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12</w:t>
            </w:r>
          </w:p>
        </w:tc>
        <w:tc>
          <w:tcPr>
            <w:tcW w:w="7455" w:type="dxa"/>
            <w:tcBorders>
              <w:top w:val="single" w:sz="4" w:space="0" w:color="000000"/>
              <w:left w:val="single" w:sz="4" w:space="0" w:color="000000"/>
              <w:bottom w:val="single" w:sz="4" w:space="0" w:color="000000"/>
              <w:right w:val="single" w:sz="4" w:space="0" w:color="000000"/>
            </w:tcBorders>
          </w:tcPr>
          <w:p>
            <w:pPr>
              <w:pStyle w:val="BodyText"/>
              <w:suppressAutoHyphens w:val="true"/>
              <w:rPr/>
            </w:pPr>
            <w:r>
              <w:rPr/>
              <w:t>If we act now, we reduce the likelihood of breaches, protect customer trust, and lower long-term remediation costs. Early automation reduces expensive post-release fixes.</w:t>
            </w:r>
          </w:p>
          <w:p>
            <w:pPr>
              <w:pStyle w:val="BodyText"/>
              <w:rPr/>
            </w:pPr>
            <w:r>
              <w:rPr/>
              <w:t>If we delay, vulnerabilities may accumulate, increasing technical debt and the cost of correction. Waiting can also damage reputation and create compliance risks.</w:t>
            </w:r>
          </w:p>
          <w:p>
            <w:pPr>
              <w:pStyle w:val="BodyText"/>
              <w:rPr/>
            </w:pPr>
            <w:r>
              <w:rPr/>
              <w:t>The benefit of early action is proactive protection and predictable risk management.</w:t>
            </w:r>
          </w:p>
          <w:p>
            <w:pPr>
              <w:pStyle w:val="Normal"/>
              <w:suppressAutoHyphens w:val="true"/>
              <w:spacing w:before="0" w:after="160"/>
              <w:rPr/>
            </w:pPr>
            <w:r>
              <w:rPr/>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13</w:t>
            </w:r>
          </w:p>
        </w:tc>
        <w:tc>
          <w:tcPr>
            <w:tcW w:w="7455" w:type="dxa"/>
            <w:tcBorders>
              <w:top w:val="single" w:sz="4" w:space="0" w:color="000000"/>
              <w:left w:val="single" w:sz="4" w:space="0" w:color="000000"/>
              <w:bottom w:val="single" w:sz="4" w:space="0" w:color="000000"/>
              <w:right w:val="single" w:sz="4" w:space="0" w:color="000000"/>
            </w:tcBorders>
          </w:tcPr>
          <w:p>
            <w:pPr>
              <w:pStyle w:val="BodyText"/>
              <w:suppressAutoHyphens w:val="true"/>
              <w:rPr/>
            </w:pPr>
            <w:r>
              <w:rPr/>
              <w:t>Current gaps in the security policy include limited runtime protections, limited dynamic analysis, and the need for stronger dependency scanning. Future improvements should include:</w:t>
            </w:r>
          </w:p>
          <w:p>
            <w:pPr>
              <w:pStyle w:val="BodyText"/>
              <w:numPr>
                <w:ilvl w:val="0"/>
                <w:numId w:val="10"/>
              </w:numPr>
              <w:tabs>
                <w:tab w:val="clear" w:pos="720"/>
                <w:tab w:val="left" w:pos="0" w:leader="none"/>
              </w:tabs>
              <w:ind w:hanging="283" w:left="709"/>
              <w:rPr/>
            </w:pPr>
            <w:r>
              <w:rPr/>
              <w:t>Software Composition Analysis for third-party libraries</w:t>
            </w:r>
          </w:p>
          <w:p>
            <w:pPr>
              <w:pStyle w:val="BodyText"/>
              <w:numPr>
                <w:ilvl w:val="0"/>
                <w:numId w:val="10"/>
              </w:numPr>
              <w:tabs>
                <w:tab w:val="clear" w:pos="720"/>
                <w:tab w:val="left" w:pos="0" w:leader="none"/>
              </w:tabs>
              <w:ind w:hanging="283" w:left="709"/>
              <w:rPr/>
            </w:pPr>
            <w:r>
              <w:rPr/>
              <w:t>Runtime Application Self-Protection</w:t>
            </w:r>
          </w:p>
          <w:p>
            <w:pPr>
              <w:pStyle w:val="BodyText"/>
              <w:numPr>
                <w:ilvl w:val="0"/>
                <w:numId w:val="10"/>
              </w:numPr>
              <w:tabs>
                <w:tab w:val="clear" w:pos="720"/>
                <w:tab w:val="left" w:pos="0" w:leader="none"/>
              </w:tabs>
              <w:ind w:hanging="283" w:left="709"/>
              <w:rPr/>
            </w:pPr>
            <w:r>
              <w:rPr/>
              <w:t>Expanded threat modeling exercises</w:t>
            </w:r>
          </w:p>
          <w:p>
            <w:pPr>
              <w:pStyle w:val="BodyText"/>
              <w:numPr>
                <w:ilvl w:val="0"/>
                <w:numId w:val="10"/>
              </w:numPr>
              <w:tabs>
                <w:tab w:val="clear" w:pos="720"/>
                <w:tab w:val="left" w:pos="0" w:leader="none"/>
              </w:tabs>
              <w:ind w:hanging="283" w:left="709"/>
              <w:rPr/>
            </w:pPr>
            <w:r>
              <w:rPr/>
              <w:t>Periodic penetration testing</w:t>
            </w:r>
          </w:p>
          <w:p>
            <w:pPr>
              <w:pStyle w:val="Normal"/>
              <w:suppressAutoHyphens w:val="true"/>
              <w:spacing w:before="0" w:after="160"/>
              <w:rPr/>
            </w:pPr>
            <w:r>
              <w:rPr/>
              <w:t xml:space="preserve">Industry standards such as ISO 27001, NIST Secure Software Development Framework, and continued adherence to SEI CERT C++ guidelines should be adopted to prevent future problems. </w:t>
            </w:r>
          </w:p>
        </w:tc>
      </w:tr>
      <w:tr>
        <w:trPr>
          <w:trHeight w:val="1296" w:hRule="atLeast"/>
        </w:trPr>
        <w:tc>
          <w:tcPr>
            <w:tcW w:w="2114"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spacing w:before="0" w:after="160"/>
              <w:jc w:val="center"/>
              <w:rPr>
                <w:b/>
              </w:rPr>
            </w:pPr>
            <w:r>
              <w:rPr>
                <w:b/>
              </w:rPr>
              <w:t>14</w:t>
            </w:r>
          </w:p>
        </w:tc>
        <w:tc>
          <w:tcPr>
            <w:tcW w:w="7455" w:type="dxa"/>
            <w:tcBorders>
              <w:top w:val="single" w:sz="4" w:space="0" w:color="000000"/>
              <w:left w:val="single" w:sz="4" w:space="0" w:color="000000"/>
              <w:bottom w:val="single" w:sz="4" w:space="0" w:color="000000"/>
              <w:right w:val="single" w:sz="4" w:space="0" w:color="000000"/>
            </w:tcBorders>
          </w:tcPr>
          <w:p>
            <w:pPr>
              <w:pStyle w:val="BodyText"/>
              <w:suppressAutoHyphens w:val="true"/>
              <w:rPr/>
            </w:pPr>
            <w:r>
              <w:rPr/>
              <w:t xml:space="preserve">Carnegie Mellon University, Software Engineering Institute. (n.d.). </w:t>
            </w:r>
            <w:r>
              <w:rPr>
                <w:rStyle w:val="Emphasis"/>
              </w:rPr>
              <w:t>SEI CERT C++ coding standard</w:t>
            </w:r>
            <w:r>
              <w:rPr/>
              <w:t xml:space="preserve">. </w:t>
            </w:r>
            <w:hyperlink r:id="rId2" w:tgtFrame="_new">
              <w:r>
                <w:rPr>
                  <w:rStyle w:val="Hyperlink"/>
                </w:rPr>
                <w:t>https://wiki.sei.cmu.edu/confluence/display/cplusplus</w:t>
              </w:r>
            </w:hyperlink>
          </w:p>
          <w:p>
            <w:pPr>
              <w:pStyle w:val="BodyText"/>
              <w:rPr/>
            </w:pPr>
            <w:r>
              <w:rPr/>
              <w:t xml:space="preserve">National Institute of Standards and Technology. (2022). </w:t>
            </w:r>
            <w:r>
              <w:rPr>
                <w:rStyle w:val="Emphasis"/>
              </w:rPr>
              <w:t>Secure software development framework (SSDF) version 1.1 (SP 800-218)</w:t>
            </w:r>
            <w:r>
              <w:rPr/>
              <w:t xml:space="preserve">. </w:t>
            </w:r>
            <w:hyperlink r:id="rId3" w:tgtFrame="_new">
              <w:r>
                <w:rPr>
                  <w:rStyle w:val="Hyperlink"/>
                </w:rPr>
                <w:t>https://csrc.nist.gov/publications/detail/sp/800-218/final</w:t>
              </w:r>
            </w:hyperlink>
          </w:p>
          <w:p>
            <w:pPr>
              <w:pStyle w:val="BodyText"/>
              <w:rPr/>
            </w:pPr>
            <w:r>
              <w:rPr/>
              <w:t xml:space="preserve">SonarSource. (2025). </w:t>
            </w:r>
            <w:r>
              <w:rPr>
                <w:rStyle w:val="Emphasis"/>
              </w:rPr>
              <w:t>SonarQube documentation</w:t>
            </w:r>
            <w:r>
              <w:rPr/>
              <w:t xml:space="preserve">. </w:t>
            </w:r>
            <w:hyperlink r:id="rId4" w:tgtFrame="_new">
              <w:r>
                <w:rPr>
                  <w:rStyle w:val="Hyperlink"/>
                </w:rPr>
                <w:t>https://docs.sonarsource.com</w:t>
              </w:r>
            </w:hyperlink>
          </w:p>
          <w:p>
            <w:pPr>
              <w:pStyle w:val="BodyText"/>
              <w:rPr/>
            </w:pPr>
            <w:r>
              <w:rPr/>
              <w:t xml:space="preserve">GitHub. (2026). </w:t>
            </w:r>
            <w:r>
              <w:rPr>
                <w:rStyle w:val="Emphasis"/>
              </w:rPr>
              <w:t>CodeQL documentation</w:t>
            </w:r>
            <w:r>
              <w:rPr/>
              <w:t xml:space="preserve">. </w:t>
            </w:r>
            <w:hyperlink r:id="rId5" w:tgtFrame="_new">
              <w:r>
                <w:rPr>
                  <w:rStyle w:val="Hyperlink"/>
                </w:rPr>
                <w:t>https://codeql.github.com/docs</w:t>
              </w:r>
            </w:hyperlink>
          </w:p>
          <w:p>
            <w:pPr>
              <w:pStyle w:val="BodyText"/>
              <w:rPr/>
            </w:pPr>
            <w:r>
              <w:rPr/>
              <w:t xml:space="preserve">Clang. (2025). </w:t>
            </w:r>
            <w:r>
              <w:rPr>
                <w:rStyle w:val="Emphasis"/>
              </w:rPr>
              <w:t>Clang-tidy documentation</w:t>
            </w:r>
            <w:r>
              <w:rPr/>
              <w:t xml:space="preserve">. </w:t>
            </w:r>
            <w:hyperlink r:id="rId6" w:tgtFrame="_new">
              <w:r>
                <w:rPr>
                  <w:rStyle w:val="Hyperlink"/>
                </w:rPr>
                <w:t>https://clang.llvm.org/extra/clang-tidy/</w:t>
              </w:r>
            </w:hyperlink>
          </w:p>
          <w:p>
            <w:pPr>
              <w:pStyle w:val="Normal"/>
              <w:suppressAutoHyphens w:val="true"/>
              <w:spacing w:before="0" w:after="160"/>
              <w:rPr/>
            </w:pPr>
            <w:r>
              <w:rPr/>
            </w:r>
          </w:p>
        </w:tc>
      </w:tr>
    </w:tbl>
    <w:p>
      <w:pPr>
        <w:pStyle w:val="Normal"/>
        <w:suppressAutoHyphens w:val="true"/>
        <w:spacing w:lineRule="auto" w:line="240" w:before="0" w:after="0"/>
        <w:rPr>
          <w:b/>
        </w:rPr>
      </w:pPr>
      <w:r>
        <w:rPr>
          <w:b/>
        </w:rPr>
      </w:r>
    </w:p>
    <w:sectPr>
      <w:headerReference w:type="even" r:id="rId7"/>
      <w:headerReference w:type="default" r:id="rId8"/>
      <w:headerReference w:type="first" r:id="rId9"/>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Georgia">
    <w:charset w:val="00"/>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AutoHyphens w:val="true"/>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AutoHyphens w:val="true"/>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qFormat/>
    <w:rsid w:val="007d553d"/>
    <w:pPr>
      <w:suppressAutoHyphens w:val="true"/>
      <w:spacing w:lineRule="auto" w:line="240" w:before="0" w:after="0"/>
      <w:jc w:val="center"/>
      <w:outlineLvl w:val="0"/>
    </w:pPr>
    <w:rPr>
      <w:b/>
      <w:sz w:val="24"/>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d553d"/>
    <w:rPr/>
  </w:style>
  <w:style w:type="character" w:styleId="FooterChar" w:customStyle="1">
    <w:name w:val="Footer Char"/>
    <w:basedOn w:val="DefaultParagraphFont"/>
    <w:link w:val="Footer"/>
    <w:uiPriority w:val="99"/>
    <w:qFormat/>
    <w:rsid w:val="007d553d"/>
    <w:rPr/>
  </w:style>
  <w:style w:type="character" w:styleId="Hyperlink">
    <w:name w:val="Hyperlink"/>
    <w:basedOn w:val="DefaultParagraphFont"/>
    <w:uiPriority w:val="99"/>
    <w:semiHidden/>
    <w:unhideWhenUsed/>
    <w:rsid w:val="007d553d"/>
    <w:rPr>
      <w:color w:val="0000FF"/>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7d553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d553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e58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iki.sei.cmu.edu/confluence/display/cplusplus" TargetMode="External"/><Relationship Id="rId3" Type="http://schemas.openxmlformats.org/officeDocument/2006/relationships/hyperlink" Target="https://csrc.nist.gov/publications/detail/sp/800-218/final" TargetMode="External"/><Relationship Id="rId4" Type="http://schemas.openxmlformats.org/officeDocument/2006/relationships/hyperlink" Target="https://docs.sonarsource.com/" TargetMode="External"/><Relationship Id="rId5" Type="http://schemas.openxmlformats.org/officeDocument/2006/relationships/hyperlink" Target="https://codeql.github.com/docs" TargetMode="External"/><Relationship Id="rId6" Type="http://schemas.openxmlformats.org/officeDocument/2006/relationships/hyperlink" Target="https://clang.llvm.org/extra/clang-tidy/"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LibreOffice/24.2.5.2$Windows_X86_64 LibreOffice_project/bffef4ea93e59bebbeaf7f431bb02b1a39ee8a59</Application>
  <AppVersion>15.0000</AppVersion>
  <Pages>5</Pages>
  <Words>855</Words>
  <Characters>5284</Characters>
  <CharactersWithSpaces>6080</CharactersWithSpaces>
  <Paragraphs>74</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2020-11-04T19:09:00Z</dcterms:created>
  <dc:creator>Candice Wade</dc:creator>
  <dc:description/>
  <dc:language>en-US</dc:language>
  <cp:lastModifiedBy/>
  <dcterms:modified xsi:type="dcterms:W3CDTF">2026-02-23T12:51:38Z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