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Knowledge Graph Construction from the Australian Privacy Principles</w:t>
      </w:r>
    </w:p>
    <w:p>
      <w:pPr>
        <w:spacing w:after="320"/>
      </w:pPr>
      <w:r>
        <w:rPr>
          <w:b w:val="false"/>
          <w:bCs w:val="false"/>
          <w:i/>
          <w:iCs/>
        </w:rPr>
        <w:t xml:space="preserve">Implementation report — EDC framework applied to Schedule 1 of the Privacy Act 1988</w:t>
      </w:r>
    </w:p>
    <w:p>
      <w:pPr>
        <w:pStyle w:val="Heading1"/>
        <w:spacing w:after="160" w:before="320"/>
      </w:pPr>
      <w:r>
        <w:t xml:space="preserve">1. Objective</w:t>
      </w:r>
    </w:p>
    <w:p>
      <w:pPr>
        <w:spacing w:after="120"/>
      </w:pPr>
      <w:r>
        <w:t xml:space="preserve">Construct a knowledge graph from Schedule 1 of the Privacy Act 1988 (the Australian Privacy Principles), using the EDC framework, and load the result into a Neo4j Aura instance.</w:t>
      </w:r>
    </w:p>
    <w:p>
      <w:pPr>
        <w:pStyle w:val="Heading1"/>
        <w:spacing w:after="160" w:before="320"/>
      </w:pPr>
      <w:r>
        <w:t xml:space="preserve">2. Method</w:t>
      </w:r>
    </w:p>
    <w:p>
      <w:pPr>
        <w:spacing w:after="120"/>
      </w:pPr>
      <w:r>
        <w:rPr>
          <w:b w:val="false"/>
          <w:bCs w:val="false"/>
          <w:i w:val="false"/>
          <w:iCs w:val="false"/>
        </w:rPr>
        <w:t xml:space="preserve">The implementation is </w:t>
      </w:r>
      <w:r>
        <w:rPr>
          <w:b/>
          <w:bCs/>
          <w:i w:val="false"/>
          <w:iCs w:val="false"/>
        </w:rPr>
        <w:t xml:space="preserve">EDC (Extract–Define–Canonicalize)</w:t>
      </w:r>
      <w:r>
        <w:rPr>
          <w:b w:val="false"/>
          <w:bCs w:val="false"/>
          <w:i w:val="false"/>
          <w:iCs w:val="false"/>
        </w:rPr>
        <w:t xml:space="preserve">, from Zhang &amp; Soh, </w:t>
      </w:r>
      <w:r>
        <w:rPr>
          <w:b w:val="false"/>
          <w:bCs w:val="false"/>
          <w:i/>
          <w:iCs/>
        </w:rPr>
        <w:t xml:space="preserve">Extract, Define, Canonicalize: An LLM-based Framework for Knowledge Graph Construction</w:t>
      </w:r>
      <w:r>
        <w:rPr>
          <w:b w:val="false"/>
          <w:bCs w:val="false"/>
          <w:i w:val="false"/>
          <w:iCs w:val="false"/>
        </w:rPr>
        <w:t xml:space="preserve">, EMNLP 2024 (arXiv:2404.03868). EDC runs three stages over each input document:</w:t>
      </w:r>
    </w:p>
    <w:p>
      <w:pPr>
        <w:pStyle w:val="ListParagraph"/>
        <w:numPr>
          <w:ilvl w:val="0"/>
          <w:numId w:val="2"/>
        </w:numPr>
        <w:spacing w:after="80"/>
      </w:pPr>
      <w:r>
        <w:rPr>
          <w:b/>
          <w:bCs/>
          <w:i w:val="false"/>
          <w:iCs w:val="false"/>
        </w:rPr>
        <w:t xml:space="preserve">Open Information Extraction</w:t>
      </w:r>
      <w:r>
        <w:rPr>
          <w:b w:val="false"/>
          <w:bCs w:val="false"/>
          <w:i w:val="false"/>
          <w:iCs w:val="false"/>
        </w:rPr>
        <w:t xml:space="preserve"> — an LLM extracts free-form [subject, relation, object] triples.</w:t>
      </w:r>
    </w:p>
    <w:p>
      <w:pPr>
        <w:pStyle w:val="ListParagraph"/>
        <w:numPr>
          <w:ilvl w:val="0"/>
          <w:numId w:val="2"/>
        </w:numPr>
        <w:spacing w:after="80"/>
      </w:pPr>
      <w:r>
        <w:rPr>
          <w:b/>
          <w:bCs/>
          <w:i w:val="false"/>
          <w:iCs w:val="false"/>
        </w:rPr>
        <w:t xml:space="preserve">Schema Definition</w:t>
      </w:r>
      <w:r>
        <w:rPr>
          <w:b w:val="false"/>
          <w:bCs w:val="false"/>
          <w:i w:val="false"/>
          <w:iCs w:val="false"/>
        </w:rPr>
        <w:t xml:space="preserve"> — an LLM writes a natural-language definition for every relation extracted.</w:t>
      </w:r>
    </w:p>
    <w:p>
      <w:pPr>
        <w:pStyle w:val="ListParagraph"/>
        <w:numPr>
          <w:ilvl w:val="0"/>
          <w:numId w:val="2"/>
        </w:numPr>
        <w:spacing w:after="80"/>
      </w:pPr>
      <w:r>
        <w:rPr>
          <w:b/>
          <w:bCs/>
          <w:i w:val="false"/>
          <w:iCs w:val="false"/>
        </w:rPr>
        <w:t xml:space="preserve">Schema Canonicalization</w:t>
      </w:r>
      <w:r>
        <w:rPr>
          <w:b w:val="false"/>
          <w:bCs w:val="false"/>
          <w:i w:val="false"/>
          <w:iCs w:val="false"/>
        </w:rPr>
        <w:t xml:space="preserve"> — those definitions are embedded, the top-5 most similar target-schema relations are retrieved, and an LLM verifier selects one or rejects all. Under --enrich_schema, rejected relations are added to the schema rather than discarded.</w:t>
      </w:r>
    </w:p>
    <w:p>
      <w:pPr>
        <w:spacing w:after="120"/>
      </w:pPr>
      <w:r>
        <w:rPr>
          <w:b w:val="false"/>
          <w:bCs w:val="false"/>
          <w:i w:val="false"/>
          <w:iCs w:val="false"/>
        </w:rPr>
        <w:t xml:space="preserve">The run used </w:t>
      </w:r>
      <w:r>
        <w:rPr>
          <w:b/>
          <w:bCs/>
          <w:i w:val="false"/>
          <w:iCs w:val="false"/>
        </w:rPr>
        <w:t xml:space="preserve">self-canonicalization with a seeded target schema</w:t>
      </w:r>
      <w:r>
        <w:rPr>
          <w:b w:val="false"/>
          <w:bCs w:val="false"/>
          <w:i w:val="false"/>
          <w:iCs w:val="false"/>
        </w:rPr>
        <w:t xml:space="preserve">: a hand-authored 45-relation privacy schema as the canonicalization target, with enrichment enabled so genuinely novel relations could still enter.</w:t>
      </w:r>
    </w:p>
    <w:p>
      <w:pPr>
        <w:pStyle w:val="Heading1"/>
        <w:spacing w:after="160" w:before="320"/>
      </w:pPr>
      <w:r>
        <w:t xml:space="preserve">3. Source material</w:t>
      </w:r>
    </w:p>
    <w:p>
      <w:pPr>
        <w:spacing w:after="120"/>
      </w:pPr>
      <w:r>
        <w:rPr>
          <w:rFonts w:ascii="Consolas" w:cs="Consolas" w:eastAsia="Consolas" w:hAnsi="Consolas"/>
          <w:b w:val="false"/>
          <w:bCs w:val="false"/>
          <w:i w:val="false"/>
          <w:iCs w:val="false"/>
          <w:sz w:val="19"/>
          <w:szCs w:val="19"/>
        </w:rPr>
        <w:t xml:space="preserve">APPschedule1.txt</w:t>
      </w:r>
      <w:r>
        <w:rPr>
          <w:b w:val="false"/>
          <w:bCs w:val="false"/>
          <w:i w:val="false"/>
          <w:iCs w:val="false"/>
        </w:rPr>
        <w:t xml:space="preserve"> — 686 lines, 337 non-empty, 5,471 words, UTF-8 encoded. Covers all 13 Australian Privacy Principles across the 5 Parts of the Schedule.</w:t>
      </w:r>
    </w:p>
    <w:p>
      <w:pPr>
        <w:pStyle w:val="Heading1"/>
        <w:spacing w:after="160" w:before="320"/>
      </w:pPr>
      <w:r>
        <w:t xml:space="preserve">4. Environment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E8E8" w:val="clear"/>
            <w:tcMar>
              <w:top w:type="dxa" w:w="60"/>
              <w:left w:type="dxa" w:w="100"/>
              <w:bottom w:type="dxa" w:w="60"/>
              <w:right w:type="dxa" w:w="100"/>
            </w:tcMar>
          </w:tcPr>
          <w:p>
            <w:pPr>
              <w:spacing w:after="0"/>
            </w:pPr>
            <w:r>
              <w:rPr>
                <w:b/>
                <w:bCs/>
                <w:sz w:val="20"/>
                <w:szCs w:val="20"/>
              </w:rPr>
              <w:t xml:space="preserve">Component</w:t>
            </w:r>
          </w:p>
        </w:tc>
        <w:tc>
          <w:tcPr>
            <w:tcW w:type="dxa" w:w="6000"/>
            <w:shd w:fill="E8E8E8" w:val="clear"/>
            <w:tcMar>
              <w:top w:type="dxa" w:w="60"/>
              <w:left w:type="dxa" w:w="100"/>
              <w:bottom w:type="dxa" w:w="60"/>
              <w:right w:type="dxa" w:w="100"/>
            </w:tcMar>
          </w:tcPr>
          <w:p>
            <w:pPr>
              <w:spacing w:after="0"/>
            </w:pPr>
            <w:r>
              <w:rPr>
                <w:b/>
                <w:bCs/>
                <w:sz w:val="20"/>
                <w:szCs w:val="20"/>
              </w:rPr>
              <w:t xml:space="preserve">Value</w:t>
            </w:r>
          </w:p>
        </w:tc>
      </w:tr>
      <w:tr>
        <w:tc>
          <w:tcPr>
            <w:tcW w:type="dxa" w:w="3000"/>
            <w:tcMar>
              <w:top w:type="dxa" w:w="60"/>
              <w:left w:type="dxa" w:w="100"/>
              <w:bottom w:type="dxa" w:w="60"/>
              <w:right w:type="dxa" w:w="100"/>
            </w:tcMar>
          </w:tcPr>
          <w:p>
            <w:pPr>
              <w:spacing w:after="0"/>
            </w:pPr>
            <w:r>
              <w:rPr>
                <w:b w:val="false"/>
                <w:bCs w:val="false"/>
                <w:sz w:val="20"/>
                <w:szCs w:val="20"/>
              </w:rPr>
              <w:t xml:space="preserve">Platform</w:t>
            </w:r>
          </w:p>
        </w:tc>
        <w:tc>
          <w:tcPr>
            <w:tcW w:type="dxa" w:w="6000"/>
            <w:tcMar>
              <w:top w:type="dxa" w:w="60"/>
              <w:left w:type="dxa" w:w="100"/>
              <w:bottom w:type="dxa" w:w="60"/>
              <w:right w:type="dxa" w:w="100"/>
            </w:tcMar>
          </w:tcPr>
          <w:p>
            <w:pPr>
              <w:spacing w:after="0"/>
            </w:pPr>
            <w:r>
              <w:rPr>
                <w:b w:val="false"/>
                <w:bCs w:val="false"/>
                <w:sz w:val="20"/>
                <w:szCs w:val="20"/>
              </w:rPr>
              <w:t xml:space="preserve">Windows 11, Python 3.13.5, dedicated venv .venv-edc</w:t>
            </w:r>
          </w:p>
        </w:tc>
      </w:tr>
      <w:tr>
        <w:tc>
          <w:tcPr>
            <w:tcW w:type="dxa" w:w="3000"/>
            <w:tcMar>
              <w:top w:type="dxa" w:w="60"/>
              <w:left w:type="dxa" w:w="100"/>
              <w:bottom w:type="dxa" w:w="60"/>
              <w:right w:type="dxa" w:w="100"/>
            </w:tcMar>
          </w:tcPr>
          <w:p>
            <w:pPr>
              <w:spacing w:after="0"/>
            </w:pPr>
            <w:r>
              <w:rPr>
                <w:b w:val="false"/>
                <w:bCs w:val="false"/>
                <w:sz w:val="20"/>
                <w:szCs w:val="20"/>
              </w:rPr>
              <w:t xml:space="preserve">Hardware</w:t>
            </w:r>
          </w:p>
        </w:tc>
        <w:tc>
          <w:tcPr>
            <w:tcW w:type="dxa" w:w="6000"/>
            <w:tcMar>
              <w:top w:type="dxa" w:w="60"/>
              <w:left w:type="dxa" w:w="100"/>
              <w:bottom w:type="dxa" w:w="60"/>
              <w:right w:type="dxa" w:w="100"/>
            </w:tcMar>
          </w:tcPr>
          <w:p>
            <w:pPr>
              <w:spacing w:after="0"/>
            </w:pPr>
            <w:r>
              <w:rPr>
                <w:b w:val="false"/>
                <w:bCs w:val="false"/>
                <w:sz w:val="20"/>
                <w:szCs w:val="20"/>
              </w:rPr>
              <w:t xml:space="preserve">AMD Radeon 780M integrated GPU, 15.3 GB RAM — no CUDA</w:t>
            </w:r>
          </w:p>
        </w:tc>
      </w:tr>
      <w:tr>
        <w:tc>
          <w:tcPr>
            <w:tcW w:type="dxa" w:w="3000"/>
            <w:tcMar>
              <w:top w:type="dxa" w:w="60"/>
              <w:left w:type="dxa" w:w="100"/>
              <w:bottom w:type="dxa" w:w="60"/>
              <w:right w:type="dxa" w:w="100"/>
            </w:tcMar>
          </w:tcPr>
          <w:p>
            <w:pPr>
              <w:spacing w:after="0"/>
            </w:pPr>
            <w:r>
              <w:rPr>
                <w:b w:val="false"/>
                <w:bCs w:val="false"/>
                <w:sz w:val="20"/>
                <w:szCs w:val="20"/>
              </w:rPr>
              <w:t xml:space="preserve">LLM (all three stages)</w:t>
            </w:r>
          </w:p>
        </w:tc>
        <w:tc>
          <w:tcPr>
            <w:tcW w:type="dxa" w:w="6000"/>
            <w:tcMar>
              <w:top w:type="dxa" w:w="60"/>
              <w:left w:type="dxa" w:w="100"/>
              <w:bottom w:type="dxa" w:w="60"/>
              <w:right w:type="dxa" w:w="100"/>
            </w:tcMar>
          </w:tcPr>
          <w:p>
            <w:pPr>
              <w:spacing w:after="0"/>
            </w:pPr>
            <w:r>
              <w:rPr>
                <w:b w:val="false"/>
                <w:bCs w:val="false"/>
                <w:sz w:val="20"/>
                <w:szCs w:val="20"/>
              </w:rPr>
              <w:t xml:space="preserve">gpt-4o-mini via OpenAI API</w:t>
            </w:r>
          </w:p>
        </w:tc>
      </w:tr>
      <w:tr>
        <w:tc>
          <w:tcPr>
            <w:tcW w:type="dxa" w:w="3000"/>
            <w:tcMar>
              <w:top w:type="dxa" w:w="60"/>
              <w:left w:type="dxa" w:w="100"/>
              <w:bottom w:type="dxa" w:w="60"/>
              <w:right w:type="dxa" w:w="100"/>
            </w:tcMar>
          </w:tcPr>
          <w:p>
            <w:pPr>
              <w:spacing w:after="0"/>
            </w:pPr>
            <w:r>
              <w:rPr>
                <w:b w:val="false"/>
                <w:bCs w:val="false"/>
                <w:sz w:val="20"/>
                <w:szCs w:val="20"/>
              </w:rPr>
              <w:t xml:space="preserve">Embedder</w:t>
            </w:r>
          </w:p>
        </w:tc>
        <w:tc>
          <w:tcPr>
            <w:tcW w:type="dxa" w:w="6000"/>
            <w:tcMar>
              <w:top w:type="dxa" w:w="60"/>
              <w:left w:type="dxa" w:w="100"/>
              <w:bottom w:type="dxa" w:w="60"/>
              <w:right w:type="dxa" w:w="100"/>
            </w:tcMar>
          </w:tcPr>
          <w:p>
            <w:pPr>
              <w:spacing w:after="0"/>
            </w:pPr>
            <w:r>
              <w:rPr>
                <w:b w:val="false"/>
                <w:bCs w:val="false"/>
                <w:sz w:val="20"/>
                <w:szCs w:val="20"/>
              </w:rPr>
              <w:t xml:space="preserve">intfloat/e5-base-v2 (110M parameters, CPU)</w:t>
            </w:r>
          </w:p>
        </w:tc>
      </w:tr>
    </w:tbl>
    <w:p>
      <w:pPr>
        <w:spacing w:after="160"/>
      </w:pPr>
    </w:p>
    <w:p>
      <w:pPr>
        <w:pStyle w:val="Heading2"/>
        <w:spacing w:after="120" w:before="240"/>
      </w:pPr>
      <w:r>
        <w:t xml:space="preserve">Deviations from the paper's defaults</w:t>
      </w:r>
    </w:p>
    <w:p>
      <w:pPr>
        <w:spacing w:after="120"/>
      </w:pPr>
      <w:r>
        <w:t xml:space="preserve">The paper's configuration uses mistralai/Mistral-7B-Instruct-v0.2 for all three LLM roles plus intfloat/e5-mistral-7b-instruct as the embedder. That is roughly 28 GB of model weights and requires CUDA. On this hardware it was not runnable, so the three LLM roles were served by gpt-4o-mini, and the 7B embedder was replaced with e5-base-v2 (110M), which runs on CPU in under a second per encode.</w:t>
      </w:r>
    </w:p>
    <w:p>
      <w:pPr>
        <w:spacing w:after="120"/>
      </w:pPr>
      <w:r>
        <w:t xml:space="preserve">The supplied environment.yml is a Linux conda export pinned to Python 3.9 with CUDA-specific packages; it cannot be created on Windows. Dependencies were installed directly instead. This produced versions substantially newer than the paper’s pins — openai 3.3.1 vs 1.16.2, transformers 5.15.1 vs 4.43.4, sentence-transformers 6.0.0 vs 3.0.1 — so each API that EDC actually calls was verified to still exist before running: module-level openai.api_key and openai.chat.completions.create are intact, and SentenceTransformer.prompts returns {‘query’: ‘’, ‘document’: ‘’}, meaning EDC’s "sts_query" check correctly falls through to plain encode().</w:t>
      </w:r>
    </w:p>
    <w:p>
      <w:pPr>
        <w:pStyle w:val="Heading1"/>
        <w:spacing w:after="160" w:before="320"/>
      </w:pPr>
      <w:r>
        <w:t xml:space="preserve">5. Environment blockers resolved</w:t>
      </w:r>
    </w:p>
    <w:p>
      <w:pPr>
        <w:spacing w:after="120"/>
      </w:pPr>
      <w:r>
        <w:rPr>
          <w:b/>
          <w:bCs/>
          <w:i w:val="false"/>
          <w:iCs w:val="false"/>
        </w:rPr>
        <w:t xml:space="preserve">TLS interception. </w:t>
      </w:r>
      <w:r>
        <w:rPr>
          <w:b w:val="false"/>
          <w:bCs w:val="false"/>
          <w:i w:val="false"/>
          <w:iCs w:val="false"/>
        </w:rPr>
        <w:t xml:space="preserve">All Python HTTPS failed with CERTIFICATE_VERIFY_FAILED: Basic Constraints of CA cert not marked critical, blocking both api.openai.com and huggingface.co. curl succeeded against the same hosts, isolating the fault to Python’s OpenSSL rejecting a non-compliant root CA injected by a local TLS-inspecting proxy or antivirus HTTPS scanner. Resolved with the truststore package, injected at the top of run.py, which routes certificate verification through the Windows system store.</w:t>
      </w:r>
    </w:p>
    <w:p>
      <w:pPr>
        <w:spacing w:after="120"/>
      </w:pPr>
      <w:r>
        <w:rPr>
          <w:b/>
          <w:bCs/>
          <w:i w:val="false"/>
          <w:iCs w:val="false"/>
        </w:rPr>
        <w:t xml:space="preserve">Dead import chain and namespace collision. </w:t>
      </w:r>
      <w:r>
        <w:rPr>
          <w:b w:val="false"/>
          <w:bCs w:val="false"/>
          <w:i w:val="false"/>
          <w:iCs w:val="false"/>
        </w:rPr>
        <w:t xml:space="preserve">MistralForSequenceEmbedding was imported in four modules and used in none. The import pulled in accelerate and HuggingFace datasets — and datasets resolved to the repository’s own edc-main/edc-main/datasets/ corpus directory, since the run’s working directory precedes site-packages on sys.path. The four dead imports were removed.</w:t>
      </w:r>
    </w:p>
    <w:p>
      <w:pPr>
        <w:spacing w:after="120"/>
      </w:pPr>
      <w:r>
        <w:rPr>
          <w:b/>
          <w:bCs/>
          <w:i w:val="false"/>
          <w:iCs w:val="false"/>
        </w:rPr>
        <w:t xml:space="preserve">Windows cp1252 encoding. </w:t>
      </w:r>
      <w:r>
        <w:rPr>
          <w:b w:val="false"/>
          <w:bCs w:val="false"/>
          <w:i w:val="false"/>
          <w:iCs w:val="false"/>
        </w:rPr>
        <w:t xml:space="preserve">Every open() call in EDC omits an explicit encoding. The source text contains U+2011 non-breaking hyphens (e.g. "cross‑border"), which would decode to mojibake on read and raise UnicodeEncodeError on the final write — after all API calls had been paid for. Explicit encoding="utf-8" was added to the corpus read, schema read, and both output writes.</w:t>
      </w:r>
    </w:p>
    <w:p>
      <w:pPr>
        <w:spacing w:after="120"/>
      </w:pPr>
      <w:r>
        <w:rPr>
          <w:b/>
          <w:bCs/>
          <w:i w:val="false"/>
          <w:iCs w:val="false"/>
        </w:rPr>
        <w:t xml:space="preserve">Credential variable naming. </w:t>
      </w:r>
      <w:r>
        <w:rPr>
          <w:b w:val="false"/>
          <w:bCs w:val="false"/>
          <w:i w:val="false"/>
          <w:iCs w:val="false"/>
        </w:rPr>
        <w:t xml:space="preserve">EDC reads os.environ["OPENAI_KEY"], not the conventional OPENAI_API_KEY.</w:t>
      </w:r>
    </w:p>
    <w:p>
      <w:pPr>
        <w:pStyle w:val="Heading1"/>
        <w:spacing w:after="160" w:before="320"/>
      </w:pPr>
      <w:r>
        <w:t xml:space="preserve">6. Corpus preprocessing</w:t>
      </w:r>
    </w:p>
    <w:p>
      <w:pPr>
        <w:spacing w:after="120"/>
      </w:pPr>
      <w:r>
        <w:t xml:space="preserve">run.py treats every line of the input file as an independent document. The raw Schedule cannot be used this way: 350 lines are blank, and its hanging-paragraph structure leaves fragments such as "(a) free of charge; and" with no subject. 56 of the 337 non-empty lines are under 40 characters.</w:t>
      </w:r>
    </w:p>
    <w:p>
      <w:pPr>
        <w:spacing w:after="120"/>
      </w:pPr>
      <w:r>
        <w:rPr>
          <w:b w:val="false"/>
          <w:bCs w:val="false"/>
          <w:i w:val="false"/>
          <w:iCs w:val="false"/>
        </w:rPr>
        <w:t xml:space="preserve">prep_app.py was written to flatten the Schedule into </w:t>
      </w:r>
      <w:r>
        <w:rPr>
          <w:b/>
          <w:bCs/>
          <w:i w:val="false"/>
          <w:iCs w:val="false"/>
        </w:rPr>
        <w:t xml:space="preserve">134 self-contained documents</w:t>
      </w:r>
      <w:r>
        <w:rPr>
          <w:b w:val="false"/>
          <w:bCs w:val="false"/>
          <w:i w:val="false"/>
          <w:iCs w:val="false"/>
        </w:rPr>
        <w:t xml:space="preserve"> across 62 clause blocks (mean 67 words, max 136). Each emitted document carries its Part, its Australian Privacy Principle, its cross-heading, its clause stem, and any closing tail. Two structural rules proved necessary:</w:t>
      </w:r>
    </w:p>
    <w:p>
      <w:pPr>
        <w:pStyle w:val="ListParagraph"/>
        <w:numPr>
          <w:ilvl w:val="0"/>
          <w:numId w:val="2"/>
        </w:numPr>
        <w:spacing w:after="80"/>
      </w:pPr>
      <w:r>
        <w:rPr>
          <w:b/>
          <w:bCs/>
          <w:i w:val="false"/>
          <w:iCs w:val="false"/>
        </w:rPr>
        <w:t xml:space="preserve">Tail attachment is positional. </w:t>
      </w:r>
      <w:r>
        <w:rPr>
          <w:b w:val="false"/>
          <w:bCs w:val="false"/>
          <w:i w:val="false"/>
          <w:iCs w:val="false"/>
        </w:rPr>
        <w:t xml:space="preserve">A continuation following a nested (i)/(ii) group closes only that lettered paragraph; a continuation following a lettered paragraph closes the whole clause. This distinguishes clause 5.2 — where the tail "the fact that the entity so collects…" belongs to paragraph (b) alone — from clause 4.1, where the tail applies to (a) and (b) jointly. An initial implementation that attached tails to every paragraph silently corrupted 5.2(a).</w:t>
      </w:r>
    </w:p>
    <w:p>
      <w:pPr>
        <w:pStyle w:val="ListParagraph"/>
        <w:numPr>
          <w:ilvl w:val="0"/>
          <w:numId w:val="2"/>
        </w:numPr>
        <w:spacing w:after="80"/>
      </w:pPr>
      <w:r>
        <w:rPr>
          <w:b/>
          <w:bCs/>
          <w:i w:val="false"/>
          <w:iCs w:val="false"/>
        </w:rPr>
        <w:t xml:space="preserve">Case, not punctuation, separates tails from cross-headings. </w:t>
      </w:r>
      <w:r>
        <w:rPr>
          <w:b w:val="false"/>
          <w:bCs w:val="false"/>
          <w:i w:val="false"/>
          <w:iCs w:val="false"/>
        </w:rPr>
        <w:t xml:space="preserve">Several cross-headings end in a full stop ("Availability of APP privacy policy etc."), so length and punctuation heuristics bled them into the preceding clause. Genuine continuations always begin lower-case.</w:t>
      </w:r>
    </w:p>
    <w:p>
      <w:pPr>
        <w:spacing w:after="120"/>
      </w:pPr>
      <w:r>
        <w:t xml:space="preserve">Clauses exceeding 110 words are split per-paragraph, with the stem and closing tail repeated in each fragment so every document still reads as a complete rule.</w:t>
      </w:r>
    </w:p>
    <w:p>
      <w:pPr>
        <w:pStyle w:val="Heading1"/>
        <w:spacing w:after="160" w:before="320"/>
      </w:pPr>
      <w:r>
        <w:t xml:space="preserve">7. Prompt engineering and schema design</w:t>
      </w:r>
    </w:p>
    <w:p>
      <w:pPr>
        <w:spacing w:after="120"/>
      </w:pPr>
      <w:r>
        <w:t xml:space="preserve">Two domain-specific few-shot files were authored, replacing the shipped WebNLG examples (cities, films, buildings), which are a poor distributional match for regulatory text:</w:t>
      </w:r>
    </w:p>
    <w:p>
      <w:pPr>
        <w:pStyle w:val="ListParagraph"/>
        <w:numPr>
          <w:ilvl w:val="0"/>
          <w:numId w:val="2"/>
        </w:numPr>
        <w:spacing w:after="80"/>
      </w:pPr>
      <w:r>
        <w:rPr>
          <w:b w:val="false"/>
          <w:bCs w:val="false"/>
          <w:i w:val="false"/>
          <w:iCs w:val="false"/>
        </w:rPr>
        <w:t xml:space="preserve">oie_few_shot_examples.txt — 11 examples in the APP register</w:t>
      </w:r>
    </w:p>
    <w:p>
      <w:pPr>
        <w:pStyle w:val="ListParagraph"/>
        <w:numPr>
          <w:ilvl w:val="0"/>
          <w:numId w:val="2"/>
        </w:numPr>
        <w:spacing w:after="80"/>
      </w:pPr>
      <w:r>
        <w:rPr>
          <w:b w:val="false"/>
          <w:bCs w:val="false"/>
          <w:i w:val="false"/>
          <w:iCs w:val="false"/>
        </w:rPr>
        <w:t xml:space="preserve">sd_few_shot_examples.txt — 9 examples defining 32 relations</w:t>
      </w:r>
    </w:p>
    <w:p>
      <w:pPr>
        <w:spacing w:after="120"/>
      </w:pPr>
      <w:r>
        <w:rPr>
          <w:b w:val="false"/>
          <w:bCs w:val="false"/>
          <w:i w:val="false"/>
          <w:iCs w:val="false"/>
        </w:rPr>
        <w:t xml:space="preserve">A </w:t>
      </w:r>
      <w:r>
        <w:rPr>
          <w:b/>
          <w:bCs/>
          <w:i w:val="false"/>
          <w:iCs w:val="false"/>
        </w:rPr>
        <w:t xml:space="preserve">45-relation seed schema</w:t>
      </w:r>
      <w:r>
        <w:rPr>
          <w:b w:val="false"/>
          <w:bCs w:val="false"/>
          <w:i w:val="false"/>
          <w:iCs w:val="false"/>
        </w:rPr>
        <w:t xml:space="preserve"> (app_seed.csv) was authored as the canonicalization target, covering deontic predicates (must not collect, may disclose to, must take reasonable steps to), structural predicates (belongs to principle, set out in, has title), and conditional predicates (has exception, requires consent of, is subject to condition).</w:t>
      </w:r>
    </w:p>
    <w:p>
      <w:pPr>
        <w:spacing w:after="120"/>
      </w:pPr>
      <w:r>
        <w:t xml:space="preserve">A dependency-free preflight script (check_setup.py) was built to render the real prompt templates against the real few-shot files and dataset, load the schema through EDC's own code path, and round-trip the few-shot answers through EDC's own parse_raw_triplets and parse_relation_definition. Eleven checks. It caught two defects before any paid call: six relations taught in the OIE examples that no SD example ever defined, and Part-summary documents that named no instrument.</w:t>
      </w:r>
    </w:p>
    <w:p>
      <w:pPr>
        <w:pStyle w:val="Heading1"/>
        <w:spacing w:after="160" w:before="320"/>
      </w:pPr>
      <w:r>
        <w:t xml:space="preserve">8. Code defects found and fixed</w:t>
      </w:r>
    </w:p>
    <w:p>
      <w:pPr>
        <w:spacing w:after="120"/>
      </w:pPr>
      <w:r>
        <w:t xml:space="preserve">Seven defects in the reference implementation were corrected. Several are latent in the original because the OpenAI code path was evidently never exercised end to 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E8E8" w:val="clear"/>
            <w:tcMar>
              <w:top w:type="dxa" w:w="60"/>
              <w:left w:type="dxa" w:w="100"/>
              <w:bottom w:type="dxa" w:w="60"/>
              <w:right w:type="dxa" w:w="100"/>
            </w:tcMar>
          </w:tcPr>
          <w:p>
            <w:pPr>
              <w:spacing w:after="0"/>
            </w:pPr>
            <w:r>
              <w:rPr>
                <w:b/>
                <w:bCs/>
                <w:sz w:val="20"/>
                <w:szCs w:val="20"/>
              </w:rPr>
              <w:t xml:space="preserve">Location</w:t>
            </w:r>
          </w:p>
        </w:tc>
        <w:tc>
          <w:tcPr>
            <w:tcW w:type="dxa" w:w="6000"/>
            <w:shd w:fill="E8E8E8" w:val="clear"/>
            <w:tcMar>
              <w:top w:type="dxa" w:w="60"/>
              <w:left w:type="dxa" w:w="100"/>
              <w:bottom w:type="dxa" w:w="60"/>
              <w:right w:type="dxa" w:w="100"/>
            </w:tcMar>
          </w:tcPr>
          <w:p>
            <w:pPr>
              <w:spacing w:after="0"/>
            </w:pPr>
            <w:r>
              <w:rPr>
                <w:b/>
                <w:bCs/>
                <w:sz w:val="20"/>
                <w:szCs w:val="20"/>
              </w:rPr>
              <w:t xml:space="preserve">Defect</w:t>
            </w:r>
          </w:p>
        </w:tc>
      </w:tr>
      <w:tr>
        <w:tc>
          <w:tcPr>
            <w:tcW w:type="dxa" w:w="3000"/>
            <w:tcMar>
              <w:top w:type="dxa" w:w="60"/>
              <w:left w:type="dxa" w:w="100"/>
              <w:bottom w:type="dxa" w:w="60"/>
              <w:right w:type="dxa" w:w="100"/>
            </w:tcMar>
          </w:tcPr>
          <w:p>
            <w:pPr>
              <w:spacing w:after="0"/>
            </w:pPr>
            <w:r>
              <w:rPr>
                <w:b w:val="false"/>
                <w:bCs w:val="false"/>
                <w:sz w:val="20"/>
                <w:szCs w:val="20"/>
              </w:rPr>
              <w:t xml:space="preserve">schema_canonicalization.py:159</w:t>
            </w:r>
          </w:p>
        </w:tc>
        <w:tc>
          <w:tcPr>
            <w:tcW w:type="dxa" w:w="6000"/>
            <w:tcMar>
              <w:top w:type="dxa" w:w="60"/>
              <w:left w:type="dxa" w:w="100"/>
              <w:bottom w:type="dxa" w:w="60"/>
              <w:right w:type="dxa" w:w="100"/>
            </w:tcMar>
          </w:tcPr>
          <w:p>
            <w:pPr>
              <w:spacing w:after="0"/>
            </w:pPr>
            <w:r>
              <w:rPr>
                <w:b w:val="false"/>
                <w:bCs w:val="false"/>
                <w:sz w:val="20"/>
                <w:szCs w:val="20"/>
              </w:rPr>
              <w:t xml:space="preserve">KeyError when Schema Definition omits a relation — a condition the code itself logs as expected</w:t>
            </w:r>
          </w:p>
        </w:tc>
      </w:tr>
      <w:tr>
        <w:tc>
          <w:tcPr>
            <w:tcW w:type="dxa" w:w="3000"/>
            <w:tcMar>
              <w:top w:type="dxa" w:w="60"/>
              <w:left w:type="dxa" w:w="100"/>
              <w:bottom w:type="dxa" w:w="60"/>
              <w:right w:type="dxa" w:w="100"/>
            </w:tcMar>
          </w:tcPr>
          <w:p>
            <w:pPr>
              <w:spacing w:after="0"/>
            </w:pPr>
            <w:r>
              <w:rPr>
                <w:b w:val="false"/>
                <w:bCs w:val="false"/>
                <w:sz w:val="20"/>
                <w:szCs w:val="20"/>
              </w:rPr>
              <w:t xml:space="preserve">schema_canonicalization.py:108</w:t>
            </w:r>
          </w:p>
        </w:tc>
        <w:tc>
          <w:tcPr>
            <w:tcW w:type="dxa" w:w="6000"/>
            <w:tcMar>
              <w:top w:type="dxa" w:w="60"/>
              <w:left w:type="dxa" w:w="100"/>
              <w:bottom w:type="dxa" w:w="60"/>
              <w:right w:type="dxa" w:w="100"/>
            </w:tcMar>
          </w:tcPr>
          <w:p>
            <w:pPr>
              <w:spacing w:after="0"/>
            </w:pPr>
            <w:r>
              <w:rPr>
                <w:b w:val="false"/>
                <w:bCs w:val="false"/>
                <w:sz w:val="20"/>
                <w:szCs w:val="20"/>
              </w:rPr>
              <w:t xml:space="preserve">IndexError on an empty completion under max_tokens=1</w:t>
            </w:r>
          </w:p>
        </w:tc>
      </w:tr>
      <w:tr>
        <w:tc>
          <w:tcPr>
            <w:tcW w:type="dxa" w:w="3000"/>
            <w:tcMar>
              <w:top w:type="dxa" w:w="60"/>
              <w:left w:type="dxa" w:w="100"/>
              <w:bottom w:type="dxa" w:w="60"/>
              <w:right w:type="dxa" w:w="100"/>
            </w:tcMar>
          </w:tcPr>
          <w:p>
            <w:pPr>
              <w:spacing w:after="0"/>
            </w:pPr>
            <w:r>
              <w:rPr>
                <w:b w:val="false"/>
                <w:bCs w:val="false"/>
                <w:sz w:val="20"/>
                <w:szCs w:val="20"/>
              </w:rPr>
              <w:t xml:space="preserve">llm_utils.py:164</w:t>
            </w:r>
          </w:p>
        </w:tc>
        <w:tc>
          <w:tcPr>
            <w:tcW w:type="dxa" w:w="6000"/>
            <w:tcMar>
              <w:top w:type="dxa" w:w="60"/>
              <w:left w:type="dxa" w:w="100"/>
              <w:bottom w:type="dxa" w:w="60"/>
              <w:right w:type="dxa" w:w="100"/>
            </w:tcMar>
          </w:tcPr>
          <w:p>
            <w:pPr>
              <w:spacing w:after="0"/>
            </w:pPr>
            <w:r>
              <w:rPr>
                <w:b w:val="false"/>
                <w:bCs w:val="false"/>
                <w:sz w:val="20"/>
                <w:szCs w:val="20"/>
              </w:rPr>
              <w:t xml:space="preserve">Unbounded silent retry loop; a bad key or exhausted quota hangs forever with no output. Capped, logged, and raises</w:t>
            </w:r>
          </w:p>
        </w:tc>
      </w:tr>
      <w:tr>
        <w:tc>
          <w:tcPr>
            <w:tcW w:type="dxa" w:w="3000"/>
            <w:tcMar>
              <w:top w:type="dxa" w:w="60"/>
              <w:left w:type="dxa" w:w="100"/>
              <w:bottom w:type="dxa" w:w="60"/>
              <w:right w:type="dxa" w:w="100"/>
            </w:tcMar>
          </w:tcPr>
          <w:p>
            <w:pPr>
              <w:spacing w:after="0"/>
            </w:pPr>
            <w:r>
              <w:rPr>
                <w:b w:val="false"/>
                <w:bCs w:val="false"/>
                <w:sz w:val="20"/>
                <w:szCs w:val="20"/>
              </w:rPr>
              <w:t xml:space="preserve">edc_framework.py:239</w:t>
            </w:r>
          </w:p>
        </w:tc>
        <w:tc>
          <w:tcPr>
            <w:tcW w:type="dxa" w:w="6000"/>
            <w:tcMar>
              <w:top w:type="dxa" w:w="60"/>
              <w:left w:type="dxa" w:w="100"/>
              <w:bottom w:type="dxa" w:w="60"/>
              <w:right w:type="dxa" w:w="100"/>
            </w:tcMar>
          </w:tcPr>
          <w:p>
            <w:pPr>
              <w:spacing w:after="0"/>
            </w:pPr>
            <w:r>
              <w:rPr>
                <w:b w:val="false"/>
                <w:bCs w:val="false"/>
                <w:sz w:val="20"/>
                <w:szCs w:val="20"/>
              </w:rPr>
              <w:t xml:space="preserve">load_model(sc_llm, "sts") should be "hf"; "sts" returns a bare model that fails to unpack as a (model, tokenizer) pair</w:t>
            </w:r>
          </w:p>
        </w:tc>
      </w:tr>
      <w:tr>
        <w:tc>
          <w:tcPr>
            <w:tcW w:type="dxa" w:w="3000"/>
            <w:tcMar>
              <w:top w:type="dxa" w:w="60"/>
              <w:left w:type="dxa" w:w="100"/>
              <w:bottom w:type="dxa" w:w="60"/>
              <w:right w:type="dxa" w:w="100"/>
            </w:tcMar>
          </w:tcPr>
          <w:p>
            <w:pPr>
              <w:spacing w:after="0"/>
            </w:pPr>
            <w:r>
              <w:rPr>
                <w:b w:val="false"/>
                <w:bCs w:val="false"/>
                <w:sz w:val="20"/>
                <w:szCs w:val="20"/>
              </w:rPr>
              <w:t xml:space="preserve">edc_framework.py:316</w:t>
            </w:r>
          </w:p>
        </w:tc>
        <w:tc>
          <w:tcPr>
            <w:tcW w:type="dxa" w:w="6000"/>
            <w:tcMar>
              <w:top w:type="dxa" w:w="60"/>
              <w:left w:type="dxa" w:w="100"/>
              <w:bottom w:type="dxa" w:w="60"/>
              <w:right w:type="dxa" w:w="100"/>
            </w:tcMar>
          </w:tcPr>
          <w:p>
            <w:pPr>
              <w:spacing w:after="0"/>
            </w:pPr>
            <w:r>
              <w:rPr>
                <w:b w:val="false"/>
                <w:bCs w:val="false"/>
                <w:sz w:val="20"/>
                <w:szCs w:val="20"/>
              </w:rPr>
              <w:t xml:space="preserve">EntityExtractor(openai_model=self.sd_llm_name) should be self.ee_llm_name</w:t>
            </w:r>
          </w:p>
        </w:tc>
      </w:tr>
      <w:tr>
        <w:tc>
          <w:tcPr>
            <w:tcW w:type="dxa" w:w="3000"/>
            <w:tcMar>
              <w:top w:type="dxa" w:w="60"/>
              <w:left w:type="dxa" w:w="100"/>
              <w:bottom w:type="dxa" w:w="60"/>
              <w:right w:type="dxa" w:w="100"/>
            </w:tcMar>
          </w:tcPr>
          <w:p>
            <w:pPr>
              <w:spacing w:after="0"/>
            </w:pPr>
            <w:r>
              <w:rPr>
                <w:b w:val="false"/>
                <w:bCs w:val="false"/>
                <w:sz w:val="20"/>
                <w:szCs w:val="20"/>
              </w:rPr>
              <w:t xml:space="preserve">edc_framework.py (x3)</w:t>
            </w:r>
          </w:p>
        </w:tc>
        <w:tc>
          <w:tcPr>
            <w:tcW w:type="dxa" w:w="6000"/>
            <w:tcMar>
              <w:top w:type="dxa" w:w="60"/>
              <w:left w:type="dxa" w:w="100"/>
              <w:bottom w:type="dxa" w:w="60"/>
              <w:right w:type="dxa" w:w="100"/>
            </w:tcMar>
          </w:tcPr>
          <w:p>
            <w:pPr>
              <w:spacing w:after="0"/>
            </w:pPr>
            <w:r>
              <w:rPr>
                <w:b w:val="false"/>
                <w:bCs w:val="false"/>
                <w:sz w:val="20"/>
                <w:szCs w:val="20"/>
              </w:rPr>
              <w:t xml:space="preserve">All three free_model cleanup blocks reference unbound locals on the OpenAI path, raising UnboundLocalError after all three stages complete but before any output is written</w:t>
            </w:r>
          </w:p>
        </w:tc>
      </w:tr>
      <w:tr>
        <w:tc>
          <w:tcPr>
            <w:tcW w:type="dxa" w:w="3000"/>
            <w:tcMar>
              <w:top w:type="dxa" w:w="60"/>
              <w:left w:type="dxa" w:w="100"/>
              <w:bottom w:type="dxa" w:w="60"/>
              <w:right w:type="dxa" w:w="100"/>
            </w:tcMar>
          </w:tcPr>
          <w:p>
            <w:pPr>
              <w:spacing w:after="0"/>
            </w:pPr>
            <w:r>
              <w:rPr>
                <w:b w:val="false"/>
                <w:bCs w:val="false"/>
                <w:sz w:val="20"/>
                <w:szCs w:val="20"/>
              </w:rPr>
              <w:t xml:space="preserve">run.py, edc_framework.py (x3)</w:t>
            </w:r>
          </w:p>
        </w:tc>
        <w:tc>
          <w:tcPr>
            <w:tcW w:type="dxa" w:w="6000"/>
            <w:tcMar>
              <w:top w:type="dxa" w:w="60"/>
              <w:left w:type="dxa" w:w="100"/>
              <w:bottom w:type="dxa" w:w="60"/>
              <w:right w:type="dxa" w:w="100"/>
            </w:tcMar>
          </w:tcPr>
          <w:p>
            <w:pPr>
              <w:spacing w:after="0"/>
            </w:pPr>
            <w:r>
              <w:rPr>
                <w:b w:val="false"/>
                <w:bCs w:val="false"/>
                <w:sz w:val="20"/>
                <w:szCs w:val="20"/>
              </w:rPr>
              <w:t xml:space="preserve">Missing explicit UTF-8 encoding</w:t>
            </w:r>
          </w:p>
        </w:tc>
      </w:tr>
    </w:tbl>
    <w:p>
      <w:pPr>
        <w:spacing w:after="160"/>
      </w:pPr>
    </w:p>
    <w:p>
      <w:pPr>
        <w:spacing w:after="120"/>
      </w:pPr>
      <w:r>
        <w:t xml:space="preserve">The free_model defect is the most consequential: it destroyed a complete, fully paid-for run at the final cleanup step.</w:t>
      </w:r>
    </w:p>
    <w:p>
      <w:pPr>
        <w:pStyle w:val="Heading1"/>
        <w:spacing w:after="160" w:before="320"/>
      </w:pPr>
      <w:r>
        <w:t xml:space="preserve">9. Execution and results</w:t>
      </w:r>
    </w:p>
    <w:p>
      <w:pPr>
        <w:spacing w:after="120"/>
      </w:pPr>
      <w:r>
        <w:t xml:space="preserve">An 8-document smoke test was run first, then the full corpus.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shd w:fill="E8E8E8" w:val="clear"/>
            <w:tcMar>
              <w:top w:type="dxa" w:w="60"/>
              <w:left w:type="dxa" w:w="100"/>
              <w:bottom w:type="dxa" w:w="60"/>
              <w:right w:type="dxa" w:w="100"/>
            </w:tcMar>
          </w:tcPr>
          <w:p>
            <w:pPr>
              <w:spacing w:after="0"/>
            </w:pPr>
            <w:r>
              <w:rPr>
                <w:b/>
                <w:bCs/>
                <w:sz w:val="20"/>
                <w:szCs w:val="20"/>
              </w:rPr>
              <w:t xml:space="preserve">Metric</w:t>
            </w:r>
          </w:p>
        </w:tc>
        <w:tc>
          <w:tcPr>
            <w:tcW w:type="dxa" w:w="2700"/>
            <w:shd w:fill="E8E8E8" w:val="clear"/>
            <w:tcMar>
              <w:top w:type="dxa" w:w="60"/>
              <w:left w:type="dxa" w:w="100"/>
              <w:bottom w:type="dxa" w:w="60"/>
              <w:right w:type="dxa" w:w="100"/>
            </w:tcMar>
          </w:tcPr>
          <w:p>
            <w:pPr>
              <w:spacing w:after="0"/>
            </w:pPr>
            <w:r>
              <w:rPr>
                <w:b/>
                <w:bCs/>
                <w:sz w:val="20"/>
                <w:szCs w:val="20"/>
              </w:rPr>
              <w:t xml:space="preserve">Smoke (8 docs)</w:t>
            </w:r>
          </w:p>
        </w:tc>
        <w:tc>
          <w:tcPr>
            <w:tcW w:type="dxa" w:w="2700"/>
            <w:shd w:fill="E8E8E8" w:val="clear"/>
            <w:tcMar>
              <w:top w:type="dxa" w:w="60"/>
              <w:left w:type="dxa" w:w="100"/>
              <w:bottom w:type="dxa" w:w="60"/>
              <w:right w:type="dxa" w:w="100"/>
            </w:tcMar>
          </w:tcPr>
          <w:p>
            <w:pPr>
              <w:spacing w:after="0"/>
            </w:pPr>
            <w:r>
              <w:rPr>
                <w:b/>
                <w:bCs/>
                <w:sz w:val="20"/>
                <w:szCs w:val="20"/>
              </w:rPr>
              <w:t xml:space="preserve">Full (134 docs)</w:t>
            </w:r>
          </w:p>
        </w:tc>
      </w:tr>
      <w:tr>
        <w:tc>
          <w:tcPr>
            <w:tcW w:type="dxa" w:w="3600"/>
            <w:tcMar>
              <w:top w:type="dxa" w:w="60"/>
              <w:left w:type="dxa" w:w="100"/>
              <w:bottom w:type="dxa" w:w="60"/>
              <w:right w:type="dxa" w:w="100"/>
            </w:tcMar>
          </w:tcPr>
          <w:p>
            <w:pPr>
              <w:spacing w:after="0"/>
            </w:pPr>
            <w:r>
              <w:rPr>
                <w:b w:val="false"/>
                <w:bCs w:val="false"/>
                <w:sz w:val="20"/>
                <w:szCs w:val="20"/>
              </w:rPr>
              <w:t xml:space="preserve">OIE triples extracted</w:t>
            </w:r>
          </w:p>
        </w:tc>
        <w:tc>
          <w:tcPr>
            <w:tcW w:type="dxa" w:w="2700"/>
            <w:tcMar>
              <w:top w:type="dxa" w:w="60"/>
              <w:left w:type="dxa" w:w="100"/>
              <w:bottom w:type="dxa" w:w="60"/>
              <w:right w:type="dxa" w:w="100"/>
            </w:tcMar>
          </w:tcPr>
          <w:p>
            <w:pPr>
              <w:spacing w:after="0"/>
            </w:pPr>
            <w:r>
              <w:rPr>
                <w:b w:val="false"/>
                <w:bCs w:val="false"/>
                <w:sz w:val="20"/>
                <w:szCs w:val="20"/>
              </w:rPr>
              <w:t xml:space="preserve">32</w:t>
            </w:r>
          </w:p>
        </w:tc>
        <w:tc>
          <w:tcPr>
            <w:tcW w:type="dxa" w:w="2700"/>
            <w:tcMar>
              <w:top w:type="dxa" w:w="60"/>
              <w:left w:type="dxa" w:w="100"/>
              <w:bottom w:type="dxa" w:w="60"/>
              <w:right w:type="dxa" w:w="100"/>
            </w:tcMar>
          </w:tcPr>
          <w:p>
            <w:pPr>
              <w:spacing w:after="0"/>
            </w:pPr>
            <w:r>
              <w:rPr>
                <w:b w:val="false"/>
                <w:bCs w:val="false"/>
                <w:sz w:val="20"/>
                <w:szCs w:val="20"/>
              </w:rPr>
              <w:t xml:space="preserve">633</w:t>
            </w:r>
          </w:p>
        </w:tc>
      </w:tr>
      <w:tr>
        <w:tc>
          <w:tcPr>
            <w:tcW w:type="dxa" w:w="3600"/>
            <w:tcMar>
              <w:top w:type="dxa" w:w="60"/>
              <w:left w:type="dxa" w:w="100"/>
              <w:bottom w:type="dxa" w:w="60"/>
              <w:right w:type="dxa" w:w="100"/>
            </w:tcMar>
          </w:tcPr>
          <w:p>
            <w:pPr>
              <w:spacing w:after="0"/>
            </w:pPr>
            <w:r>
              <w:rPr>
                <w:b w:val="false"/>
                <w:bCs w:val="false"/>
                <w:sz w:val="20"/>
                <w:szCs w:val="20"/>
              </w:rPr>
              <w:t xml:space="preserve">Retained after canonicalization</w:t>
            </w:r>
          </w:p>
        </w:tc>
        <w:tc>
          <w:tcPr>
            <w:tcW w:type="dxa" w:w="2700"/>
            <w:tcMar>
              <w:top w:type="dxa" w:w="60"/>
              <w:left w:type="dxa" w:w="100"/>
              <w:bottom w:type="dxa" w:w="60"/>
              <w:right w:type="dxa" w:w="100"/>
            </w:tcMar>
          </w:tcPr>
          <w:p>
            <w:pPr>
              <w:spacing w:after="0"/>
            </w:pPr>
            <w:r>
              <w:rPr>
                <w:b w:val="false"/>
                <w:bCs w:val="false"/>
                <w:sz w:val="20"/>
                <w:szCs w:val="20"/>
              </w:rPr>
              <w:t xml:space="preserve">32</w:t>
            </w:r>
          </w:p>
        </w:tc>
        <w:tc>
          <w:tcPr>
            <w:tcW w:type="dxa" w:w="2700"/>
            <w:tcMar>
              <w:top w:type="dxa" w:w="60"/>
              <w:left w:type="dxa" w:w="100"/>
              <w:bottom w:type="dxa" w:w="60"/>
              <w:right w:type="dxa" w:w="100"/>
            </w:tcMar>
          </w:tcPr>
          <w:p>
            <w:pPr>
              <w:spacing w:after="0"/>
            </w:pPr>
            <w:r>
              <w:rPr>
                <w:b w:val="false"/>
                <w:bCs w:val="false"/>
                <w:sz w:val="20"/>
                <w:szCs w:val="20"/>
              </w:rPr>
              <w:t xml:space="preserve">632</w:t>
            </w:r>
          </w:p>
        </w:tc>
      </w:tr>
      <w:tr>
        <w:tc>
          <w:tcPr>
            <w:tcW w:type="dxa" w:w="3600"/>
            <w:tcMar>
              <w:top w:type="dxa" w:w="60"/>
              <w:left w:type="dxa" w:w="100"/>
              <w:bottom w:type="dxa" w:w="60"/>
              <w:right w:type="dxa" w:w="100"/>
            </w:tcMar>
          </w:tcPr>
          <w:p>
            <w:pPr>
              <w:spacing w:after="0"/>
            </w:pPr>
            <w:r>
              <w:rPr>
                <w:b w:val="false"/>
                <w:bCs w:val="false"/>
                <w:sz w:val="20"/>
                <w:szCs w:val="20"/>
              </w:rPr>
              <w:t xml:space="preserve">Dropped</w:t>
            </w:r>
          </w:p>
        </w:tc>
        <w:tc>
          <w:tcPr>
            <w:tcW w:type="dxa" w:w="2700"/>
            <w:tcMar>
              <w:top w:type="dxa" w:w="60"/>
              <w:left w:type="dxa" w:w="100"/>
              <w:bottom w:type="dxa" w:w="60"/>
              <w:right w:type="dxa" w:w="100"/>
            </w:tcMar>
          </w:tcPr>
          <w:p>
            <w:pPr>
              <w:spacing w:after="0"/>
            </w:pPr>
            <w:r>
              <w:rPr>
                <w:b w:val="false"/>
                <w:bCs w:val="false"/>
                <w:sz w:val="20"/>
                <w:szCs w:val="20"/>
              </w:rPr>
              <w:t xml:space="preserve">0</w:t>
            </w:r>
          </w:p>
        </w:tc>
        <w:tc>
          <w:tcPr>
            <w:tcW w:type="dxa" w:w="2700"/>
            <w:tcMar>
              <w:top w:type="dxa" w:w="60"/>
              <w:left w:type="dxa" w:w="100"/>
              <w:bottom w:type="dxa" w:w="60"/>
              <w:right w:type="dxa" w:w="100"/>
            </w:tcMar>
          </w:tcPr>
          <w:p>
            <w:pPr>
              <w:spacing w:after="0"/>
            </w:pPr>
            <w:r>
              <w:rPr>
                <w:b w:val="false"/>
                <w:bCs w:val="false"/>
                <w:sz w:val="20"/>
                <w:szCs w:val="20"/>
              </w:rPr>
              <w:t xml:space="preserve">1</w:t>
            </w:r>
          </w:p>
        </w:tc>
      </w:tr>
      <w:tr>
        <w:tc>
          <w:tcPr>
            <w:tcW w:type="dxa" w:w="3600"/>
            <w:tcMar>
              <w:top w:type="dxa" w:w="60"/>
              <w:left w:type="dxa" w:w="100"/>
              <w:bottom w:type="dxa" w:w="60"/>
              <w:right w:type="dxa" w:w="100"/>
            </w:tcMar>
          </w:tcPr>
          <w:p>
            <w:pPr>
              <w:spacing w:after="0"/>
            </w:pPr>
            <w:r>
              <w:rPr>
                <w:b w:val="false"/>
                <w:bCs w:val="false"/>
                <w:sz w:val="20"/>
                <w:szCs w:val="20"/>
              </w:rPr>
              <w:t xml:space="preserve">Mapped onto seed schema</w:t>
            </w:r>
          </w:p>
        </w:tc>
        <w:tc>
          <w:tcPr>
            <w:tcW w:type="dxa" w:w="2700"/>
            <w:tcMar>
              <w:top w:type="dxa" w:w="60"/>
              <w:left w:type="dxa" w:w="100"/>
              <w:bottom w:type="dxa" w:w="60"/>
              <w:right w:type="dxa" w:w="100"/>
            </w:tcMar>
          </w:tcPr>
          <w:p>
            <w:pPr>
              <w:spacing w:after="0"/>
            </w:pPr>
            <w:r>
              <w:rPr>
                <w:b w:val="false"/>
                <w:bCs w:val="false"/>
                <w:sz w:val="20"/>
                <w:szCs w:val="20"/>
              </w:rPr>
              <w:t xml:space="preserve">78%</w:t>
            </w:r>
          </w:p>
        </w:tc>
        <w:tc>
          <w:tcPr>
            <w:tcW w:type="dxa" w:w="2700"/>
            <w:tcMar>
              <w:top w:type="dxa" w:w="60"/>
              <w:left w:type="dxa" w:w="100"/>
              <w:bottom w:type="dxa" w:w="60"/>
              <w:right w:type="dxa" w:w="100"/>
            </w:tcMar>
          </w:tcPr>
          <w:p>
            <w:pPr>
              <w:spacing w:after="0"/>
            </w:pPr>
            <w:r>
              <w:rPr>
                <w:b w:val="false"/>
                <w:bCs w:val="false"/>
                <w:sz w:val="20"/>
                <w:szCs w:val="20"/>
              </w:rPr>
              <w:t xml:space="preserve">79% (502/632)</w:t>
            </w:r>
          </w:p>
        </w:tc>
      </w:tr>
      <w:tr>
        <w:tc>
          <w:tcPr>
            <w:tcW w:type="dxa" w:w="3600"/>
            <w:tcMar>
              <w:top w:type="dxa" w:w="60"/>
              <w:left w:type="dxa" w:w="100"/>
              <w:bottom w:type="dxa" w:w="60"/>
              <w:right w:type="dxa" w:w="100"/>
            </w:tcMar>
          </w:tcPr>
          <w:p>
            <w:pPr>
              <w:spacing w:after="0"/>
            </w:pPr>
            <w:r>
              <w:rPr>
                <w:b w:val="false"/>
                <w:bCs w:val="false"/>
                <w:sz w:val="20"/>
                <w:szCs w:val="20"/>
              </w:rPr>
              <w:t xml:space="preserve">Distinct relations</w:t>
            </w:r>
          </w:p>
        </w:tc>
        <w:tc>
          <w:tcPr>
            <w:tcW w:type="dxa" w:w="2700"/>
            <w:tcMar>
              <w:top w:type="dxa" w:w="60"/>
              <w:left w:type="dxa" w:w="100"/>
              <w:bottom w:type="dxa" w:w="60"/>
              <w:right w:type="dxa" w:w="100"/>
            </w:tcMar>
          </w:tcPr>
          <w:p>
            <w:pPr>
              <w:spacing w:after="0"/>
            </w:pPr>
            <w:r>
              <w:rPr>
                <w:b w:val="false"/>
                <w:bCs w:val="false"/>
                <w:sz w:val="20"/>
                <w:szCs w:val="20"/>
              </w:rPr>
              <w:t xml:space="preserve">16</w:t>
            </w:r>
          </w:p>
        </w:tc>
        <w:tc>
          <w:tcPr>
            <w:tcW w:type="dxa" w:w="2700"/>
            <w:tcMar>
              <w:top w:type="dxa" w:w="60"/>
              <w:left w:type="dxa" w:w="100"/>
              <w:bottom w:type="dxa" w:w="60"/>
              <w:right w:type="dxa" w:w="100"/>
            </w:tcMar>
          </w:tcPr>
          <w:p>
            <w:pPr>
              <w:spacing w:after="0"/>
            </w:pPr>
            <w:r>
              <w:rPr>
                <w:b w:val="false"/>
                <w:bCs w:val="false"/>
                <w:sz w:val="20"/>
                <w:szCs w:val="20"/>
              </w:rPr>
              <w:t xml:space="preserve">75 (42 seeded, 33 learned)</w:t>
            </w:r>
          </w:p>
        </w:tc>
      </w:tr>
      <w:tr>
        <w:tc>
          <w:tcPr>
            <w:tcW w:type="dxa" w:w="3600"/>
            <w:tcMar>
              <w:top w:type="dxa" w:w="60"/>
              <w:left w:type="dxa" w:w="100"/>
              <w:bottom w:type="dxa" w:w="60"/>
              <w:right w:type="dxa" w:w="100"/>
            </w:tcMar>
          </w:tcPr>
          <w:p>
            <w:pPr>
              <w:spacing w:after="0"/>
            </w:pPr>
            <w:r>
              <w:rPr>
                <w:b w:val="false"/>
                <w:bCs w:val="false"/>
                <w:sz w:val="20"/>
                <w:szCs w:val="20"/>
              </w:rPr>
              <w:t xml:space="preserve">Distinct entities</w:t>
            </w:r>
          </w:p>
        </w:tc>
        <w:tc>
          <w:tcPr>
            <w:tcW w:type="dxa" w:w="2700"/>
            <w:tcMar>
              <w:top w:type="dxa" w:w="60"/>
              <w:left w:type="dxa" w:w="100"/>
              <w:bottom w:type="dxa" w:w="60"/>
              <w:right w:type="dxa" w:w="100"/>
            </w:tcMar>
          </w:tcPr>
          <w:p>
            <w:pPr>
              <w:spacing w:after="0"/>
            </w:pPr>
            <w:r>
              <w:rPr>
                <w:b w:val="false"/>
                <w:bCs w:val="false"/>
                <w:sz w:val="20"/>
                <w:szCs w:val="20"/>
              </w:rPr>
              <w:t xml:space="preserve">—</w:t>
            </w:r>
          </w:p>
        </w:tc>
        <w:tc>
          <w:tcPr>
            <w:tcW w:type="dxa" w:w="2700"/>
            <w:tcMar>
              <w:top w:type="dxa" w:w="60"/>
              <w:left w:type="dxa" w:w="100"/>
              <w:bottom w:type="dxa" w:w="60"/>
              <w:right w:type="dxa" w:w="100"/>
            </w:tcMar>
          </w:tcPr>
          <w:p>
            <w:pPr>
              <w:spacing w:after="0"/>
            </w:pPr>
            <w:r>
              <w:rPr>
                <w:b w:val="false"/>
                <w:bCs w:val="false"/>
                <w:sz w:val="20"/>
                <w:szCs w:val="20"/>
              </w:rPr>
              <w:t xml:space="preserve">379</w:t>
            </w:r>
          </w:p>
        </w:tc>
      </w:tr>
    </w:tbl>
    <w:p>
      <w:pPr>
        <w:spacing w:after="160"/>
      </w:pPr>
    </w:p>
    <w:p>
      <w:pPr>
        <w:spacing w:after="120"/>
      </w:pPr>
      <w:r>
        <w:t xml:space="preserve">Runtime for the full corpus was approximately 15 minutes over roughly 1,200 sequential API calls (EDC does not batch or parallelize). Estimated cost at gpt-4o-mini rates is well under one US dollar.</w:t>
      </w:r>
    </w:p>
    <w:p>
      <w:pPr>
        <w:pStyle w:val="Heading2"/>
        <w:spacing w:after="120" w:before="240"/>
      </w:pPr>
      <w:r>
        <w:t xml:space="preserve">Iterative refinement of the few-shots</w:t>
      </w:r>
    </w:p>
    <w:p>
      <w:pPr>
        <w:spacing w:after="120"/>
      </w:pPr>
      <w:r>
        <w:t xml:space="preserve">The smoke test surfaced three systematic extraction errors, each corrected by amending the few-shot files rather than the paper's prompt templates — a customization the EDC README explicitly supports:</w:t>
      </w:r>
    </w:p>
    <w:p>
      <w:pPr>
        <w:pStyle w:val="ListParagraph"/>
        <w:numPr>
          <w:ilvl w:val="0"/>
          <w:numId w:val="2"/>
        </w:numPr>
        <w:spacing w:after="80"/>
      </w:pPr>
      <w:r>
        <w:rPr>
          <w:b/>
          <w:bCs/>
          <w:i w:val="false"/>
          <w:iCs w:val="false"/>
        </w:rPr>
        <w:t xml:space="preserve">Subject drift</w:t>
      </w:r>
      <w:r>
        <w:rPr>
          <w:b w:val="false"/>
          <w:bCs w:val="false"/>
          <w:i w:val="false"/>
          <w:iCs w:val="false"/>
        </w:rPr>
        <w:t xml:space="preserve"> — abstract nouns appearing as the subject of obligations, e.g. ['steps', 'must take reasonable steps to', 'compliance with Australian Privacy Principles'] where the subject should be APP entity.</w:t>
      </w:r>
    </w:p>
    <w:p>
      <w:pPr>
        <w:pStyle w:val="ListParagraph"/>
        <w:numPr>
          <w:ilvl w:val="0"/>
          <w:numId w:val="2"/>
        </w:numPr>
        <w:spacing w:after="80"/>
      </w:pPr>
      <w:r>
        <w:rPr>
          <w:b/>
          <w:bCs/>
          <w:i w:val="false"/>
          <w:iCs w:val="false"/>
        </w:rPr>
        <w:t xml:space="preserve">Argument-slot confusion</w:t>
      </w:r>
      <w:r>
        <w:rPr>
          <w:b w:val="false"/>
          <w:bCs w:val="false"/>
          <w:i w:val="false"/>
          <w:iCs w:val="false"/>
        </w:rPr>
        <w:t xml:space="preserve"> — ['APP entity', 'may use for', 'personal information'], placing the information in a slot the schema defines as holding a purpose.</w:t>
      </w:r>
    </w:p>
    <w:p>
      <w:pPr>
        <w:pStyle w:val="ListParagraph"/>
        <w:numPr>
          <w:ilvl w:val="0"/>
          <w:numId w:val="2"/>
        </w:numPr>
        <w:spacing w:after="80"/>
      </w:pPr>
      <w:r>
        <w:rPr>
          <w:b/>
          <w:bCs/>
          <w:i w:val="false"/>
          <w:iCs w:val="false"/>
        </w:rPr>
        <w:t xml:space="preserve">Reversed direction</w:t>
      </w:r>
      <w:r>
        <w:rPr>
          <w:b w:val="false"/>
          <w:bCs w:val="false"/>
          <w:i w:val="false"/>
          <w:iCs w:val="false"/>
        </w:rPr>
        <w:t xml:space="preserve"> on one structural triple.</w:t>
      </w:r>
    </w:p>
    <w:p>
      <w:pPr>
        <w:spacing w:after="120"/>
      </w:pPr>
      <w:r>
        <w:t xml:space="preserve">A two-rule preamble was added to the few-shot slot (subjects of obligations must be the regulated party; may use for takes a purpose, with the information recorded separately), together with three examples targeting the exact clause shapes that had failed. Four relations enriched during the smoke run were promoted into the seed schema to reduce churn.</w:t>
      </w:r>
    </w:p>
    <w:p>
      <w:pPr>
        <w:spacing w:after="120"/>
      </w:pPr>
      <w:r>
        <w:t xml:space="preserve">After these changes, clause 4.2 extracted correctly:</w:t>
      </w:r>
    </w:p>
    <w:p>
      <w:pPr>
        <w:shd w:fill="F4F4F4" w:val="clear"/>
        <w:spacing w:after="0" w:before="60"/>
        <w:ind w:left="240"/>
      </w:pPr>
      <w:r>
        <w:rPr>
          <w:rFonts w:ascii="Consolas" w:cs="Consolas" w:eastAsia="Consolas" w:hAnsi="Consolas"/>
          <w:sz w:val="18"/>
          <w:szCs w:val="18"/>
        </w:rPr>
        <w:t xml:space="preserve">before:  ['APP entity', 'may use for', 'personal information']</w:t>
      </w:r>
    </w:p>
    <w:p>
      <w:pPr>
        <w:shd w:fill="F4F4F4" w:val="clear"/>
        <w:spacing w:after="0" w:before="0"/>
        <w:ind w:left="240"/>
      </w:pPr>
      <w:r>
        <w:rPr>
          <w:rFonts w:ascii="Consolas" w:cs="Consolas" w:eastAsia="Consolas" w:hAnsi="Consolas"/>
          <w:sz w:val="18"/>
          <w:szCs w:val="18"/>
        </w:rPr>
        <w:t xml:space="preserve">after:   ['APP entity', 'may use', 'personal information']</w:t>
      </w:r>
    </w:p>
    <w:p>
      <w:pPr>
        <w:shd w:fill="F4F4F4" w:val="clear"/>
        <w:spacing w:after="0" w:before="0"/>
        <w:ind w:left="240"/>
      </w:pPr>
      <w:r>
        <w:rPr>
          <w:rFonts w:ascii="Consolas" w:cs="Consolas" w:eastAsia="Consolas" w:hAnsi="Consolas"/>
          <w:sz w:val="18"/>
          <w:szCs w:val="18"/>
        </w:rPr>
        <w:t xml:space="preserve">         ['APP entity', 'may disclose', 'personal information']</w:t>
      </w:r>
    </w:p>
    <w:p>
      <w:pPr>
        <w:shd w:fill="F4F4F4" w:val="clear"/>
        <w:spacing w:after="140" w:before="0"/>
        <w:ind w:left="240"/>
      </w:pPr>
      <w:r>
        <w:rPr>
          <w:rFonts w:ascii="Consolas" w:cs="Consolas" w:eastAsia="Consolas" w:hAnsi="Consolas"/>
          <w:sz w:val="18"/>
          <w:szCs w:val="18"/>
        </w:rPr>
        <w:t xml:space="preserve">         ['APP entity', 'may use for', 'making the determination under subclause 4.1']</w:t>
      </w:r>
    </w:p>
    <w:p>
      <w:pPr>
        <w:spacing w:after="120"/>
      </w:pPr>
      <w:r>
        <w:rPr>
          <w:b w:val="false"/>
          <w:bCs w:val="false"/>
          <w:i w:val="false"/>
          <w:iCs w:val="false"/>
        </w:rPr>
        <w:t xml:space="preserve">Residual subject drift fell to </w:t>
      </w:r>
      <w:r>
        <w:rPr>
          <w:b/>
          <w:bCs/>
          <w:i w:val="false"/>
          <w:iCs w:val="false"/>
        </w:rPr>
        <w:t xml:space="preserve">19 triples out of 632 (3%)</w:t>
      </w:r>
      <w:r>
        <w:rPr>
          <w:b w:val="false"/>
          <w:bCs w:val="false"/>
          <w:i w:val="false"/>
          <w:iCs w:val="false"/>
        </w:rPr>
        <w:t xml:space="preserve">. APP entity (126 occurrences) and organisation (56) now dominate the subject position as intended.</w:t>
      </w:r>
    </w:p>
    <w:p>
      <w:pPr>
        <w:pStyle w:val="Heading1"/>
        <w:spacing w:after="160" w:before="320"/>
      </w:pPr>
      <w:r>
        <w:t xml:space="preserve">10. Graph construction</w:t>
      </w:r>
    </w:p>
    <w:p>
      <w:pPr>
        <w:spacing w:after="120"/>
      </w:pPr>
      <w:r>
        <w:t xml:space="preserve">EDC canonicalizes relations but performs no entity-mention canonicalization — a limitation its authors state explicitly. build_graph.py was written to normalize entities, type the nodes, and emit loadable output.</w:t>
      </w:r>
    </w:p>
    <w:p>
      <w:pPr>
        <w:spacing w:after="120"/>
      </w:pPr>
      <w:r>
        <w:rPr>
          <w:b w:val="false"/>
          <w:bCs w:val="false"/>
          <w:i w:val="false"/>
          <w:iCs w:val="false"/>
        </w:rPr>
        <w:t xml:space="preserve">An initial plan to cluster entity mentions by embedding similarity was </w:t>
      </w:r>
      <w:r>
        <w:rPr>
          <w:b/>
          <w:bCs/>
          <w:i w:val="false"/>
          <w:iCs w:val="false"/>
        </w:rPr>
        <w:t xml:space="preserve">abandoned after inspecting the data</w:t>
      </w:r>
      <w:r>
        <w:rPr>
          <w:b w:val="false"/>
          <w:bCs w:val="false"/>
          <w:i w:val="false"/>
          <w:iCs w:val="false"/>
        </w:rPr>
        <w:t xml:space="preserve">. The long tail of 261 singleton entities is not duplication; it is genuinely distinct legal content (notification matters under 5.2, exception conditions under 3.4 and 6.2) that must remain distinct. Similarity clustering would have destroyed it. What the data actually exhibited was article-variant duplication:</w:t>
      </w:r>
    </w:p>
    <w:p>
      <w:pPr>
        <w:shd w:fill="F4F4F4" w:val="clear"/>
        <w:spacing w:after="0" w:before="60"/>
        <w:ind w:left="240"/>
      </w:pPr>
      <w:r>
        <w:rPr>
          <w:rFonts w:ascii="Consolas" w:cs="Consolas" w:eastAsia="Consolas" w:hAnsi="Consolas"/>
          <w:sz w:val="18"/>
          <w:szCs w:val="18"/>
        </w:rPr>
        <w:t xml:space="preserve">how an individual may access personal information</w:t>
      </w:r>
    </w:p>
    <w:p>
      <w:pPr>
        <w:shd w:fill="F4F4F4" w:val="clear"/>
        <w:spacing w:after="140" w:before="0"/>
        <w:ind w:left="240"/>
      </w:pPr>
      <w:r>
        <w:rPr>
          <w:rFonts w:ascii="Consolas" w:cs="Consolas" w:eastAsia="Consolas" w:hAnsi="Consolas"/>
          <w:sz w:val="18"/>
          <w:szCs w:val="18"/>
        </w:rPr>
        <w:t xml:space="preserve">how the individual may access personal information</w:t>
      </w:r>
    </w:p>
    <w:p>
      <w:pPr>
        <w:spacing w:after="120"/>
      </w:pPr>
      <w:r>
        <w:t xml:space="preserve">Conservative string normalization was used instead — leading-article stripping, article neutralization before recurring actors, and an explicit synonym map (the entity -&gt; APP entity, individuals -&gt; individual). This merged 10 entities. That modest figure is the honest result: the tail really is distinct content.</w:t>
      </w:r>
    </w:p>
    <w:p>
      <w:pPr>
        <w:spacing w:after="120"/>
      </w:pPr>
      <w:r>
        <w:rPr>
          <w:b/>
          <w:bCs/>
          <w:i w:val="false"/>
          <w:iCs w:val="false"/>
        </w:rPr>
        <w:t xml:space="preserve">Final graph: </w:t>
      </w:r>
      <w:r>
        <w:rPr>
          <w:b w:val="false"/>
          <w:bCs w:val="false"/>
          <w:i w:val="false"/>
          <w:iCs w:val="false"/>
        </w:rPr>
        <w:t xml:space="preserve">369 nodes, 440 relationships, 0 isolated nodes. Total edge weight 631, accounting for every retained triple (191 duplicates collapsed into weighted edges; one self-loop, "APP entity is a type of entity", correctly eliminated by the synonym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E8E8" w:val="clear"/>
            <w:tcMar>
              <w:top w:type="dxa" w:w="60"/>
              <w:left w:type="dxa" w:w="100"/>
              <w:bottom w:type="dxa" w:w="60"/>
              <w:right w:type="dxa" w:w="100"/>
            </w:tcMar>
          </w:tcPr>
          <w:p>
            <w:pPr>
              <w:spacing w:after="0"/>
            </w:pPr>
            <w:r>
              <w:rPr>
                <w:b/>
                <w:bCs/>
                <w:sz w:val="20"/>
                <w:szCs w:val="20"/>
              </w:rPr>
              <w:t xml:space="preserve">Node type</w:t>
            </w:r>
          </w:p>
        </w:tc>
        <w:tc>
          <w:tcPr>
            <w:tcW w:type="dxa" w:w="6000"/>
            <w:shd w:fill="E8E8E8" w:val="clear"/>
            <w:tcMar>
              <w:top w:type="dxa" w:w="60"/>
              <w:left w:type="dxa" w:w="100"/>
              <w:bottom w:type="dxa" w:w="60"/>
              <w:right w:type="dxa" w:w="100"/>
            </w:tcMar>
          </w:tcPr>
          <w:p>
            <w:pPr>
              <w:spacing w:after="0"/>
            </w:pPr>
            <w:r>
              <w:rPr>
                <w:b/>
                <w:bCs/>
                <w:sz w:val="20"/>
                <w:szCs w:val="20"/>
              </w:rPr>
              <w:t xml:space="preserve">Count</w:t>
            </w:r>
          </w:p>
        </w:tc>
      </w:tr>
      <w:tr>
        <w:tc>
          <w:tcPr>
            <w:tcW w:type="dxa" w:w="3000"/>
            <w:tcMar>
              <w:top w:type="dxa" w:w="60"/>
              <w:left w:type="dxa" w:w="100"/>
              <w:bottom w:type="dxa" w:w="60"/>
              <w:right w:type="dxa" w:w="100"/>
            </w:tcMar>
          </w:tcPr>
          <w:p>
            <w:pPr>
              <w:spacing w:after="0"/>
            </w:pPr>
            <w:r>
              <w:rPr>
                <w:b w:val="false"/>
                <w:bCs w:val="false"/>
                <w:sz w:val="20"/>
                <w:szCs w:val="20"/>
              </w:rPr>
              <w:t xml:space="preserve">Concept</w:t>
            </w:r>
          </w:p>
        </w:tc>
        <w:tc>
          <w:tcPr>
            <w:tcW w:type="dxa" w:w="6000"/>
            <w:tcMar>
              <w:top w:type="dxa" w:w="60"/>
              <w:left w:type="dxa" w:w="100"/>
              <w:bottom w:type="dxa" w:w="60"/>
              <w:right w:type="dxa" w:w="100"/>
            </w:tcMar>
          </w:tcPr>
          <w:p>
            <w:pPr>
              <w:spacing w:after="0"/>
            </w:pPr>
            <w:r>
              <w:rPr>
                <w:b w:val="false"/>
                <w:bCs w:val="false"/>
                <w:sz w:val="20"/>
                <w:szCs w:val="20"/>
              </w:rPr>
              <w:t xml:space="preserve">249</w:t>
            </w:r>
          </w:p>
        </w:tc>
      </w:tr>
      <w:tr>
        <w:tc>
          <w:tcPr>
            <w:tcW w:type="dxa" w:w="3000"/>
            <w:tcMar>
              <w:top w:type="dxa" w:w="60"/>
              <w:left w:type="dxa" w:w="100"/>
              <w:bottom w:type="dxa" w:w="60"/>
              <w:right w:type="dxa" w:w="100"/>
            </w:tcMar>
          </w:tcPr>
          <w:p>
            <w:pPr>
              <w:spacing w:after="0"/>
            </w:pPr>
            <w:r>
              <w:rPr>
                <w:b w:val="false"/>
                <w:bCs w:val="false"/>
                <w:sz w:val="20"/>
                <w:szCs w:val="20"/>
              </w:rPr>
              <w:t xml:space="preserve">Provision</w:t>
            </w:r>
          </w:p>
        </w:tc>
        <w:tc>
          <w:tcPr>
            <w:tcW w:type="dxa" w:w="6000"/>
            <w:tcMar>
              <w:top w:type="dxa" w:w="60"/>
              <w:left w:type="dxa" w:w="100"/>
              <w:bottom w:type="dxa" w:w="60"/>
              <w:right w:type="dxa" w:w="100"/>
            </w:tcMar>
          </w:tcPr>
          <w:p>
            <w:pPr>
              <w:spacing w:after="0"/>
            </w:pPr>
            <w:r>
              <w:rPr>
                <w:b w:val="false"/>
                <w:bCs w:val="false"/>
                <w:sz w:val="20"/>
                <w:szCs w:val="20"/>
              </w:rPr>
              <w:t xml:space="preserve">77</w:t>
            </w:r>
          </w:p>
        </w:tc>
      </w:tr>
      <w:tr>
        <w:tc>
          <w:tcPr>
            <w:tcW w:type="dxa" w:w="3000"/>
            <w:tcMar>
              <w:top w:type="dxa" w:w="60"/>
              <w:left w:type="dxa" w:w="100"/>
              <w:bottom w:type="dxa" w:w="60"/>
              <w:right w:type="dxa" w:w="100"/>
            </w:tcMar>
          </w:tcPr>
          <w:p>
            <w:pPr>
              <w:spacing w:after="0"/>
            </w:pPr>
            <w:r>
              <w:rPr>
                <w:b w:val="false"/>
                <w:bCs w:val="false"/>
                <w:sz w:val="20"/>
                <w:szCs w:val="20"/>
              </w:rPr>
              <w:t xml:space="preserve">Legislation</w:t>
            </w:r>
          </w:p>
        </w:tc>
        <w:tc>
          <w:tcPr>
            <w:tcW w:type="dxa" w:w="6000"/>
            <w:tcMar>
              <w:top w:type="dxa" w:w="60"/>
              <w:left w:type="dxa" w:w="100"/>
              <w:bottom w:type="dxa" w:w="60"/>
              <w:right w:type="dxa" w:w="100"/>
            </w:tcMar>
          </w:tcPr>
          <w:p>
            <w:pPr>
              <w:spacing w:after="0"/>
            </w:pPr>
            <w:r>
              <w:rPr>
                <w:b w:val="false"/>
                <w:bCs w:val="false"/>
                <w:sz w:val="20"/>
                <w:szCs w:val="20"/>
              </w:rPr>
              <w:t xml:space="preserve">16</w:t>
            </w:r>
          </w:p>
        </w:tc>
      </w:tr>
      <w:tr>
        <w:tc>
          <w:tcPr>
            <w:tcW w:type="dxa" w:w="3000"/>
            <w:tcMar>
              <w:top w:type="dxa" w:w="60"/>
              <w:left w:type="dxa" w:w="100"/>
              <w:bottom w:type="dxa" w:w="60"/>
              <w:right w:type="dxa" w:w="100"/>
            </w:tcMar>
          </w:tcPr>
          <w:p>
            <w:pPr>
              <w:spacing w:after="0"/>
            </w:pPr>
            <w:r>
              <w:rPr>
                <w:b w:val="false"/>
                <w:bCs w:val="false"/>
                <w:sz w:val="20"/>
                <w:szCs w:val="20"/>
              </w:rPr>
              <w:t xml:space="preserve">Principle</w:t>
            </w:r>
          </w:p>
        </w:tc>
        <w:tc>
          <w:tcPr>
            <w:tcW w:type="dxa" w:w="6000"/>
            <w:tcMar>
              <w:top w:type="dxa" w:w="60"/>
              <w:left w:type="dxa" w:w="100"/>
              <w:bottom w:type="dxa" w:w="60"/>
              <w:right w:type="dxa" w:w="100"/>
            </w:tcMar>
          </w:tcPr>
          <w:p>
            <w:pPr>
              <w:spacing w:after="0"/>
            </w:pPr>
            <w:r>
              <w:rPr>
                <w:b w:val="false"/>
                <w:bCs w:val="false"/>
                <w:sz w:val="20"/>
                <w:szCs w:val="20"/>
              </w:rPr>
              <w:t xml:space="preserve">14 (13 APPs plus the collective)</w:t>
            </w:r>
          </w:p>
        </w:tc>
      </w:tr>
      <w:tr>
        <w:tc>
          <w:tcPr>
            <w:tcW w:type="dxa" w:w="3000"/>
            <w:tcMar>
              <w:top w:type="dxa" w:w="60"/>
              <w:left w:type="dxa" w:w="100"/>
              <w:bottom w:type="dxa" w:w="60"/>
              <w:right w:type="dxa" w:w="100"/>
            </w:tcMar>
          </w:tcPr>
          <w:p>
            <w:pPr>
              <w:spacing w:after="0"/>
            </w:pPr>
            <w:r>
              <w:rPr>
                <w:b w:val="false"/>
                <w:bCs w:val="false"/>
                <w:sz w:val="20"/>
                <w:szCs w:val="20"/>
              </w:rPr>
              <w:t xml:space="preserve">Party</w:t>
            </w:r>
          </w:p>
        </w:tc>
        <w:tc>
          <w:tcPr>
            <w:tcW w:type="dxa" w:w="6000"/>
            <w:tcMar>
              <w:top w:type="dxa" w:w="60"/>
              <w:left w:type="dxa" w:w="100"/>
              <w:bottom w:type="dxa" w:w="60"/>
              <w:right w:type="dxa" w:w="100"/>
            </w:tcMar>
          </w:tcPr>
          <w:p>
            <w:pPr>
              <w:spacing w:after="0"/>
            </w:pPr>
            <w:r>
              <w:rPr>
                <w:b w:val="false"/>
                <w:bCs w:val="false"/>
                <w:sz w:val="20"/>
                <w:szCs w:val="20"/>
              </w:rPr>
              <w:t xml:space="preserve">9</w:t>
            </w:r>
          </w:p>
        </w:tc>
      </w:tr>
      <w:tr>
        <w:tc>
          <w:tcPr>
            <w:tcW w:type="dxa" w:w="3000"/>
            <w:tcMar>
              <w:top w:type="dxa" w:w="60"/>
              <w:left w:type="dxa" w:w="100"/>
              <w:bottom w:type="dxa" w:w="60"/>
              <w:right w:type="dxa" w:w="100"/>
            </w:tcMar>
          </w:tcPr>
          <w:p>
            <w:pPr>
              <w:spacing w:after="0"/>
            </w:pPr>
            <w:r>
              <w:rPr>
                <w:b w:val="false"/>
                <w:bCs w:val="false"/>
                <w:sz w:val="20"/>
                <w:szCs w:val="20"/>
              </w:rPr>
              <w:t xml:space="preserve">InformationType</w:t>
            </w:r>
          </w:p>
        </w:tc>
        <w:tc>
          <w:tcPr>
            <w:tcW w:type="dxa" w:w="6000"/>
            <w:tcMar>
              <w:top w:type="dxa" w:w="60"/>
              <w:left w:type="dxa" w:w="100"/>
              <w:bottom w:type="dxa" w:w="60"/>
              <w:right w:type="dxa" w:w="100"/>
            </w:tcMar>
          </w:tcPr>
          <w:p>
            <w:pPr>
              <w:spacing w:after="0"/>
            </w:pPr>
            <w:r>
              <w:rPr>
                <w:b w:val="false"/>
                <w:bCs w:val="false"/>
                <w:sz w:val="20"/>
                <w:szCs w:val="20"/>
              </w:rPr>
              <w:t xml:space="preserve">4</w:t>
            </w:r>
          </w:p>
        </w:tc>
      </w:tr>
    </w:tbl>
    <w:p>
      <w:pPr>
        <w:spacing w:after="160"/>
      </w:pPr>
    </w:p>
    <w:p>
      <w:pPr>
        <w:spacing w:after="120"/>
      </w:pPr>
      <w:r>
        <w:t xml:space="preserve">The nine Party nodes resolved exactly as intended: APP entity, organisation, agency, individual, overseas recipient, enforcement body, body corporate, related body corporate, first organisation.</w:t>
      </w:r>
    </w:p>
    <w:p>
      <w:pPr>
        <w:spacing w:after="120"/>
      </w:pPr>
      <w:r>
        <w:t xml:space="preserve">Hub structure is coherent — APP entity (degree 86), individual (37), personal information (37). The most frequent relationship, BELONGS_TO_PRINCIPLE (62 edges), provides a complete structural spine linking every extracted provision to its governing Principle.</w:t>
      </w:r>
    </w:p>
    <w:p>
      <w:pPr>
        <w:pStyle w:val="Heading1"/>
        <w:spacing w:after="160" w:before="320"/>
      </w:pPr>
      <w:r>
        <w:t xml:space="preserve">11. Neo4j deployment</w:t>
      </w:r>
    </w:p>
    <w:p>
      <w:pPr>
        <w:spacing w:after="120"/>
      </w:pPr>
      <w:r>
        <w:t xml:space="preserve">Loaded into Aura instance e6598edc via load_neo4j.py, using parameterised, batched Cypher rather than replaying the generated .cypher file — faster and immune to string-escaping faults.</w:t>
      </w:r>
    </w:p>
    <w:p>
      <w:pPr>
        <w:spacing w:after="120"/>
      </w:pPr>
      <w:r>
        <w:t xml:space="preserve">The instance previously held 108 Entity/PrivacyConcept nodes and 103 RELATED_TO relationships from earlier work. That data was exported to pre_wipe_backup.json (477 nodes, 543 relationships, with full labels and properties) before the instance was cleared, since Aura Free provides no point-in-time restore.</w:t>
      </w:r>
    </w:p>
    <w:p>
      <w:pPr>
        <w:spacing w:after="120"/>
      </w:pPr>
      <w:r>
        <w:rPr>
          <w:b/>
          <w:bCs/>
          <w:i w:val="false"/>
          <w:iCs w:val="false"/>
        </w:rPr>
        <w:t xml:space="preserve">Verified final state: </w:t>
      </w:r>
      <w:r>
        <w:rPr>
          <w:b w:val="false"/>
          <w:bCs w:val="false"/>
          <w:i w:val="false"/>
          <w:iCs w:val="false"/>
        </w:rPr>
        <w:t xml:space="preserve">369 :AppNode nodes, 440 relationships, 75 relationship types, 0 residual nodes from the previous graph. The load is idempotent — MERGE on a uniqueness-constrained key — so regenerating and reloading updates in place rather than duplicating.</w:t>
      </w:r>
    </w:p>
    <w:p>
      <w:pPr>
        <w:spacing w:after="120"/>
      </w:pPr>
      <w:r>
        <w:t xml:space="preserve">Relationships carry three properties: relation (the original relation text), weight (how many source clauses assert it), and provisions (which subclauses).</w:t>
      </w:r>
    </w:p>
    <w:p>
      <w:pPr>
        <w:pStyle w:val="Heading1"/>
        <w:spacing w:after="160" w:before="320"/>
      </w:pPr>
      <w:r>
        <w:t xml:space="preserve">12. Limitations</w:t>
      </w:r>
    </w:p>
    <w:p>
      <w:pPr>
        <w:pStyle w:val="ListParagraph"/>
        <w:numPr>
          <w:ilvl w:val="0"/>
          <w:numId w:val="2"/>
        </w:numPr>
        <w:spacing w:after="80"/>
      </w:pPr>
      <w:r>
        <w:rPr>
          <w:b/>
          <w:bCs/>
          <w:i w:val="false"/>
          <w:iCs w:val="false"/>
        </w:rPr>
        <w:t xml:space="preserve">No entity canonicalization beyond string normalization. </w:t>
      </w:r>
      <w:r>
        <w:rPr>
          <w:b w:val="false"/>
          <w:bCs w:val="false"/>
          <w:i w:val="false"/>
          <w:iCs w:val="false"/>
        </w:rPr>
        <w:t xml:space="preserve">This is EDC's documented boundary. 261 of 379 entities appear once, which is appropriate for this corpus but leaves a leaf-heavy graph.</w:t>
      </w:r>
    </w:p>
    <w:p>
      <w:pPr>
        <w:pStyle w:val="ListParagraph"/>
        <w:numPr>
          <w:ilvl w:val="0"/>
          <w:numId w:val="2"/>
        </w:numPr>
        <w:spacing w:after="80"/>
      </w:pPr>
      <w:r>
        <w:rPr>
          <w:b/>
          <w:bCs/>
          <w:i w:val="false"/>
          <w:iCs w:val="false"/>
        </w:rPr>
        <w:t xml:space="preserve">No coreference resolution. </w:t>
      </w:r>
      <w:r>
        <w:rPr>
          <w:b w:val="false"/>
          <w:bCs w:val="false"/>
          <w:i w:val="false"/>
          <w:iCs w:val="false"/>
        </w:rPr>
        <w:t xml:space="preserve">Handled only by the explicit synonym map.</w:t>
      </w:r>
    </w:p>
    <w:p>
      <w:pPr>
        <w:pStyle w:val="ListParagraph"/>
        <w:numPr>
          <w:ilvl w:val="0"/>
          <w:numId w:val="2"/>
        </w:numPr>
        <w:spacing w:after="80"/>
      </w:pPr>
      <w:r>
        <w:rPr>
          <w:b/>
          <w:bCs/>
          <w:i w:val="false"/>
          <w:iCs w:val="false"/>
        </w:rPr>
        <w:t xml:space="preserve">3% residual subject drift </w:t>
      </w:r>
      <w:r>
        <w:rPr>
          <w:b w:val="false"/>
          <w:bCs w:val="false"/>
          <w:i w:val="false"/>
          <w:iCs w:val="false"/>
        </w:rPr>
        <w:t xml:space="preserve">persists into the graph as low-degree junk nodes (principles, information, steps, disclosure).</w:t>
      </w:r>
    </w:p>
    <w:p>
      <w:pPr>
        <w:pStyle w:val="ListParagraph"/>
        <w:numPr>
          <w:ilvl w:val="0"/>
          <w:numId w:val="2"/>
        </w:numPr>
        <w:spacing w:after="80"/>
      </w:pPr>
      <w:r>
        <w:rPr>
          <w:b/>
          <w:bCs/>
          <w:i w:val="false"/>
          <w:iCs w:val="false"/>
        </w:rPr>
        <w:t xml:space="preserve">Conditions are unstructured. </w:t>
      </w:r>
      <w:r>
        <w:rPr>
          <w:b w:val="false"/>
          <w:bCs w:val="false"/>
          <w:i w:val="false"/>
          <w:iCs w:val="false"/>
        </w:rPr>
        <w:t xml:space="preserve">HAS_EXCEPTION (33 edges) and IS_SUBJECT_TO_CONDITION (14) point at free-text condition strings. Adequate for retrieval; insufficient for automated compliance reasoning.</w:t>
      </w:r>
    </w:p>
    <w:p>
      <w:pPr>
        <w:pStyle w:val="ListParagraph"/>
        <w:numPr>
          <w:ilvl w:val="0"/>
          <w:numId w:val="2"/>
        </w:numPr>
        <w:spacing w:after="80"/>
      </w:pPr>
      <w:r>
        <w:rPr>
          <w:b/>
          <w:bCs/>
          <w:i w:val="false"/>
          <w:iCs w:val="false"/>
        </w:rPr>
        <w:t xml:space="preserve">Model substitution is untested against the paper's benchmarks. </w:t>
      </w:r>
      <w:r>
        <w:rPr>
          <w:b w:val="false"/>
          <w:bCs w:val="false"/>
          <w:i w:val="false"/>
          <w:iCs w:val="false"/>
        </w:rPr>
        <w:t xml:space="preserve">Substituting gpt-4o-mini and a 110M embedder for the paper's 7B models means these results are not directly comparable to the published figures.</w:t>
      </w:r>
    </w:p>
    <w:p>
      <w:pPr>
        <w:pStyle w:val="ListParagraph"/>
        <w:numPr>
          <w:ilvl w:val="0"/>
          <w:numId w:val="2"/>
        </w:numPr>
        <w:spacing w:after="80"/>
      </w:pPr>
      <w:r>
        <w:rPr>
          <w:b/>
          <w:bCs/>
          <w:i w:val="false"/>
          <w:iCs w:val="false"/>
        </w:rPr>
        <w:t xml:space="preserve">No iterative refinement. </w:t>
      </w:r>
      <w:r>
        <w:rPr>
          <w:b w:val="false"/>
          <w:bCs w:val="false"/>
          <w:i w:val="false"/>
          <w:iCs w:val="false"/>
        </w:rPr>
        <w:t xml:space="preserve">The Schema Retriever refinement loop (--refinement_iterations) was not used; it requires a fine-tuned adapter and the 7B embedder.</w:t>
      </w:r>
    </w:p>
    <w:p>
      <w:pPr>
        <w:pStyle w:val="Heading1"/>
        <w:spacing w:after="160" w:before="320"/>
      </w:pPr>
      <w:r>
        <w:t xml:space="preserve">13. Artefacts produced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E8E8E8" w:val="clear"/>
            <w:tcMar>
              <w:top w:type="dxa" w:w="60"/>
              <w:left w:type="dxa" w:w="100"/>
              <w:bottom w:type="dxa" w:w="60"/>
              <w:right w:type="dxa" w:w="100"/>
            </w:tcMar>
          </w:tcPr>
          <w:p>
            <w:pPr>
              <w:spacing w:after="0"/>
            </w:pPr>
            <w:r>
              <w:rPr>
                <w:b/>
                <w:bCs/>
                <w:sz w:val="20"/>
                <w:szCs w:val="20"/>
              </w:rPr>
              <w:t xml:space="preserve">File</w:t>
            </w:r>
          </w:p>
        </w:tc>
        <w:tc>
          <w:tcPr>
            <w:tcW w:type="dxa" w:w="5600"/>
            <w:shd w:fill="E8E8E8" w:val="clear"/>
            <w:tcMar>
              <w:top w:type="dxa" w:w="60"/>
              <w:left w:type="dxa" w:w="100"/>
              <w:bottom w:type="dxa" w:w="60"/>
              <w:right w:type="dxa" w:w="100"/>
            </w:tcMar>
          </w:tcPr>
          <w:p>
            <w:pPr>
              <w:spacing w:after="0"/>
            </w:pPr>
            <w:r>
              <w:rPr>
                <w:b/>
                <w:bCs/>
                <w:sz w:val="20"/>
                <w:szCs w:val="20"/>
              </w:rPr>
              <w:t xml:space="preserve">Purpose</w:t>
            </w:r>
          </w:p>
        </w:tc>
      </w:tr>
      <w:tr>
        <w:tc>
          <w:tcPr>
            <w:tcW w:type="dxa" w:w="3400"/>
            <w:tcMar>
              <w:top w:type="dxa" w:w="60"/>
              <w:left w:type="dxa" w:w="100"/>
              <w:bottom w:type="dxa" w:w="60"/>
              <w:right w:type="dxa" w:w="100"/>
            </w:tcMar>
          </w:tcPr>
          <w:p>
            <w:pPr>
              <w:spacing w:after="0"/>
            </w:pPr>
            <w:r>
              <w:rPr>
                <w:b w:val="false"/>
                <w:bCs w:val="false"/>
                <w:sz w:val="20"/>
                <w:szCs w:val="20"/>
              </w:rPr>
              <w:t xml:space="preserve">prep_app.py</w:t>
            </w:r>
          </w:p>
        </w:tc>
        <w:tc>
          <w:tcPr>
            <w:tcW w:type="dxa" w:w="5600"/>
            <w:tcMar>
              <w:top w:type="dxa" w:w="60"/>
              <w:left w:type="dxa" w:w="100"/>
              <w:bottom w:type="dxa" w:w="60"/>
              <w:right w:type="dxa" w:w="100"/>
            </w:tcMar>
          </w:tcPr>
          <w:p>
            <w:pPr>
              <w:spacing w:after="0"/>
            </w:pPr>
            <w:r>
              <w:rPr>
                <w:b w:val="false"/>
                <w:bCs w:val="false"/>
                <w:sz w:val="20"/>
                <w:szCs w:val="20"/>
              </w:rPr>
              <w:t xml:space="preserve">Flattens the Schedule into 134 self-contained documents</w:t>
            </w:r>
          </w:p>
        </w:tc>
      </w:tr>
      <w:tr>
        <w:tc>
          <w:tcPr>
            <w:tcW w:type="dxa" w:w="3400"/>
            <w:tcMar>
              <w:top w:type="dxa" w:w="60"/>
              <w:left w:type="dxa" w:w="100"/>
              <w:bottom w:type="dxa" w:w="60"/>
              <w:right w:type="dxa" w:w="100"/>
            </w:tcMar>
          </w:tcPr>
          <w:p>
            <w:pPr>
              <w:spacing w:after="0"/>
            </w:pPr>
            <w:r>
              <w:rPr>
                <w:b w:val="false"/>
                <w:bCs w:val="false"/>
                <w:sz w:val="20"/>
                <w:szCs w:val="20"/>
              </w:rPr>
              <w:t xml:space="preserve">check_setup.py</w:t>
            </w:r>
          </w:p>
        </w:tc>
        <w:tc>
          <w:tcPr>
            <w:tcW w:type="dxa" w:w="5600"/>
            <w:tcMar>
              <w:top w:type="dxa" w:w="60"/>
              <w:left w:type="dxa" w:w="100"/>
              <w:bottom w:type="dxa" w:w="60"/>
              <w:right w:type="dxa" w:w="100"/>
            </w:tcMar>
          </w:tcPr>
          <w:p>
            <w:pPr>
              <w:spacing w:after="0"/>
            </w:pPr>
            <w:r>
              <w:rPr>
                <w:b w:val="false"/>
                <w:bCs w:val="false"/>
                <w:sz w:val="20"/>
                <w:szCs w:val="20"/>
              </w:rPr>
              <w:t xml:space="preserve">Dependency-free preflight, 11 checks, no API cost</w:t>
            </w:r>
          </w:p>
        </w:tc>
      </w:tr>
      <w:tr>
        <w:tc>
          <w:tcPr>
            <w:tcW w:type="dxa" w:w="3400"/>
            <w:tcMar>
              <w:top w:type="dxa" w:w="60"/>
              <w:left w:type="dxa" w:w="100"/>
              <w:bottom w:type="dxa" w:w="60"/>
              <w:right w:type="dxa" w:w="100"/>
            </w:tcMar>
          </w:tcPr>
          <w:p>
            <w:pPr>
              <w:spacing w:after="0"/>
            </w:pPr>
            <w:r>
              <w:rPr>
                <w:b w:val="false"/>
                <w:bCs w:val="false"/>
                <w:sz w:val="20"/>
                <w:szCs w:val="20"/>
              </w:rPr>
              <w:t xml:space="preserve">check_key.py</w:t>
            </w:r>
          </w:p>
        </w:tc>
        <w:tc>
          <w:tcPr>
            <w:tcW w:type="dxa" w:w="5600"/>
            <w:tcMar>
              <w:top w:type="dxa" w:w="60"/>
              <w:left w:type="dxa" w:w="100"/>
              <w:bottom w:type="dxa" w:w="60"/>
              <w:right w:type="dxa" w:w="100"/>
            </w:tcMar>
          </w:tcPr>
          <w:p>
            <w:pPr>
              <w:spacing w:after="0"/>
            </w:pPr>
            <w:r>
              <w:rPr>
                <w:b w:val="false"/>
                <w:bCs w:val="false"/>
                <w:sz w:val="20"/>
                <w:szCs w:val="20"/>
              </w:rPr>
              <w:t xml:space="preserve">Credential diagnostics that never reveal the key</w:t>
            </w:r>
          </w:p>
        </w:tc>
      </w:tr>
      <w:tr>
        <w:tc>
          <w:tcPr>
            <w:tcW w:type="dxa" w:w="3400"/>
            <w:tcMar>
              <w:top w:type="dxa" w:w="60"/>
              <w:left w:type="dxa" w:w="100"/>
              <w:bottom w:type="dxa" w:w="60"/>
              <w:right w:type="dxa" w:w="100"/>
            </w:tcMar>
          </w:tcPr>
          <w:p>
            <w:pPr>
              <w:spacing w:after="0"/>
            </w:pPr>
            <w:r>
              <w:rPr>
                <w:b w:val="false"/>
                <w:bCs w:val="false"/>
                <w:sz w:val="20"/>
                <w:szCs w:val="20"/>
              </w:rPr>
              <w:t xml:space="preserve">build_graph.py</w:t>
            </w:r>
          </w:p>
        </w:tc>
        <w:tc>
          <w:tcPr>
            <w:tcW w:type="dxa" w:w="5600"/>
            <w:tcMar>
              <w:top w:type="dxa" w:w="60"/>
              <w:left w:type="dxa" w:w="100"/>
              <w:bottom w:type="dxa" w:w="60"/>
              <w:right w:type="dxa" w:w="100"/>
            </w:tcMar>
          </w:tcPr>
          <w:p>
            <w:pPr>
              <w:spacing w:after="0"/>
            </w:pPr>
            <w:r>
              <w:rPr>
                <w:b w:val="false"/>
                <w:bCs w:val="false"/>
                <w:sz w:val="20"/>
                <w:szCs w:val="20"/>
              </w:rPr>
              <w:t xml:space="preserve">Entity normalization, node typing, graph emission</w:t>
            </w:r>
          </w:p>
        </w:tc>
      </w:tr>
      <w:tr>
        <w:tc>
          <w:tcPr>
            <w:tcW w:type="dxa" w:w="3400"/>
            <w:tcMar>
              <w:top w:type="dxa" w:w="60"/>
              <w:left w:type="dxa" w:w="100"/>
              <w:bottom w:type="dxa" w:w="60"/>
              <w:right w:type="dxa" w:w="100"/>
            </w:tcMar>
          </w:tcPr>
          <w:p>
            <w:pPr>
              <w:spacing w:after="0"/>
            </w:pPr>
            <w:r>
              <w:rPr>
                <w:b w:val="false"/>
                <w:bCs w:val="false"/>
                <w:sz w:val="20"/>
                <w:szCs w:val="20"/>
              </w:rPr>
              <w:t xml:space="preserve">load_neo4j.py</w:t>
            </w:r>
          </w:p>
        </w:tc>
        <w:tc>
          <w:tcPr>
            <w:tcW w:type="dxa" w:w="5600"/>
            <w:tcMar>
              <w:top w:type="dxa" w:w="60"/>
              <w:left w:type="dxa" w:w="100"/>
              <w:bottom w:type="dxa" w:w="60"/>
              <w:right w:type="dxa" w:w="100"/>
            </w:tcMar>
          </w:tcPr>
          <w:p>
            <w:pPr>
              <w:spacing w:after="0"/>
            </w:pPr>
            <w:r>
              <w:rPr>
                <w:b w:val="false"/>
                <w:bCs w:val="false"/>
                <w:sz w:val="20"/>
                <w:szCs w:val="20"/>
              </w:rPr>
              <w:t xml:space="preserve">Batched Aura loader with backup and wipe support</w:t>
            </w:r>
          </w:p>
        </w:tc>
      </w:tr>
      <w:tr>
        <w:tc>
          <w:tcPr>
            <w:tcW w:type="dxa" w:w="3400"/>
            <w:tcMar>
              <w:top w:type="dxa" w:w="60"/>
              <w:left w:type="dxa" w:w="100"/>
              <w:bottom w:type="dxa" w:w="60"/>
              <w:right w:type="dxa" w:w="100"/>
            </w:tcMar>
          </w:tcPr>
          <w:p>
            <w:pPr>
              <w:spacing w:after="0"/>
            </w:pPr>
            <w:r>
              <w:rPr>
                <w:b w:val="false"/>
                <w:bCs w:val="false"/>
                <w:sz w:val="20"/>
                <w:szCs w:val="20"/>
              </w:rPr>
              <w:t xml:space="preserve">datasets/app_schedule1.txt</w:t>
            </w:r>
          </w:p>
        </w:tc>
        <w:tc>
          <w:tcPr>
            <w:tcW w:type="dxa" w:w="5600"/>
            <w:tcMar>
              <w:top w:type="dxa" w:w="60"/>
              <w:left w:type="dxa" w:w="100"/>
              <w:bottom w:type="dxa" w:w="60"/>
              <w:right w:type="dxa" w:w="100"/>
            </w:tcMar>
          </w:tcPr>
          <w:p>
            <w:pPr>
              <w:spacing w:after="0"/>
            </w:pPr>
            <w:r>
              <w:rPr>
                <w:b w:val="false"/>
                <w:bCs w:val="false"/>
                <w:sz w:val="20"/>
                <w:szCs w:val="20"/>
              </w:rPr>
              <w:t xml:space="preserve">The 134-document corpus</w:t>
            </w:r>
          </w:p>
        </w:tc>
      </w:tr>
      <w:tr>
        <w:tc>
          <w:tcPr>
            <w:tcW w:type="dxa" w:w="3400"/>
            <w:tcMar>
              <w:top w:type="dxa" w:w="60"/>
              <w:left w:type="dxa" w:w="100"/>
              <w:bottom w:type="dxa" w:w="60"/>
              <w:right w:type="dxa" w:w="100"/>
            </w:tcMar>
          </w:tcPr>
          <w:p>
            <w:pPr>
              <w:spacing w:after="0"/>
            </w:pPr>
            <w:r>
              <w:rPr>
                <w:b w:val="false"/>
                <w:bCs w:val="false"/>
                <w:sz w:val="20"/>
                <w:szCs w:val="20"/>
              </w:rPr>
              <w:t xml:space="preserve">schemas/app_seed.csv</w:t>
            </w:r>
          </w:p>
        </w:tc>
        <w:tc>
          <w:tcPr>
            <w:tcW w:type="dxa" w:w="5600"/>
            <w:tcMar>
              <w:top w:type="dxa" w:w="60"/>
              <w:left w:type="dxa" w:w="100"/>
              <w:bottom w:type="dxa" w:w="60"/>
              <w:right w:type="dxa" w:w="100"/>
            </w:tcMar>
          </w:tcPr>
          <w:p>
            <w:pPr>
              <w:spacing w:after="0"/>
            </w:pPr>
            <w:r>
              <w:rPr>
                <w:b w:val="false"/>
                <w:bCs w:val="false"/>
                <w:sz w:val="20"/>
                <w:szCs w:val="20"/>
              </w:rPr>
              <w:t xml:space="preserve">45-relation seed schema</w:t>
            </w:r>
          </w:p>
        </w:tc>
      </w:tr>
      <w:tr>
        <w:tc>
          <w:tcPr>
            <w:tcW w:type="dxa" w:w="3400"/>
            <w:tcMar>
              <w:top w:type="dxa" w:w="60"/>
              <w:left w:type="dxa" w:w="100"/>
              <w:bottom w:type="dxa" w:w="60"/>
              <w:right w:type="dxa" w:w="100"/>
            </w:tcMar>
          </w:tcPr>
          <w:p>
            <w:pPr>
              <w:spacing w:after="0"/>
            </w:pPr>
            <w:r>
              <w:rPr>
                <w:b w:val="false"/>
                <w:bCs w:val="false"/>
                <w:sz w:val="20"/>
                <w:szCs w:val="20"/>
              </w:rPr>
              <w:t xml:space="preserve">few_shot_examples/app/</w:t>
            </w:r>
          </w:p>
        </w:tc>
        <w:tc>
          <w:tcPr>
            <w:tcW w:type="dxa" w:w="5600"/>
            <w:tcMar>
              <w:top w:type="dxa" w:w="60"/>
              <w:left w:type="dxa" w:w="100"/>
              <w:bottom w:type="dxa" w:w="60"/>
              <w:right w:type="dxa" w:w="100"/>
            </w:tcMar>
          </w:tcPr>
          <w:p>
            <w:pPr>
              <w:spacing w:after="0"/>
            </w:pPr>
            <w:r>
              <w:rPr>
                <w:b w:val="false"/>
                <w:bCs w:val="false"/>
                <w:sz w:val="20"/>
                <w:szCs w:val="20"/>
              </w:rPr>
              <w:t xml:space="preserve">11 OIE and 9 SD domain examples</w:t>
            </w:r>
          </w:p>
        </w:tc>
      </w:tr>
      <w:tr>
        <w:tc>
          <w:tcPr>
            <w:tcW w:type="dxa" w:w="3400"/>
            <w:tcMar>
              <w:top w:type="dxa" w:w="60"/>
              <w:left w:type="dxa" w:w="100"/>
              <w:bottom w:type="dxa" w:w="60"/>
              <w:right w:type="dxa" w:w="100"/>
            </w:tcMar>
          </w:tcPr>
          <w:p>
            <w:pPr>
              <w:spacing w:after="0"/>
            </w:pPr>
            <w:r>
              <w:rPr>
                <w:b w:val="false"/>
                <w:bCs w:val="false"/>
                <w:sz w:val="20"/>
                <w:szCs w:val="20"/>
              </w:rPr>
              <w:t xml:space="preserve">output/app_full/iter0/canon_kg.txt</w:t>
            </w:r>
          </w:p>
        </w:tc>
        <w:tc>
          <w:tcPr>
            <w:tcW w:type="dxa" w:w="5600"/>
            <w:tcMar>
              <w:top w:type="dxa" w:w="60"/>
              <w:left w:type="dxa" w:w="100"/>
              <w:bottom w:type="dxa" w:w="60"/>
              <w:right w:type="dxa" w:w="100"/>
            </w:tcMar>
          </w:tcPr>
          <w:p>
            <w:pPr>
              <w:spacing w:after="0"/>
            </w:pPr>
            <w:r>
              <w:rPr>
                <w:b w:val="false"/>
                <w:bCs w:val="false"/>
                <w:sz w:val="20"/>
                <w:szCs w:val="20"/>
              </w:rPr>
              <w:t xml:space="preserve">632 canonicalized triples</w:t>
            </w:r>
          </w:p>
        </w:tc>
      </w:tr>
      <w:tr>
        <w:tc>
          <w:tcPr>
            <w:tcW w:type="dxa" w:w="3400"/>
            <w:tcMar>
              <w:top w:type="dxa" w:w="60"/>
              <w:left w:type="dxa" w:w="100"/>
              <w:bottom w:type="dxa" w:w="60"/>
              <w:right w:type="dxa" w:w="100"/>
            </w:tcMar>
          </w:tcPr>
          <w:p>
            <w:pPr>
              <w:spacing w:after="0"/>
            </w:pPr>
            <w:r>
              <w:rPr>
                <w:b w:val="false"/>
                <w:bCs w:val="false"/>
                <w:sz w:val="20"/>
                <w:szCs w:val="20"/>
              </w:rPr>
              <w:t xml:space="preserve">output/app_full/iter0/result_at_each_stage.json</w:t>
            </w:r>
          </w:p>
        </w:tc>
        <w:tc>
          <w:tcPr>
            <w:tcW w:type="dxa" w:w="5600"/>
            <w:tcMar>
              <w:top w:type="dxa" w:w="60"/>
              <w:left w:type="dxa" w:w="100"/>
              <w:bottom w:type="dxa" w:w="60"/>
              <w:right w:type="dxa" w:w="100"/>
            </w:tcMar>
          </w:tcPr>
          <w:p>
            <w:pPr>
              <w:spacing w:after="0"/>
            </w:pPr>
            <w:r>
              <w:rPr>
                <w:b w:val="false"/>
                <w:bCs w:val="false"/>
                <w:sz w:val="20"/>
                <w:szCs w:val="20"/>
              </w:rPr>
              <w:t xml:space="preserve">Full per-stage trace for every document</w:t>
            </w:r>
          </w:p>
        </w:tc>
      </w:tr>
      <w:tr>
        <w:tc>
          <w:tcPr>
            <w:tcW w:type="dxa" w:w="3400"/>
            <w:tcMar>
              <w:top w:type="dxa" w:w="60"/>
              <w:left w:type="dxa" w:w="100"/>
              <w:bottom w:type="dxa" w:w="60"/>
              <w:right w:type="dxa" w:w="100"/>
            </w:tcMar>
          </w:tcPr>
          <w:p>
            <w:pPr>
              <w:spacing w:after="0"/>
            </w:pPr>
            <w:r>
              <w:rPr>
                <w:b w:val="false"/>
                <w:bCs w:val="false"/>
                <w:sz w:val="20"/>
                <w:szCs w:val="20"/>
              </w:rPr>
              <w:t xml:space="preserve">output/app_full/graph/</w:t>
            </w:r>
          </w:p>
        </w:tc>
        <w:tc>
          <w:tcPr>
            <w:tcW w:type="dxa" w:w="5600"/>
            <w:tcMar>
              <w:top w:type="dxa" w:w="60"/>
              <w:left w:type="dxa" w:w="100"/>
              <w:bottom w:type="dxa" w:w="60"/>
              <w:right w:type="dxa" w:w="100"/>
            </w:tcMar>
          </w:tcPr>
          <w:p>
            <w:pPr>
              <w:spacing w:after="0"/>
            </w:pPr>
            <w:r>
              <w:rPr>
                <w:b w:val="false"/>
                <w:bCs w:val="false"/>
                <w:sz w:val="20"/>
                <w:szCs w:val="20"/>
              </w:rPr>
              <w:t xml:space="preserve">nodes.csv, edges.csv, graph.cypher, app_learned_schema.csv, pre_wipe_backup.json</w:t>
            </w:r>
          </w:p>
        </w:tc>
      </w:tr>
    </w:tbl>
    <w:p>
      <w:pPr>
        <w:spacing w:after="160"/>
      </w:pPr>
    </w:p>
    <w:p>
      <w:pPr>
        <w:spacing w:after="120"/>
      </w:pPr>
      <w:r>
        <w:t xml:space="preserve">app_learned_schema.csv is worth noting: EDC holds its enriched schema in memory and never writes it out, so the 33 learned relation definitions were reconstructed from the per-document schema_definition records and would otherwise have been lost.</w:t>
      </w:r>
    </w:p>
    <w:p>
      <w:r>
        <w:br w:type="page"/>
      </w:r>
    </w:p>
    <w:p>
      <w:pPr>
        <w:pStyle w:val="Title"/>
        <w:spacing w:after="320"/>
      </w:pPr>
      <w:r>
        <w:t xml:space="preserve">Knowledge Graph from output.json — Summary</w:t>
      </w:r>
    </w:p>
    <w:p>
      <w:pPr>
        <w:pStyle w:val="Heading1"/>
        <w:spacing w:after="160" w:before="320"/>
      </w:pPr>
      <w:r>
        <w:t xml:space="preserve">What was built</w:t>
      </w:r>
    </w:p>
    <w:p>
      <w:pPr>
        <w:spacing w:after="120"/>
      </w:pPr>
      <w:r>
        <w:rPr>
          <w:b w:val="false"/>
          <w:bCs w:val="false"/>
          <w:i w:val="false"/>
          <w:iCs w:val="false"/>
        </w:rPr>
        <w:t xml:space="preserve">A knowledge graph extracted from the Australian Privacy Principles (APPs), comprising </w:t>
      </w:r>
      <w:r>
        <w:rPr>
          <w:b/>
          <w:bCs/>
          <w:i w:val="false"/>
          <w:iCs w:val="false"/>
        </w:rPr>
        <w:t xml:space="preserve">21 entities</w:t>
      </w:r>
      <w:r>
        <w:rPr>
          <w:b w:val="false"/>
          <w:bCs w:val="false"/>
          <w:i w:val="false"/>
          <w:iCs w:val="false"/>
        </w:rPr>
        <w:t xml:space="preserve"> and </w:t>
      </w:r>
      <w:r>
        <w:rPr>
          <w:b/>
          <w:bCs/>
          <w:i w:val="false"/>
          <w:iCs w:val="false"/>
        </w:rPr>
        <w:t xml:space="preserve">31 directed triples</w:t>
      </w:r>
      <w:r>
        <w:rPr>
          <w:b w:val="false"/>
          <w:bCs w:val="false"/>
          <w:i w:val="false"/>
          <w:iCs w:val="false"/>
        </w:rPr>
        <w:t xml:space="preserve"> over </w:t>
      </w:r>
      <w:r>
        <w:rPr>
          <w:b/>
          <w:bCs/>
          <w:i w:val="false"/>
          <w:iCs w:val="false"/>
        </w:rPr>
        <w:t xml:space="preserve">27 distinct predicates</w:t>
      </w:r>
      <w:r>
        <w:rPr>
          <w:b w:val="false"/>
          <w:bCs w:val="false"/>
          <w:i w:val="false"/>
          <w:iCs w:val="false"/>
        </w:rPr>
        <w:t xml:space="preserve">. Each entity carries a natural-language description and a set of free-text type tags (29 distinct types, 2.0 per entity on average); each triple carries a generated predicate definition averaging 230 characters.</w:t>
      </w:r>
    </w:p>
    <w:p>
      <w:pPr>
        <w:spacing w:after="120"/>
      </w:pPr>
      <w:r>
        <w:t xml:space="preserve">It is loaded into the Neo4j Aura instance e6598edc under a dedicated namespace: nodes are labelled :RP1Entity, relationship types are prefixed RP1_, and every node and edge carries graph: "rp1". It is fully disjoint from the pre-existing 369-node :AppNode graph in the same instance — zero shared labels, zero shared relationship types, zero edges crossing between the two.</w:t>
      </w:r>
    </w:p>
    <w:p>
      <w:pPr>
        <w:pStyle w:val="Heading1"/>
        <w:spacing w:after="160" w:before="320"/>
      </w:pPr>
      <w:r>
        <w:t xml:space="preserve">Structural profile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8E8" w:val="clear"/>
            <w:tcMar>
              <w:top w:type="dxa" w:w="60"/>
              <w:left w:type="dxa" w:w="100"/>
              <w:bottom w:type="dxa" w:w="60"/>
              <w:right w:type="dxa" w:w="100"/>
            </w:tcMar>
          </w:tcPr>
          <w:p>
            <w:pPr>
              <w:spacing w:after="0"/>
            </w:pPr>
            <w:r>
              <w:rPr>
                <w:b/>
                <w:bCs/>
                <w:sz w:val="20"/>
                <w:szCs w:val="20"/>
              </w:rPr>
              <w:t xml:space="preserve">Metric</w:t>
            </w:r>
          </w:p>
        </w:tc>
        <w:tc>
          <w:tcPr>
            <w:tcW w:type="dxa" w:w="4500"/>
            <w:shd w:fill="E8E8E8" w:val="clear"/>
            <w:tcMar>
              <w:top w:type="dxa" w:w="60"/>
              <w:left w:type="dxa" w:w="100"/>
              <w:bottom w:type="dxa" w:w="60"/>
              <w:right w:type="dxa" w:w="100"/>
            </w:tcMar>
          </w:tcPr>
          <w:p>
            <w:pPr>
              <w:spacing w:after="0"/>
            </w:pPr>
            <w:r>
              <w:rPr>
                <w:b/>
                <w:bCs/>
                <w:sz w:val="20"/>
                <w:szCs w:val="20"/>
              </w:rPr>
              <w:t xml:space="preserve">Value</w:t>
            </w:r>
          </w:p>
        </w:tc>
      </w:tr>
      <w:tr>
        <w:tc>
          <w:tcPr>
            <w:tcW w:type="dxa" w:w="4500"/>
            <w:tcMar>
              <w:top w:type="dxa" w:w="60"/>
              <w:left w:type="dxa" w:w="100"/>
              <w:bottom w:type="dxa" w:w="60"/>
              <w:right w:type="dxa" w:w="100"/>
            </w:tcMar>
          </w:tcPr>
          <w:p>
            <w:pPr>
              <w:spacing w:after="0"/>
            </w:pPr>
            <w:r>
              <w:rPr>
                <w:b w:val="false"/>
                <w:bCs w:val="false"/>
                <w:sz w:val="20"/>
                <w:szCs w:val="20"/>
              </w:rPr>
              <w:t xml:space="preserve">Entities / triples</w:t>
            </w:r>
          </w:p>
        </w:tc>
        <w:tc>
          <w:tcPr>
            <w:tcW w:type="dxa" w:w="4500"/>
            <w:tcMar>
              <w:top w:type="dxa" w:w="60"/>
              <w:left w:type="dxa" w:w="100"/>
              <w:bottom w:type="dxa" w:w="60"/>
              <w:right w:type="dxa" w:w="100"/>
            </w:tcMar>
          </w:tcPr>
          <w:p>
            <w:pPr>
              <w:spacing w:after="0"/>
            </w:pPr>
            <w:r>
              <w:rPr>
                <w:b w:val="false"/>
                <w:bCs w:val="false"/>
                <w:sz w:val="20"/>
                <w:szCs w:val="20"/>
              </w:rPr>
              <w:t xml:space="preserve">21 / 31</w:t>
            </w:r>
          </w:p>
        </w:tc>
      </w:tr>
      <w:tr>
        <w:tc>
          <w:tcPr>
            <w:tcW w:type="dxa" w:w="4500"/>
            <w:tcMar>
              <w:top w:type="dxa" w:w="60"/>
              <w:left w:type="dxa" w:w="100"/>
              <w:bottom w:type="dxa" w:w="60"/>
              <w:right w:type="dxa" w:w="100"/>
            </w:tcMar>
          </w:tcPr>
          <w:p>
            <w:pPr>
              <w:spacing w:after="0"/>
            </w:pPr>
            <w:r>
              <w:rPr>
                <w:b w:val="false"/>
                <w:bCs w:val="false"/>
                <w:sz w:val="20"/>
                <w:szCs w:val="20"/>
              </w:rPr>
              <w:t xml:space="preserve">Distinct predicates</w:t>
            </w:r>
          </w:p>
        </w:tc>
        <w:tc>
          <w:tcPr>
            <w:tcW w:type="dxa" w:w="4500"/>
            <w:tcMar>
              <w:top w:type="dxa" w:w="60"/>
              <w:left w:type="dxa" w:w="100"/>
              <w:bottom w:type="dxa" w:w="60"/>
              <w:right w:type="dxa" w:w="100"/>
            </w:tcMar>
          </w:tcPr>
          <w:p>
            <w:pPr>
              <w:spacing w:after="0"/>
            </w:pPr>
            <w:r>
              <w:rPr>
                <w:b w:val="false"/>
                <w:bCs w:val="false"/>
                <w:sz w:val="20"/>
                <w:szCs w:val="20"/>
              </w:rPr>
              <w:t xml:space="preserve">27</w:t>
            </w:r>
          </w:p>
        </w:tc>
      </w:tr>
      <w:tr>
        <w:tc>
          <w:tcPr>
            <w:tcW w:type="dxa" w:w="4500"/>
            <w:tcMar>
              <w:top w:type="dxa" w:w="60"/>
              <w:left w:type="dxa" w:w="100"/>
              <w:bottom w:type="dxa" w:w="60"/>
              <w:right w:type="dxa" w:w="100"/>
            </w:tcMar>
          </w:tcPr>
          <w:p>
            <w:pPr>
              <w:spacing w:after="0"/>
            </w:pPr>
            <w:r>
              <w:rPr>
                <w:b w:val="false"/>
                <w:bCs w:val="false"/>
                <w:sz w:val="20"/>
                <w:szCs w:val="20"/>
              </w:rPr>
              <w:t xml:space="preserve">Mean degree</w:t>
            </w:r>
          </w:p>
        </w:tc>
        <w:tc>
          <w:tcPr>
            <w:tcW w:type="dxa" w:w="4500"/>
            <w:tcMar>
              <w:top w:type="dxa" w:w="60"/>
              <w:left w:type="dxa" w:w="100"/>
              <w:bottom w:type="dxa" w:w="60"/>
              <w:right w:type="dxa" w:w="100"/>
            </w:tcMar>
          </w:tcPr>
          <w:p>
            <w:pPr>
              <w:spacing w:after="0"/>
            </w:pPr>
            <w:r>
              <w:rPr>
                <w:b w:val="false"/>
                <w:bCs w:val="false"/>
                <w:sz w:val="20"/>
                <w:szCs w:val="20"/>
              </w:rPr>
              <w:t xml:space="preserve">2.95</w:t>
            </w:r>
          </w:p>
        </w:tc>
      </w:tr>
      <w:tr>
        <w:tc>
          <w:tcPr>
            <w:tcW w:type="dxa" w:w="4500"/>
            <w:tcMar>
              <w:top w:type="dxa" w:w="60"/>
              <w:left w:type="dxa" w:w="100"/>
              <w:bottom w:type="dxa" w:w="60"/>
              <w:right w:type="dxa" w:w="100"/>
            </w:tcMar>
          </w:tcPr>
          <w:p>
            <w:pPr>
              <w:spacing w:after="0"/>
            </w:pPr>
            <w:r>
              <w:rPr>
                <w:b w:val="false"/>
                <w:bCs w:val="false"/>
                <w:sz w:val="20"/>
                <w:szCs w:val="20"/>
              </w:rPr>
              <w:t xml:space="preserve">Graph density (directed)</w:t>
            </w:r>
          </w:p>
        </w:tc>
        <w:tc>
          <w:tcPr>
            <w:tcW w:type="dxa" w:w="4500"/>
            <w:tcMar>
              <w:top w:type="dxa" w:w="60"/>
              <w:left w:type="dxa" w:w="100"/>
              <w:bottom w:type="dxa" w:w="60"/>
              <w:right w:type="dxa" w:w="100"/>
            </w:tcMar>
          </w:tcPr>
          <w:p>
            <w:pPr>
              <w:spacing w:after="0"/>
            </w:pPr>
            <w:r>
              <w:rPr>
                <w:b w:val="false"/>
                <w:bCs w:val="false"/>
                <w:sz w:val="20"/>
                <w:szCs w:val="20"/>
              </w:rPr>
              <w:t xml:space="preserve">0.074</w:t>
            </w:r>
          </w:p>
        </w:tc>
      </w:tr>
      <w:tr>
        <w:tc>
          <w:tcPr>
            <w:tcW w:type="dxa" w:w="4500"/>
            <w:tcMar>
              <w:top w:type="dxa" w:w="60"/>
              <w:left w:type="dxa" w:w="100"/>
              <w:bottom w:type="dxa" w:w="60"/>
              <w:right w:type="dxa" w:w="100"/>
            </w:tcMar>
          </w:tcPr>
          <w:p>
            <w:pPr>
              <w:spacing w:after="0"/>
            </w:pPr>
            <w:r>
              <w:rPr>
                <w:b w:val="false"/>
                <w:bCs w:val="false"/>
                <w:sz w:val="20"/>
                <w:szCs w:val="20"/>
              </w:rPr>
              <w:t xml:space="preserve">Largest connected component</w:t>
            </w:r>
          </w:p>
        </w:tc>
        <w:tc>
          <w:tcPr>
            <w:tcW w:type="dxa" w:w="4500"/>
            <w:tcMar>
              <w:top w:type="dxa" w:w="60"/>
              <w:left w:type="dxa" w:w="100"/>
              <w:bottom w:type="dxa" w:w="60"/>
              <w:right w:type="dxa" w:w="100"/>
            </w:tcMar>
          </w:tcPr>
          <w:p>
            <w:pPr>
              <w:spacing w:after="0"/>
            </w:pPr>
            <w:r>
              <w:rPr>
                <w:b w:val="false"/>
                <w:bCs w:val="false"/>
                <w:sz w:val="20"/>
                <w:szCs w:val="20"/>
              </w:rPr>
              <w:t xml:space="preserve">19 of 21 nodes (90%)</w:t>
            </w:r>
          </w:p>
        </w:tc>
      </w:tr>
      <w:tr>
        <w:tc>
          <w:tcPr>
            <w:tcW w:type="dxa" w:w="4500"/>
            <w:tcMar>
              <w:top w:type="dxa" w:w="60"/>
              <w:left w:type="dxa" w:w="100"/>
              <w:bottom w:type="dxa" w:w="60"/>
              <w:right w:type="dxa" w:w="100"/>
            </w:tcMar>
          </w:tcPr>
          <w:p>
            <w:pPr>
              <w:spacing w:after="0"/>
            </w:pPr>
            <w:r>
              <w:rPr>
                <w:b w:val="false"/>
                <w:bCs w:val="false"/>
                <w:sz w:val="20"/>
                <w:szCs w:val="20"/>
              </w:rPr>
              <w:t xml:space="preserve">Isolated nodes</w:t>
            </w:r>
          </w:p>
        </w:tc>
        <w:tc>
          <w:tcPr>
            <w:tcW w:type="dxa" w:w="4500"/>
            <w:tcMar>
              <w:top w:type="dxa" w:w="60"/>
              <w:left w:type="dxa" w:w="100"/>
              <w:bottom w:type="dxa" w:w="60"/>
              <w:right w:type="dxa" w:w="100"/>
            </w:tcMar>
          </w:tcPr>
          <w:p>
            <w:pPr>
              <w:spacing w:after="0"/>
            </w:pPr>
            <w:r>
              <w:rPr>
                <w:b w:val="false"/>
                <w:bCs w:val="false"/>
                <w:sz w:val="20"/>
                <w:szCs w:val="20"/>
              </w:rPr>
              <w:t xml:space="preserve">2</w:t>
            </w:r>
          </w:p>
        </w:tc>
      </w:tr>
      <w:tr>
        <w:tc>
          <w:tcPr>
            <w:tcW w:type="dxa" w:w="4500"/>
            <w:tcMar>
              <w:top w:type="dxa" w:w="60"/>
              <w:left w:type="dxa" w:w="100"/>
              <w:bottom w:type="dxa" w:w="60"/>
              <w:right w:type="dxa" w:w="100"/>
            </w:tcMar>
          </w:tcPr>
          <w:p>
            <w:pPr>
              <w:spacing w:after="0"/>
            </w:pPr>
            <w:r>
              <w:rPr>
                <w:b w:val="false"/>
                <w:bCs w:val="false"/>
                <w:sz w:val="20"/>
                <w:szCs w:val="20"/>
              </w:rPr>
              <w:t xml:space="preserve">Predicate reuse ratio</w:t>
            </w:r>
          </w:p>
        </w:tc>
        <w:tc>
          <w:tcPr>
            <w:tcW w:type="dxa" w:w="4500"/>
            <w:tcMar>
              <w:top w:type="dxa" w:w="60"/>
              <w:left w:type="dxa" w:w="100"/>
              <w:bottom w:type="dxa" w:w="60"/>
              <w:right w:type="dxa" w:w="100"/>
            </w:tcMar>
          </w:tcPr>
          <w:p>
            <w:pPr>
              <w:spacing w:after="0"/>
            </w:pPr>
            <w:r>
              <w:rPr>
                <w:b w:val="false"/>
                <w:bCs w:val="false"/>
                <w:sz w:val="20"/>
                <w:szCs w:val="20"/>
              </w:rPr>
              <w:t xml:space="preserve">1.15 triples per predicate</w:t>
            </w:r>
          </w:p>
        </w:tc>
      </w:tr>
    </w:tbl>
    <w:p>
      <w:pPr>
        <w:spacing w:after="160"/>
      </w:pPr>
    </w:p>
    <w:p>
      <w:pPr>
        <w:spacing w:after="120"/>
      </w:pPr>
      <w:r>
        <w:rPr>
          <w:b/>
          <w:bCs/>
          <w:i w:val="false"/>
          <w:iCs w:val="false"/>
        </w:rPr>
        <w:t xml:space="preserve">Topology is hub-and-spoke, not hierarchical.</w:t>
      </w:r>
      <w:r>
        <w:rPr>
          <w:b w:val="false"/>
          <w:bCs w:val="false"/>
          <w:i w:val="false"/>
          <w:iCs w:val="false"/>
        </w:rPr>
        <w:t xml:space="preserve"> Two nodes dominate: personal information (degree 18 — 16 incoming, 2 outgoing) and APP entities (degree 11). Together they occupy 29 of the 62 available edge endpoints (47%). The remaining 19 entities are mostly degree-1 or degree-2 leaves attached to one of those two hubs. Effective path depth is 2–3 hops; there is no deep taxonomic spine.</w:t>
      </w:r>
    </w:p>
    <w:p>
      <w:pPr>
        <w:pStyle w:val="Heading1"/>
        <w:spacing w:after="160" w:before="320"/>
      </w:pPr>
      <w:r>
        <w:t xml:space="preserve">Key takeaways</w:t>
      </w:r>
    </w:p>
    <w:p>
      <w:pPr>
        <w:spacing w:after="60"/>
      </w:pPr>
      <w:r>
        <w:rPr>
          <w:b/>
          <w:bCs/>
          <w:i w:val="false"/>
          <w:iCs w:val="false"/>
        </w:rPr>
        <w:t xml:space="preserve">1. The extraction is open-schema, not schema-conformant.</w:t>
      </w:r>
    </w:p>
    <w:p>
      <w:pPr>
        <w:spacing w:after="120"/>
      </w:pPr>
      <w:r>
        <w:t xml:space="preserve">23 of the 27 predicates (85%) are used exactly once — guides, allows, pertains to, removes or alters, informs. This is characteristic of open information extraction: the predicate vocabulary is generated per-triple rather than drawn from a fixed relation set. Consequence: the graph does not support reliable relation-typed querying, because semantically equivalent relations are lexically distinct. A canonicalisation pass that collapses predicates onto a closed schema is a prerequisite for downstream reasoning.</w:t>
      </w:r>
    </w:p>
    <w:p>
      <w:pPr>
        <w:spacing w:after="60"/>
      </w:pPr>
      <w:r>
        <w:rPr>
          <w:b/>
          <w:bCs/>
          <w:i w:val="false"/>
          <w:iCs w:val="false"/>
        </w:rPr>
        <w:t xml:space="preserve">2. Inverse and near-duplicate edges are not deduplicated.</w:t>
      </w:r>
    </w:p>
    <w:p>
      <w:pPr>
        <w:spacing w:after="120"/>
      </w:pPr>
      <w:r>
        <w:t xml:space="preserve">Three reciprocal pairs restate the same fact in both directions:</w:t>
      </w:r>
    </w:p>
    <w:p>
      <w:pPr>
        <w:pStyle w:val="ListParagraph"/>
        <w:numPr>
          <w:ilvl w:val="0"/>
          <w:numId w:val="2"/>
        </w:numPr>
        <w:spacing w:after="80"/>
      </w:pPr>
      <w:r>
        <w:rPr>
          <w:b w:val="false"/>
          <w:bCs w:val="false"/>
          <w:i w:val="false"/>
          <w:iCs w:val="false"/>
        </w:rPr>
        <w:t xml:space="preserve">personal information —includes→ sensitive information and sensitive information —is a subset of→ personal information</w:t>
      </w:r>
    </w:p>
    <w:p>
      <w:pPr>
        <w:pStyle w:val="ListParagraph"/>
        <w:numPr>
          <w:ilvl w:val="0"/>
          <w:numId w:val="2"/>
        </w:numPr>
        <w:spacing w:after="80"/>
      </w:pPr>
      <w:r>
        <w:rPr>
          <w:b w:val="false"/>
          <w:bCs w:val="false"/>
          <w:i w:val="false"/>
          <w:iCs w:val="false"/>
        </w:rPr>
        <w:t xml:space="preserve">Australian Privacy Principles —requires compliance from→ APP entities and APP entities —must comply with→ Australian Privacy Principles</w:t>
      </w:r>
    </w:p>
    <w:p>
      <w:pPr>
        <w:spacing w:after="120"/>
      </w:pPr>
      <w:r>
        <w:t xml:space="preserve">One node pair (Australian Privacy Principles → personal information) carries two edges with different, vague predicates (guides, allows). Roughly 4 of 31 triples are redundant restatements, so effective informational content is ~27 triples.</w:t>
      </w:r>
    </w:p>
    <w:p>
      <w:pPr>
        <w:spacing w:after="60"/>
      </w:pPr>
      <w:r>
        <w:rPr>
          <w:b/>
          <w:bCs/>
          <w:i w:val="false"/>
          <w:iCs w:val="false"/>
        </w:rPr>
        <w:t xml:space="preserve">3. The central actor of the domain is missing.</w:t>
      </w:r>
    </w:p>
    <w:p>
      <w:pPr>
        <w:spacing w:after="120"/>
      </w:pPr>
      <w:r>
        <w:t xml:space="preserve">There is no individual / data subject entity, despite that being the party the APPs exist to protect. Its absence forces rights and communications to attach to abstractions instead of agents, producing role-confused triples:</w:t>
      </w:r>
    </w:p>
    <w:p>
      <w:pPr>
        <w:pStyle w:val="ListParagraph"/>
        <w:numPr>
          <w:ilvl w:val="0"/>
          <w:numId w:val="2"/>
        </w:numPr>
        <w:spacing w:after="80"/>
      </w:pPr>
      <w:r>
        <w:rPr>
          <w:b w:val="false"/>
          <w:bCs w:val="false"/>
          <w:i w:val="false"/>
          <w:iCs w:val="false"/>
        </w:rPr>
        <w:t xml:space="preserve">access to personal information —has right to→ personal information (the individual holds the right, not the access mechanism)</w:t>
      </w:r>
    </w:p>
    <w:p>
      <w:pPr>
        <w:pStyle w:val="ListParagraph"/>
        <w:numPr>
          <w:ilvl w:val="0"/>
          <w:numId w:val="2"/>
        </w:numPr>
        <w:spacing w:after="80"/>
      </w:pPr>
      <w:r>
        <w:rPr>
          <w:b w:val="false"/>
          <w:bCs w:val="false"/>
          <w:i w:val="false"/>
          <w:iCs w:val="false"/>
        </w:rPr>
        <w:t xml:space="preserve">notification —informs→ personal information (notifications inform people)</w:t>
      </w:r>
    </w:p>
    <w:p>
      <w:pPr>
        <w:spacing w:after="120"/>
      </w:pPr>
      <w:r>
        <w:t xml:space="preserve">This is also why personal information accumulates 16 incoming edges: it absorbs relations that should terminate at a person.</w:t>
      </w:r>
    </w:p>
    <w:p>
      <w:pPr>
        <w:spacing w:after="60"/>
      </w:pPr>
      <w:r>
        <w:rPr>
          <w:b/>
          <w:bCs/>
          <w:i w:val="false"/>
          <w:iCs w:val="false"/>
        </w:rPr>
        <w:t xml:space="preserve">4. No provision-level anchoring.</w:t>
      </w:r>
    </w:p>
    <w:p>
      <w:pPr>
        <w:spacing w:after="120"/>
      </w:pPr>
      <w:r>
        <w:t xml:space="preserve">Entities are domain concepts only. The individual principles (APP 1–APP 13) and their clause structure are not represented, so no statement can be traced to its source provision. By comparison, the existing :AppNode graph in the same instance models 77 :Provision nodes explicitly. Any use requiring legal citation or auditability needs this layer added.</w:t>
      </w:r>
    </w:p>
    <w:p>
      <w:pPr>
        <w:spacing w:after="60"/>
      </w:pPr>
      <w:r>
        <w:rPr>
          <w:b/>
          <w:bCs/>
          <w:i w:val="false"/>
          <w:iCs w:val="false"/>
        </w:rPr>
        <w:t xml:space="preserve">5. Nominalised entities dilute the schema.</w:t>
      </w:r>
    </w:p>
    <w:p>
      <w:pPr>
        <w:spacing w:after="120"/>
      </w:pPr>
      <w:r>
        <w:t xml:space="preserve">Several nodes are process nouns rather than things — compliance, notification, de-identification, correction of personal information. "APP entities are subject to compliance" is nearly tautological and carries little retrievable information. Modelling these as relations or events rather than entities would tighten the graph.</w:t>
      </w:r>
    </w:p>
    <w:p>
      <w:pPr>
        <w:pStyle w:val="Heading1"/>
        <w:spacing w:after="160" w:before="320"/>
      </w:pPr>
      <w:r>
        <w:t xml:space="preserve">Data quality issues found</w:t>
      </w:r>
    </w:p>
    <w:p>
      <w:pPr>
        <w:pStyle w:val="ListParagraph"/>
        <w:numPr>
          <w:ilvl w:val="0"/>
          <w:numId w:val="2"/>
        </w:numPr>
        <w:spacing w:after="80"/>
      </w:pPr>
      <w:r>
        <w:rPr>
          <w:b/>
          <w:bCs/>
          <w:i w:val="false"/>
          <w:iCs w:val="false"/>
        </w:rPr>
        <w:t xml:space="preserve">2 corrupted surface labels</w:t>
      </w:r>
      <w:r>
        <w:rPr>
          <w:b w:val="false"/>
          <w:bCs w:val="false"/>
          <w:i w:val="false"/>
          <w:iCs w:val="false"/>
        </w:rPr>
        <w:t xml:space="preserve">: triples referencing crossborder disclosure and deidentification have had hyphens stripped, so their label strings do not match the entity list. The subj_id / obj_id fields remain correct, so loading resolved by ID. Label strings in the triple list cannot be trusted for joining.</w:t>
      </w:r>
    </w:p>
    <w:p>
      <w:pPr>
        <w:pStyle w:val="ListParagraph"/>
        <w:numPr>
          <w:ilvl w:val="0"/>
          <w:numId w:val="2"/>
        </w:numPr>
        <w:spacing w:after="80"/>
      </w:pPr>
      <w:r>
        <w:rPr>
          <w:b/>
          <w:bCs/>
          <w:i w:val="false"/>
          <w:iCs w:val="false"/>
        </w:rPr>
        <w:t xml:space="preserve">2 isolated entities</w:t>
      </w:r>
      <w:r>
        <w:rPr>
          <w:b w:val="false"/>
          <w:bCs w:val="false"/>
          <w:i w:val="false"/>
          <w:iCs w:val="false"/>
        </w:rPr>
        <w:t xml:space="preserve">: government related identifiers and enforcement body appear in the entity list but in no triple — extracted but never linked.</w:t>
      </w:r>
    </w:p>
    <w:p>
      <w:pPr>
        <w:pStyle w:val="ListParagraph"/>
        <w:numPr>
          <w:ilvl w:val="0"/>
          <w:numId w:val="2"/>
        </w:numPr>
        <w:spacing w:after="80"/>
      </w:pPr>
      <w:r>
        <w:rPr>
          <w:b w:val="false"/>
          <w:bCs w:val="false"/>
          <w:i w:val="false"/>
          <w:iCs w:val="false"/>
        </w:rPr>
        <w:t xml:space="preserve">No self-loops; all entity IDs resolve.</w:t>
      </w:r>
    </w:p>
    <w:p>
      <w:pPr>
        <w:pStyle w:val="Heading1"/>
        <w:spacing w:after="160" w:before="320"/>
      </w:pPr>
      <w:r>
        <w:t xml:space="preserve">Assessment</w:t>
      </w:r>
    </w:p>
    <w:p>
      <w:pPr>
        <w:spacing w:after="120"/>
      </w:pPr>
      <w:r>
        <w:rPr>
          <w:b w:val="false"/>
          <w:bCs w:val="false"/>
          <w:i w:val="false"/>
          <w:iCs w:val="false"/>
        </w:rPr>
        <w:t xml:space="preserve">The output is a coherent but shallow first-pass extraction: it correctly identifies the domain’s core concepts and their broad associations, and it is clean enough to load and query without repair. It is </w:t>
      </w:r>
      <w:r>
        <w:rPr>
          <w:b/>
          <w:bCs/>
          <w:i w:val="false"/>
          <w:iCs w:val="false"/>
        </w:rPr>
        <w:t xml:space="preserve">not yet suitable for reasoning or citation</w:t>
      </w:r>
      <w:r>
        <w:rPr>
          <w:b w:val="false"/>
          <w:bCs w:val="false"/>
          <w:i w:val="false"/>
          <w:iCs w:val="false"/>
        </w:rPr>
        <w:t xml:space="preserve"> — the open predicate vocabulary, missing data-subject actor, and absent provision anchoring each block that independently. The highest-value next steps, in order: (a) canonicalise predicates onto a closed relation schema, (b) introduce individual as a first-class entity and re-attach rights and notifications to it, (c) link entities to the APP provisions that define them.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2026-08-26T01:51:01.366Z</dcterms:created>
  <dcterms:modified xsi:type="dcterms:W3CDTF">2026-08-26T01:51:01.367Z</dcterms:modified>
</cp:coreProperties>
</file>

<file path=docProps/custom.xml><?xml version="1.0" encoding="utf-8"?>
<Properties xmlns="http://schemas.openxmlformats.org/officeDocument/2006/custom-properties" xmlns:vt="http://schemas.openxmlformats.org/officeDocument/2006/docPropsVTypes"/>
</file>