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rw1158yiqfc" w:id="0"/>
      <w:bookmarkEnd w:id="0"/>
      <w:r w:rsidDel="00000000" w:rsidR="00000000" w:rsidRPr="00000000">
        <w:rPr>
          <w:b w:val="1"/>
          <w:color w:val="000000"/>
          <w:sz w:val="26"/>
          <w:szCs w:val="26"/>
          <w:rtl w:val="0"/>
        </w:rPr>
        <w:t xml:space="preserve">"How to Motivate Young People to Show Up for In-Person Problem Solving via an App"</w:t>
      </w:r>
    </w:p>
    <w:p w:rsidR="00000000" w:rsidDel="00000000" w:rsidP="00000000" w:rsidRDefault="00000000" w:rsidRPr="00000000" w14:paraId="00000002">
      <w:pPr>
        <w:spacing w:after="240" w:before="240" w:lineRule="auto"/>
        <w:rPr/>
      </w:pPr>
      <w:r w:rsidDel="00000000" w:rsidR="00000000" w:rsidRPr="00000000">
        <w:rPr>
          <w:rtl w:val="0"/>
        </w:rPr>
        <w:t xml:space="preserve">Motivating young people to show up for in-person interactions, especially when trying to solve issues like phone overuse or procrastination, requires a blend of technology and community. The app should create a space where users feel safe, supported, and excited about personal growth. Incorporating elements such as gamification, progress tracking, and peer accountability can significantly enhance participation. It's essential to highlight the benefits of face-to-face connections and offer clear solutions to the problems they face. By addressing common challenges and fostering a sense of community, young people are more likely to show up and participate.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y5r17gqxhmi" w:id="1"/>
      <w:bookmarkEnd w:id="1"/>
      <w:r w:rsidDel="00000000" w:rsidR="00000000" w:rsidRPr="00000000">
        <w:rPr>
          <w:b w:val="1"/>
          <w:color w:val="000000"/>
          <w:sz w:val="22"/>
          <w:szCs w:val="22"/>
          <w:rtl w:val="0"/>
        </w:rPr>
        <w:t xml:space="preserve">Quick Points: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Gamification:</w:t>
      </w:r>
      <w:r w:rsidDel="00000000" w:rsidR="00000000" w:rsidRPr="00000000">
        <w:rPr>
          <w:rtl w:val="0"/>
        </w:rPr>
        <w:t xml:space="preserve"> Reward users with points, badges, or streaks for showing up and participating.</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Peer Accountability:</w:t>
      </w:r>
      <w:r w:rsidDel="00000000" w:rsidR="00000000" w:rsidRPr="00000000">
        <w:rPr>
          <w:rtl w:val="0"/>
        </w:rPr>
        <w:t xml:space="preserve"> Encourage users to form accountability groups, where they support each other in tackling shared problems.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Progress Tracking:</w:t>
      </w:r>
      <w:r w:rsidDel="00000000" w:rsidR="00000000" w:rsidRPr="00000000">
        <w:rPr>
          <w:rtl w:val="0"/>
        </w:rPr>
        <w:t xml:space="preserve"> Allow users to track their improvements in areas like reducing phone use or overcoming procrastination.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Personal Growth Focus:</w:t>
      </w:r>
      <w:r w:rsidDel="00000000" w:rsidR="00000000" w:rsidRPr="00000000">
        <w:rPr>
          <w:rtl w:val="0"/>
        </w:rPr>
        <w:t xml:space="preserve"> Emphasise the personal and social benefits of overcoming challenges together.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User-Driven Goals:</w:t>
      </w:r>
      <w:r w:rsidDel="00000000" w:rsidR="00000000" w:rsidRPr="00000000">
        <w:rPr>
          <w:rtl w:val="0"/>
        </w:rPr>
        <w:t xml:space="preserve"> Let users set specific, manageable goals, which the app helps them achieve in small steps.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Community &amp; Connection:</w:t>
      </w:r>
      <w:r w:rsidDel="00000000" w:rsidR="00000000" w:rsidRPr="00000000">
        <w:rPr>
          <w:rtl w:val="0"/>
        </w:rPr>
        <w:t xml:space="preserve"> Create a sense of belonging by promoting in-person meetups with like-minded individuals.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6fpvmmkczfy" w:id="2"/>
      <w:bookmarkEnd w:id="2"/>
      <w:r w:rsidDel="00000000" w:rsidR="00000000" w:rsidRPr="00000000">
        <w:rPr>
          <w:b w:val="1"/>
          <w:color w:val="000000"/>
          <w:sz w:val="26"/>
          <w:szCs w:val="26"/>
          <w:rtl w:val="0"/>
        </w:rPr>
        <w:t xml:space="preserve">Reflection:</w:t>
      </w:r>
    </w:p>
    <w:p w:rsidR="00000000" w:rsidDel="00000000" w:rsidP="00000000" w:rsidRDefault="00000000" w:rsidRPr="00000000" w14:paraId="0000000B">
      <w:pPr>
        <w:spacing w:after="240" w:before="240" w:lineRule="auto"/>
        <w:rPr/>
      </w:pPr>
      <w:r w:rsidDel="00000000" w:rsidR="00000000" w:rsidRPr="00000000">
        <w:rPr>
          <w:rtl w:val="0"/>
        </w:rPr>
        <w:t xml:space="preserve">Motivating young people to attend in-person meetings through an app, especially to tackle personal issues like phone addiction or procrastination, requires more than just rewards. Drawing on the principles of social psychology and gamification, apps like this concept can tap into the desire for self-improvement and community engagement. According to research on goal-setting theory, “clear and achievable goals motivate users to persist in their efforts. By creating a social and supportive environment within the app,” users will likely feel more comfortable showing up and contributing. Additionally, offering a blend of rewards, peer support, and meaningful personal growth opportunities can increase engagement.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hrfaodv0l70l" w:id="3"/>
      <w:bookmarkEnd w:id="3"/>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8ieuhdiawcd1" w:id="4"/>
      <w:bookmarkEnd w:id="4"/>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3jrfmcwfsdot"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gj28nquhoxvj" w:id="6"/>
      <w:bookmarkEnd w:id="6"/>
      <w:r w:rsidDel="00000000" w:rsidR="00000000" w:rsidRPr="00000000">
        <w:rPr>
          <w:b w:val="1"/>
          <w:color w:val="000000"/>
          <w:sz w:val="26"/>
          <w:szCs w:val="26"/>
          <w:rtl w:val="0"/>
        </w:rPr>
        <w:t xml:space="preserve">Works Cited</w:t>
      </w:r>
    </w:p>
    <w:p w:rsidR="00000000" w:rsidDel="00000000" w:rsidP="00000000" w:rsidRDefault="00000000" w:rsidRPr="00000000" w14:paraId="00000011">
      <w:pPr>
        <w:numPr>
          <w:ilvl w:val="0"/>
          <w:numId w:val="2"/>
        </w:numPr>
        <w:spacing w:after="0" w:afterAutospacing="0" w:before="240" w:lineRule="auto"/>
        <w:ind w:left="720" w:hanging="360"/>
      </w:pPr>
      <w:hyperlink r:id="rId6">
        <w:r w:rsidDel="00000000" w:rsidR="00000000" w:rsidRPr="00000000">
          <w:rPr>
            <w:color w:val="1155cc"/>
            <w:u w:val="single"/>
            <w:rtl w:val="0"/>
          </w:rPr>
          <w:t xml:space="preserve">https://positivepsychology.com/self-determination-theory/</w:t>
        </w:r>
      </w:hyperlink>
      <w:r w:rsidDel="00000000" w:rsidR="00000000" w:rsidRPr="00000000">
        <w:rPr>
          <w:rtl w:val="0"/>
        </w:rPr>
        <w:t xml:space="preserve"> </w:t>
      </w:r>
    </w:p>
    <w:p w:rsidR="00000000" w:rsidDel="00000000" w:rsidP="00000000" w:rsidRDefault="00000000" w:rsidRPr="00000000" w14:paraId="00000012">
      <w:pPr>
        <w:numPr>
          <w:ilvl w:val="0"/>
          <w:numId w:val="2"/>
        </w:numPr>
        <w:spacing w:after="0" w:afterAutospacing="0" w:before="0" w:beforeAutospacing="0" w:lineRule="auto"/>
        <w:ind w:left="720" w:hanging="360"/>
      </w:pPr>
      <w:hyperlink r:id="rId7">
        <w:r w:rsidDel="00000000" w:rsidR="00000000" w:rsidRPr="00000000">
          <w:rPr>
            <w:color w:val="1155cc"/>
            <w:u w:val="single"/>
            <w:rtl w:val="0"/>
          </w:rPr>
          <w:t xml:space="preserve">https://medium.com/@FlowMapp/play-attention-10-examples-of-gamification-to-improve-emotional-experience-2d63cf200feb</w:t>
        </w:r>
      </w:hyperlink>
      <w:r w:rsidDel="00000000" w:rsidR="00000000" w:rsidRPr="00000000">
        <w:rPr>
          <w:rtl w:val="0"/>
        </w:rPr>
        <w:t xml:space="preserve"> </w:t>
      </w:r>
    </w:p>
    <w:p w:rsidR="00000000" w:rsidDel="00000000" w:rsidP="00000000" w:rsidRDefault="00000000" w:rsidRPr="00000000" w14:paraId="00000013">
      <w:pPr>
        <w:numPr>
          <w:ilvl w:val="0"/>
          <w:numId w:val="2"/>
        </w:numPr>
        <w:spacing w:after="0" w:afterAutospacing="0" w:before="0" w:beforeAutospacing="0" w:lineRule="auto"/>
        <w:ind w:left="720" w:hanging="360"/>
        <w:rPr>
          <w:u w:val="none"/>
        </w:rPr>
      </w:pPr>
      <w:hyperlink r:id="rId8">
        <w:r w:rsidDel="00000000" w:rsidR="00000000" w:rsidRPr="00000000">
          <w:rPr>
            <w:color w:val="1155cc"/>
            <w:u w:val="single"/>
            <w:rtl w:val="0"/>
          </w:rPr>
          <w:t xml:space="preserve">https://www.learnlight.com/en/articles/gamification-drives-learner-motivation/</w:t>
        </w:r>
      </w:hyperlink>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hyperlink r:id="rId9">
        <w:r w:rsidDel="00000000" w:rsidR="00000000" w:rsidRPr="00000000">
          <w:rPr>
            <w:color w:val="1155cc"/>
            <w:u w:val="single"/>
            <w:rtl w:val="0"/>
          </w:rPr>
          <w:t xml:space="preserve">https://www.adhdflowstate.com/peer-accountability-and-group-coaching-for-adhd/</w:t>
        </w:r>
      </w:hyperlink>
      <w:r w:rsidDel="00000000" w:rsidR="00000000" w:rsidRPr="00000000">
        <w:rPr>
          <w:rtl w:val="0"/>
        </w:rPr>
        <w:t xml:space="preserve"> </w:t>
      </w:r>
    </w:p>
    <w:p w:rsidR="00000000" w:rsidDel="00000000" w:rsidP="00000000" w:rsidRDefault="00000000" w:rsidRPr="00000000" w14:paraId="00000015">
      <w:pPr>
        <w:numPr>
          <w:ilvl w:val="0"/>
          <w:numId w:val="2"/>
        </w:numPr>
        <w:spacing w:after="0" w:afterAutospacing="0" w:before="0" w:beforeAutospacing="0" w:lineRule="auto"/>
        <w:ind w:left="720" w:hanging="360"/>
        <w:rPr>
          <w:u w:val="none"/>
        </w:rPr>
      </w:pPr>
      <w:hyperlink r:id="rId10">
        <w:r w:rsidDel="00000000" w:rsidR="00000000" w:rsidRPr="00000000">
          <w:rPr>
            <w:color w:val="1155cc"/>
            <w:u w:val="single"/>
            <w:rtl w:val="0"/>
          </w:rPr>
          <w:t xml:space="preserve">https://thereasonandtheroad.com/why-peer-accountability-is-so-powerful-and-how-it-can-help-you/</w:t>
        </w:r>
      </w:hyperlink>
      <w:r w:rsidDel="00000000" w:rsidR="00000000" w:rsidRPr="00000000">
        <w:rPr>
          <w:rtl w:val="0"/>
        </w:rPr>
        <w:t xml:space="preserve"> </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hyperlink r:id="rId11">
        <w:r w:rsidDel="00000000" w:rsidR="00000000" w:rsidRPr="00000000">
          <w:rPr>
            <w:color w:val="1155cc"/>
            <w:u w:val="single"/>
            <w:rtl w:val="0"/>
          </w:rPr>
          <w:t xml:space="preserve">https://www.nsls.org/goal-setting-techniques</w:t>
        </w:r>
      </w:hyperlink>
      <w:r w:rsidDel="00000000" w:rsidR="00000000" w:rsidRPr="00000000">
        <w:rPr>
          <w:rtl w:val="0"/>
        </w:rPr>
        <w:t xml:space="preserve"> </w:t>
      </w:r>
    </w:p>
    <w:p w:rsidR="00000000" w:rsidDel="00000000" w:rsidP="00000000" w:rsidRDefault="00000000" w:rsidRPr="00000000" w14:paraId="00000017">
      <w:pPr>
        <w:numPr>
          <w:ilvl w:val="0"/>
          <w:numId w:val="2"/>
        </w:numPr>
        <w:spacing w:after="0" w:afterAutospacing="0" w:before="0" w:beforeAutospacing="0" w:lineRule="auto"/>
        <w:ind w:left="720" w:hanging="360"/>
        <w:rPr>
          <w:u w:val="none"/>
        </w:rPr>
      </w:pPr>
      <w:hyperlink r:id="rId12">
        <w:r w:rsidDel="00000000" w:rsidR="00000000" w:rsidRPr="00000000">
          <w:rPr>
            <w:color w:val="1155cc"/>
            <w:u w:val="single"/>
            <w:rtl w:val="0"/>
          </w:rPr>
          <w:t xml:space="preserve">https://www.ptdistinction.com/blog/goal-setting-progress-tracking-online-personal-training</w:t>
        </w:r>
      </w:hyperlink>
      <w:r w:rsidDel="00000000" w:rsidR="00000000" w:rsidRPr="00000000">
        <w:rPr>
          <w:rtl w:val="0"/>
        </w:rPr>
        <w:t xml:space="preserve"> </w:t>
      </w:r>
    </w:p>
    <w:p w:rsidR="00000000" w:rsidDel="00000000" w:rsidP="00000000" w:rsidRDefault="00000000" w:rsidRPr="00000000" w14:paraId="00000018">
      <w:pPr>
        <w:numPr>
          <w:ilvl w:val="0"/>
          <w:numId w:val="2"/>
        </w:numPr>
        <w:spacing w:after="0" w:afterAutospacing="0" w:before="0" w:beforeAutospacing="0" w:lineRule="auto"/>
        <w:ind w:left="720" w:hanging="360"/>
        <w:rPr>
          <w:u w:val="none"/>
        </w:rPr>
      </w:pPr>
      <w:hyperlink r:id="rId13">
        <w:r w:rsidDel="00000000" w:rsidR="00000000" w:rsidRPr="00000000">
          <w:rPr>
            <w:color w:val="1155cc"/>
            <w:u w:val="single"/>
            <w:rtl w:val="0"/>
          </w:rPr>
          <w:t xml:space="preserve">https://newsletter.brainenergy.com/how-social-connections-support-your-mental-health/</w:t>
        </w:r>
      </w:hyperlink>
      <w:r w:rsidDel="00000000" w:rsidR="00000000" w:rsidRPr="00000000">
        <w:rPr>
          <w:rtl w:val="0"/>
        </w:rPr>
        <w:t xml:space="preserve"> </w:t>
      </w:r>
    </w:p>
    <w:p w:rsidR="00000000" w:rsidDel="00000000" w:rsidP="00000000" w:rsidRDefault="00000000" w:rsidRPr="00000000" w14:paraId="00000019">
      <w:pPr>
        <w:numPr>
          <w:ilvl w:val="0"/>
          <w:numId w:val="2"/>
        </w:numPr>
        <w:spacing w:after="240" w:before="0" w:beforeAutospacing="0" w:lineRule="auto"/>
        <w:ind w:left="720" w:hanging="360"/>
        <w:rPr>
          <w:u w:val="none"/>
        </w:rPr>
      </w:pPr>
      <w:hyperlink r:id="rId14">
        <w:r w:rsidDel="00000000" w:rsidR="00000000" w:rsidRPr="00000000">
          <w:rPr>
            <w:color w:val="1155cc"/>
            <w:u w:val="single"/>
            <w:rtl w:val="0"/>
          </w:rPr>
          <w:t xml:space="preserve">https://www.apa.org/news/podcasts/speaking-of-psychology/human-behavior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sls.org/goal-setting-techniques" TargetMode="External"/><Relationship Id="rId10" Type="http://schemas.openxmlformats.org/officeDocument/2006/relationships/hyperlink" Target="https://thereasonandtheroad.com/why-peer-accountability-is-so-powerful-and-how-it-can-help-you/" TargetMode="External"/><Relationship Id="rId13" Type="http://schemas.openxmlformats.org/officeDocument/2006/relationships/hyperlink" Target="https://newsletter.brainenergy.com/how-social-connections-support-your-mental-health/" TargetMode="External"/><Relationship Id="rId12" Type="http://schemas.openxmlformats.org/officeDocument/2006/relationships/hyperlink" Target="https://www.ptdistinction.com/blog/goal-setting-progress-tracking-online-personal-trai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hdflowstate.com/peer-accountability-and-group-coaching-for-adhd/" TargetMode="External"/><Relationship Id="rId14" Type="http://schemas.openxmlformats.org/officeDocument/2006/relationships/hyperlink" Target="https://www.apa.org/news/podcasts/speaking-of-psychology/human-behavior" TargetMode="External"/><Relationship Id="rId5" Type="http://schemas.openxmlformats.org/officeDocument/2006/relationships/styles" Target="styles.xml"/><Relationship Id="rId6" Type="http://schemas.openxmlformats.org/officeDocument/2006/relationships/hyperlink" Target="https://positivepsychology.com/self-determination-theory/" TargetMode="External"/><Relationship Id="rId7" Type="http://schemas.openxmlformats.org/officeDocument/2006/relationships/hyperlink" Target="https://medium.com/@FlowMapp/play-attention-10-examples-of-gamification-to-improve-emotional-experience-2d63cf200feb" TargetMode="External"/><Relationship Id="rId8" Type="http://schemas.openxmlformats.org/officeDocument/2006/relationships/hyperlink" Target="https://www.learnlight.com/en/articles/gamification-drives-learner-moti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