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24418" w14:textId="77777777" w:rsidR="00922E67" w:rsidRDefault="00922E67">
      <w:pPr>
        <w:rPr>
          <w:rFonts w:ascii="Cascadia Code" w:hAnsi="Cascadia Code" w:cs="Cascadia Code"/>
          <w:b/>
          <w:bCs/>
        </w:rPr>
      </w:pPr>
    </w:p>
    <w:p w14:paraId="1E1CD5D4" w14:textId="7B7B557D" w:rsidR="00922E67" w:rsidRDefault="00922E67" w:rsidP="00922E67">
      <w:pPr>
        <w:jc w:val="center"/>
        <w:rPr>
          <w:rFonts w:ascii="Times New Roman" w:hAnsi="Times New Roman" w:cs="Times New Roman"/>
          <w:b/>
          <w:bCs/>
          <w:sz w:val="24"/>
          <w:szCs w:val="24"/>
        </w:rPr>
      </w:pPr>
    </w:p>
    <w:p w14:paraId="458B8E14" w14:textId="15D65DE0" w:rsidR="00922E67" w:rsidRDefault="00922E67" w:rsidP="00922E67">
      <w:pPr>
        <w:jc w:val="center"/>
        <w:rPr>
          <w:rFonts w:ascii="Times New Roman" w:hAnsi="Times New Roman" w:cs="Times New Roman"/>
          <w:b/>
          <w:bCs/>
          <w:sz w:val="24"/>
          <w:szCs w:val="24"/>
        </w:rPr>
      </w:pPr>
    </w:p>
    <w:p w14:paraId="5BDC0E39" w14:textId="241A9539" w:rsidR="00922E67" w:rsidRDefault="00922E67" w:rsidP="00922E67">
      <w:pPr>
        <w:jc w:val="center"/>
        <w:rPr>
          <w:rFonts w:ascii="Times New Roman" w:hAnsi="Times New Roman" w:cs="Times New Roman"/>
          <w:b/>
          <w:bCs/>
          <w:sz w:val="24"/>
          <w:szCs w:val="24"/>
        </w:rPr>
      </w:pPr>
    </w:p>
    <w:p w14:paraId="2ADB707E" w14:textId="3F7761DF" w:rsidR="00922E67" w:rsidRDefault="00922E67" w:rsidP="00922E67">
      <w:pPr>
        <w:jc w:val="center"/>
        <w:rPr>
          <w:rFonts w:ascii="Times New Roman" w:hAnsi="Times New Roman" w:cs="Times New Roman"/>
          <w:b/>
          <w:bCs/>
          <w:sz w:val="24"/>
          <w:szCs w:val="24"/>
        </w:rPr>
      </w:pPr>
    </w:p>
    <w:p w14:paraId="61F28885" w14:textId="3753F01A" w:rsidR="00922E67" w:rsidRDefault="00922E67" w:rsidP="00922E67">
      <w:pPr>
        <w:jc w:val="center"/>
        <w:rPr>
          <w:rFonts w:ascii="Times New Roman" w:hAnsi="Times New Roman" w:cs="Times New Roman"/>
          <w:b/>
          <w:bCs/>
          <w:sz w:val="24"/>
          <w:szCs w:val="24"/>
        </w:rPr>
      </w:pPr>
    </w:p>
    <w:p w14:paraId="3E7BA448" w14:textId="42548D3B" w:rsidR="00922E67" w:rsidRDefault="00323C64" w:rsidP="00323C64">
      <w:pPr>
        <w:spacing w:after="0"/>
        <w:jc w:val="center"/>
        <w:rPr>
          <w:rFonts w:ascii="Times New Roman" w:hAnsi="Times New Roman" w:cs="Times New Roman"/>
          <w:sz w:val="36"/>
          <w:szCs w:val="36"/>
        </w:rPr>
      </w:pPr>
      <w:r>
        <w:rPr>
          <w:rFonts w:ascii="Times New Roman" w:hAnsi="Times New Roman" w:cs="Times New Roman"/>
          <w:sz w:val="36"/>
          <w:szCs w:val="36"/>
        </w:rPr>
        <w:t>The Prehistory of the Cook Valley &amp;</w:t>
      </w:r>
    </w:p>
    <w:p w14:paraId="58A58D6E" w14:textId="1EE3A610" w:rsidR="00323C64" w:rsidRDefault="00323C64" w:rsidP="00323C64">
      <w:pPr>
        <w:spacing w:after="0"/>
        <w:jc w:val="center"/>
        <w:rPr>
          <w:rFonts w:ascii="Times New Roman" w:hAnsi="Times New Roman" w:cs="Times New Roman"/>
          <w:sz w:val="36"/>
          <w:szCs w:val="36"/>
        </w:rPr>
      </w:pPr>
      <w:r>
        <w:rPr>
          <w:rFonts w:ascii="Times New Roman" w:hAnsi="Times New Roman" w:cs="Times New Roman"/>
          <w:sz w:val="36"/>
          <w:szCs w:val="36"/>
        </w:rPr>
        <w:t>Suggestions for Further Research</w:t>
      </w:r>
    </w:p>
    <w:p w14:paraId="1E668975" w14:textId="77777777" w:rsidR="00323C64" w:rsidRDefault="00323C64" w:rsidP="00323C64">
      <w:pPr>
        <w:spacing w:after="0"/>
        <w:jc w:val="center"/>
        <w:rPr>
          <w:rFonts w:ascii="Times New Roman" w:hAnsi="Times New Roman" w:cs="Times New Roman"/>
          <w:sz w:val="36"/>
          <w:szCs w:val="36"/>
        </w:rPr>
      </w:pPr>
    </w:p>
    <w:p w14:paraId="7E49C7F0" w14:textId="7798ADE4" w:rsidR="00922E67" w:rsidRPr="00922E67" w:rsidRDefault="00922E67" w:rsidP="00922E67">
      <w:pPr>
        <w:jc w:val="center"/>
        <w:rPr>
          <w:rFonts w:ascii="Times New Roman" w:hAnsi="Times New Roman" w:cs="Times New Roman"/>
          <w:sz w:val="24"/>
          <w:szCs w:val="24"/>
        </w:rPr>
      </w:pPr>
      <w:r>
        <w:rPr>
          <w:rFonts w:ascii="Times New Roman" w:hAnsi="Times New Roman" w:cs="Times New Roman"/>
          <w:sz w:val="24"/>
          <w:szCs w:val="24"/>
        </w:rPr>
        <w:t>Connor Sutton</w:t>
      </w:r>
    </w:p>
    <w:p w14:paraId="2CD36A58" w14:textId="77777777" w:rsidR="00922E67" w:rsidRDefault="00922E67">
      <w:pPr>
        <w:rPr>
          <w:rFonts w:ascii="Cascadia Code" w:hAnsi="Cascadia Code" w:cs="Cascadia Code"/>
          <w:b/>
          <w:bCs/>
        </w:rPr>
      </w:pPr>
    </w:p>
    <w:p w14:paraId="2CBBE6F2" w14:textId="7884AE9B" w:rsidR="00922E67" w:rsidRDefault="00922E67">
      <w:pPr>
        <w:rPr>
          <w:rFonts w:ascii="Times New Roman" w:hAnsi="Times New Roman" w:cs="Times New Roman"/>
        </w:rPr>
      </w:pPr>
      <w:r>
        <w:rPr>
          <w:rFonts w:ascii="Times New Roman" w:hAnsi="Times New Roman" w:cs="Times New Roman"/>
          <w:b/>
          <w:bCs/>
        </w:rPr>
        <w:t>Introduction</w:t>
      </w:r>
    </w:p>
    <w:p w14:paraId="152B5BD5" w14:textId="141CEEEE" w:rsidR="00922E67" w:rsidRDefault="00922E67">
      <w:pPr>
        <w:rPr>
          <w:rFonts w:ascii="Times New Roman" w:hAnsi="Times New Roman" w:cs="Times New Roman"/>
        </w:rPr>
      </w:pPr>
      <w:r>
        <w:rPr>
          <w:rFonts w:ascii="Times New Roman" w:hAnsi="Times New Roman" w:cs="Times New Roman"/>
        </w:rPr>
        <w:tab/>
      </w:r>
      <w:r w:rsidR="00EF4F68">
        <w:rPr>
          <w:rFonts w:ascii="Times New Roman" w:hAnsi="Times New Roman" w:cs="Times New Roman"/>
        </w:rPr>
        <w:t xml:space="preserve">The current composition of information regarding the prehistory of the Cook Valley is derived from scattered, disjointed, and altogether unsound sources. This being the case, there are still a series of conclusions we can make about the “Waika”—the term used to denote Native Silurians. This region has been occupied for at least the last </w:t>
      </w:r>
      <w:r w:rsidR="004C49B6">
        <w:rPr>
          <w:rFonts w:ascii="Times New Roman" w:hAnsi="Times New Roman" w:cs="Times New Roman"/>
        </w:rPr>
        <w:t>8</w:t>
      </w:r>
      <w:r w:rsidR="00863B1E">
        <w:rPr>
          <w:rFonts w:ascii="Times New Roman" w:hAnsi="Times New Roman" w:cs="Times New Roman"/>
        </w:rPr>
        <w:t>,5</w:t>
      </w:r>
      <w:r w:rsidR="00EF4F68">
        <w:rPr>
          <w:rFonts w:ascii="Times New Roman" w:hAnsi="Times New Roman" w:cs="Times New Roman"/>
        </w:rPr>
        <w:t>00 years, and its inhabitants have undergone a series of transformations in subsistence practices, economy, and settlement patterns throughout this occupation. As we will see, however, it is presently difficult to discuss such changes as we have only a fragmentary understanding of who these</w:t>
      </w:r>
      <w:r w:rsidR="00E47326">
        <w:rPr>
          <w:rFonts w:ascii="Times New Roman" w:hAnsi="Times New Roman" w:cs="Times New Roman"/>
        </w:rPr>
        <w:t xml:space="preserve"> Waika are, or if such a general term can be applied to</w:t>
      </w:r>
      <w:r w:rsidR="006F2947">
        <w:rPr>
          <w:rFonts w:ascii="Times New Roman" w:hAnsi="Times New Roman" w:cs="Times New Roman"/>
        </w:rPr>
        <w:t xml:space="preserve"> all</w:t>
      </w:r>
      <w:r w:rsidR="00E47326">
        <w:rPr>
          <w:rFonts w:ascii="Times New Roman" w:hAnsi="Times New Roman" w:cs="Times New Roman"/>
        </w:rPr>
        <w:t xml:space="preserve"> Native Silurians without combining culturally distinct peoples under one label. Before such topics as the sources of cultural change can be explored, our understanding </w:t>
      </w:r>
      <w:r w:rsidR="004C49B6">
        <w:rPr>
          <w:rFonts w:ascii="Times New Roman" w:hAnsi="Times New Roman" w:cs="Times New Roman"/>
        </w:rPr>
        <w:t xml:space="preserve">of those subject to such change must be deepened. </w:t>
      </w:r>
    </w:p>
    <w:p w14:paraId="454D0E39" w14:textId="38277D8B" w:rsidR="004C49B6" w:rsidRDefault="004C49B6">
      <w:pPr>
        <w:rPr>
          <w:rFonts w:ascii="Times New Roman" w:hAnsi="Times New Roman" w:cs="Times New Roman"/>
        </w:rPr>
      </w:pPr>
    </w:p>
    <w:p w14:paraId="5E08195B" w14:textId="67C5933E" w:rsidR="004C49B6" w:rsidRDefault="004C49B6">
      <w:pPr>
        <w:rPr>
          <w:rFonts w:ascii="Times New Roman" w:hAnsi="Times New Roman" w:cs="Times New Roman"/>
          <w:b/>
          <w:bCs/>
        </w:rPr>
      </w:pPr>
      <w:r>
        <w:rPr>
          <w:rFonts w:ascii="Times New Roman" w:hAnsi="Times New Roman" w:cs="Times New Roman"/>
          <w:b/>
          <w:bCs/>
        </w:rPr>
        <w:t>Background</w:t>
      </w:r>
    </w:p>
    <w:p w14:paraId="21AEB1BA" w14:textId="21CEB4B5" w:rsidR="004C49B6" w:rsidRDefault="004C49B6">
      <w:pPr>
        <w:rPr>
          <w:rFonts w:ascii="Times New Roman" w:hAnsi="Times New Roman" w:cs="Times New Roman"/>
        </w:rPr>
      </w:pPr>
      <w:r>
        <w:rPr>
          <w:rFonts w:ascii="Times New Roman" w:hAnsi="Times New Roman" w:cs="Times New Roman"/>
          <w:b/>
          <w:bCs/>
        </w:rPr>
        <w:tab/>
      </w:r>
      <w:r w:rsidR="00D20CC9">
        <w:rPr>
          <w:rFonts w:ascii="Times New Roman" w:hAnsi="Times New Roman" w:cs="Times New Roman"/>
        </w:rPr>
        <w:t>One of the</w:t>
      </w:r>
      <w:r>
        <w:rPr>
          <w:rFonts w:ascii="Times New Roman" w:hAnsi="Times New Roman" w:cs="Times New Roman"/>
        </w:rPr>
        <w:t xml:space="preserve"> </w:t>
      </w:r>
      <w:r w:rsidR="00CF6FB8">
        <w:rPr>
          <w:rFonts w:ascii="Times New Roman" w:hAnsi="Times New Roman" w:cs="Times New Roman"/>
        </w:rPr>
        <w:t>earliest date</w:t>
      </w:r>
      <w:r w:rsidR="00D20CC9">
        <w:rPr>
          <w:rFonts w:ascii="Times New Roman" w:hAnsi="Times New Roman" w:cs="Times New Roman"/>
        </w:rPr>
        <w:t>s</w:t>
      </w:r>
      <w:r w:rsidR="00CF6FB8">
        <w:rPr>
          <w:rFonts w:ascii="Times New Roman" w:hAnsi="Times New Roman" w:cs="Times New Roman"/>
        </w:rPr>
        <w:t xml:space="preserve"> we can ascribe to </w:t>
      </w:r>
      <w:r w:rsidR="006F2947">
        <w:rPr>
          <w:rFonts w:ascii="Times New Roman" w:hAnsi="Times New Roman" w:cs="Times New Roman"/>
        </w:rPr>
        <w:t>Cook Valley</w:t>
      </w:r>
      <w:r w:rsidR="00CF6FB8">
        <w:rPr>
          <w:rFonts w:ascii="Times New Roman" w:hAnsi="Times New Roman" w:cs="Times New Roman"/>
        </w:rPr>
        <w:t xml:space="preserve"> occupation is B.P. 8200 </w:t>
      </w:r>
      <w:r w:rsidR="00CF6FB8" w:rsidRPr="00CF6FB8">
        <w:rPr>
          <w:rFonts w:ascii="Times New Roman" w:hAnsi="Times New Roman" w:cs="Times New Roman"/>
        </w:rPr>
        <w:t>±</w:t>
      </w:r>
      <w:r w:rsidR="00CF6FB8">
        <w:rPr>
          <w:rFonts w:ascii="Times New Roman" w:hAnsi="Times New Roman" w:cs="Times New Roman"/>
        </w:rPr>
        <w:t xml:space="preserve"> 150 via radiocarbon dating of charcoal from the Newport Midden, a site which has been poorly and sporadically excavated since the mid-19</w:t>
      </w:r>
      <w:r w:rsidR="00CF6FB8" w:rsidRPr="00CF6FB8">
        <w:rPr>
          <w:rFonts w:ascii="Times New Roman" w:hAnsi="Times New Roman" w:cs="Times New Roman"/>
          <w:vertAlign w:val="superscript"/>
        </w:rPr>
        <w:t>th</w:t>
      </w:r>
      <w:r w:rsidR="00CF6FB8">
        <w:rPr>
          <w:rFonts w:ascii="Times New Roman" w:hAnsi="Times New Roman" w:cs="Times New Roman"/>
        </w:rPr>
        <w:t xml:space="preserve"> century.</w:t>
      </w:r>
      <w:r w:rsidR="00D20CC9">
        <w:rPr>
          <w:rStyle w:val="FootnoteReference"/>
          <w:rFonts w:ascii="Times New Roman" w:hAnsi="Times New Roman" w:cs="Times New Roman"/>
        </w:rPr>
        <w:footnoteReference w:id="1"/>
      </w:r>
      <w:r w:rsidR="00CF6FB8">
        <w:rPr>
          <w:rFonts w:ascii="Times New Roman" w:hAnsi="Times New Roman" w:cs="Times New Roman"/>
        </w:rPr>
        <w:t xml:space="preserve"> Our information regarding this site comes from the 1967 excavations by graduate student P. Mott, and since his excavation occurred after many others, it should be noted that the site was probably heavily disturbed prior to his excavation and that the resulting assemblage may be similarly affected. </w:t>
      </w:r>
    </w:p>
    <w:p w14:paraId="56872C2D" w14:textId="0B82779A" w:rsidR="00CF6FB8" w:rsidRDefault="00CF6FB8">
      <w:pPr>
        <w:rPr>
          <w:rFonts w:ascii="Times New Roman" w:hAnsi="Times New Roman" w:cs="Times New Roman"/>
        </w:rPr>
      </w:pPr>
      <w:r>
        <w:rPr>
          <w:rFonts w:ascii="Times New Roman" w:hAnsi="Times New Roman" w:cs="Times New Roman"/>
        </w:rPr>
        <w:tab/>
        <w:t>Mott divided the sequence of layers at the Newport Midden into three distinct period</w:t>
      </w:r>
      <w:r w:rsidR="001A45BF">
        <w:rPr>
          <w:rFonts w:ascii="Times New Roman" w:hAnsi="Times New Roman" w:cs="Times New Roman"/>
        </w:rPr>
        <w:t>s</w:t>
      </w:r>
      <w:r>
        <w:rPr>
          <w:rFonts w:ascii="Times New Roman" w:hAnsi="Times New Roman" w:cs="Times New Roman"/>
        </w:rPr>
        <w:t xml:space="preserve">. </w:t>
      </w:r>
      <w:r w:rsidR="00504E76">
        <w:rPr>
          <w:rFonts w:ascii="Times New Roman" w:hAnsi="Times New Roman" w:cs="Times New Roman"/>
        </w:rPr>
        <w:t>Period 1</w:t>
      </w:r>
      <w:r>
        <w:rPr>
          <w:rFonts w:ascii="Times New Roman" w:hAnsi="Times New Roman" w:cs="Times New Roman"/>
        </w:rPr>
        <w:t xml:space="preserve"> corresponds to lithic artifacts such as microblades fashioned from blue chert, red chert, and obsidian; projectile points</w:t>
      </w:r>
      <w:r w:rsidR="00740448">
        <w:rPr>
          <w:rFonts w:ascii="Times New Roman" w:hAnsi="Times New Roman" w:cs="Times New Roman"/>
        </w:rPr>
        <w:t>;</w:t>
      </w:r>
      <w:r>
        <w:rPr>
          <w:rFonts w:ascii="Times New Roman" w:hAnsi="Times New Roman" w:cs="Times New Roman"/>
        </w:rPr>
        <w:t xml:space="preserve"> bones of wild deer and pig; and a barbed bone point. </w:t>
      </w:r>
      <w:r w:rsidR="00740448">
        <w:rPr>
          <w:rFonts w:ascii="Times New Roman" w:hAnsi="Times New Roman" w:cs="Times New Roman"/>
        </w:rPr>
        <w:t>These findings would seem to indicate a mobile hunter-gatherer people</w:t>
      </w:r>
      <w:r w:rsidR="001A45BF">
        <w:rPr>
          <w:rFonts w:ascii="Times New Roman" w:hAnsi="Times New Roman" w:cs="Times New Roman"/>
        </w:rPr>
        <w:t xml:space="preserve">. Shell depositions indicate the beginning of </w:t>
      </w:r>
      <w:r w:rsidR="00504E76">
        <w:rPr>
          <w:rFonts w:ascii="Times New Roman" w:hAnsi="Times New Roman" w:cs="Times New Roman"/>
        </w:rPr>
        <w:t>P</w:t>
      </w:r>
      <w:r w:rsidR="001A45BF">
        <w:rPr>
          <w:rFonts w:ascii="Times New Roman" w:hAnsi="Times New Roman" w:cs="Times New Roman"/>
        </w:rPr>
        <w:t xml:space="preserve">eriod 2 and a lifestyle more interwoven with marine life. There is a large decrease in the number of identified deer and </w:t>
      </w:r>
      <w:r w:rsidR="001A45BF">
        <w:rPr>
          <w:rFonts w:ascii="Times New Roman" w:hAnsi="Times New Roman" w:cs="Times New Roman"/>
        </w:rPr>
        <w:lastRenderedPageBreak/>
        <w:t xml:space="preserve">pig specimens </w:t>
      </w:r>
      <w:r w:rsidR="00504E76">
        <w:rPr>
          <w:rFonts w:ascii="Times New Roman" w:hAnsi="Times New Roman" w:cs="Times New Roman"/>
        </w:rPr>
        <w:t>in P</w:t>
      </w:r>
      <w:r w:rsidR="001A45BF">
        <w:rPr>
          <w:rFonts w:ascii="Times New Roman" w:hAnsi="Times New Roman" w:cs="Times New Roman"/>
        </w:rPr>
        <w:t>eriod 2, while</w:t>
      </w:r>
      <w:r w:rsidR="00504E76">
        <w:rPr>
          <w:rFonts w:ascii="Times New Roman" w:hAnsi="Times New Roman" w:cs="Times New Roman"/>
        </w:rPr>
        <w:t xml:space="preserve"> the number of</w:t>
      </w:r>
      <w:r w:rsidR="001A45BF">
        <w:rPr>
          <w:rFonts w:ascii="Times New Roman" w:hAnsi="Times New Roman" w:cs="Times New Roman"/>
        </w:rPr>
        <w:t xml:space="preserve"> seal, eel, flounder, cod, and halibut </w:t>
      </w:r>
      <w:r w:rsidR="00504E76">
        <w:rPr>
          <w:rFonts w:ascii="Times New Roman" w:hAnsi="Times New Roman" w:cs="Times New Roman"/>
        </w:rPr>
        <w:t xml:space="preserve">specimens increase dramatically. Wooden longhouses, storage pits, burials, and large quantities of deposited mussels and clams outside the houses imply a sedentary, long-term occupation. Two radiocarbon dates of human bone, 4800 </w:t>
      </w:r>
      <w:r w:rsidR="00504E76" w:rsidRPr="00CF6FB8">
        <w:rPr>
          <w:rFonts w:ascii="Times New Roman" w:hAnsi="Times New Roman" w:cs="Times New Roman"/>
        </w:rPr>
        <w:t>±</w:t>
      </w:r>
      <w:r w:rsidR="00504E76">
        <w:rPr>
          <w:rFonts w:ascii="Times New Roman" w:hAnsi="Times New Roman" w:cs="Times New Roman"/>
        </w:rPr>
        <w:t xml:space="preserve"> 150 and 2720 </w:t>
      </w:r>
      <w:r w:rsidR="00504E76" w:rsidRPr="00CF6FB8">
        <w:rPr>
          <w:rFonts w:ascii="Times New Roman" w:hAnsi="Times New Roman" w:cs="Times New Roman"/>
        </w:rPr>
        <w:t>±</w:t>
      </w:r>
      <w:r w:rsidR="00504E76">
        <w:rPr>
          <w:rFonts w:ascii="Times New Roman" w:hAnsi="Times New Roman" w:cs="Times New Roman"/>
        </w:rPr>
        <w:t xml:space="preserve"> 100 B.P, are supposed to have belong to this period. This leaves at least a </w:t>
      </w:r>
      <w:r w:rsidR="002378F0">
        <w:rPr>
          <w:rFonts w:ascii="Times New Roman" w:hAnsi="Times New Roman" w:cs="Times New Roman"/>
        </w:rPr>
        <w:t>3,000-year</w:t>
      </w:r>
      <w:r w:rsidR="00504E76">
        <w:rPr>
          <w:rFonts w:ascii="Times New Roman" w:hAnsi="Times New Roman" w:cs="Times New Roman"/>
        </w:rPr>
        <w:t xml:space="preserve"> gap between confirmable Period 1 and Period 2 occupation</w:t>
      </w:r>
      <w:r w:rsidR="00A03B88">
        <w:rPr>
          <w:rFonts w:ascii="Times New Roman" w:hAnsi="Times New Roman" w:cs="Times New Roman"/>
        </w:rPr>
        <w:t>.</w:t>
      </w:r>
      <w:r w:rsidR="00504E76">
        <w:rPr>
          <w:rFonts w:ascii="Times New Roman" w:hAnsi="Times New Roman" w:cs="Times New Roman"/>
        </w:rPr>
        <w:t xml:space="preserve"> </w:t>
      </w:r>
      <w:r w:rsidR="00A03B88">
        <w:rPr>
          <w:rFonts w:ascii="Times New Roman" w:hAnsi="Times New Roman" w:cs="Times New Roman"/>
        </w:rPr>
        <w:t>I</w:t>
      </w:r>
      <w:r w:rsidR="00504E76">
        <w:rPr>
          <w:rFonts w:ascii="Times New Roman" w:hAnsi="Times New Roman" w:cs="Times New Roman"/>
        </w:rPr>
        <w:t xml:space="preserve">t is thus difficult to say whether Period 2 shows cultural and socioeconomic </w:t>
      </w:r>
      <w:r w:rsidR="00A03B88">
        <w:rPr>
          <w:rFonts w:ascii="Times New Roman" w:hAnsi="Times New Roman" w:cs="Times New Roman"/>
        </w:rPr>
        <w:t>change in the people of Period 1 or represents a new, culturally distinct people occupying the same space; much can happen in the span of 3,000 years. In the late 1960s, Mott wrote that environmental change may have forced the indigenous populations to adopt new subsistence strategies, and while this may certainly be the case, the available evidence does not rule out the possibility that the people of Period 2 had been using similar subsistence practices</w:t>
      </w:r>
      <w:r w:rsidR="00ED4335">
        <w:rPr>
          <w:rFonts w:ascii="Times New Roman" w:hAnsi="Times New Roman" w:cs="Times New Roman"/>
        </w:rPr>
        <w:t xml:space="preserve"> since the time of Period 1, and it was only later that their settlements expanded to include the land once inhabited by the hunter-gatherers—a number of similar hypotheses that do not rely on environmental change to influence subsistence could be made. This emphasizes the point that future studies regarding New Silurian prehistory should be more focused on building a sturdier, more cohesive picture of the cultures which inhabited the area before exploring factors that may have led to changes in these cultures.  </w:t>
      </w:r>
    </w:p>
    <w:p w14:paraId="5946779A" w14:textId="7421EE8E" w:rsidR="00ED4335" w:rsidRDefault="00ED4335" w:rsidP="003D399F">
      <w:pPr>
        <w:rPr>
          <w:rFonts w:ascii="Times New Roman" w:hAnsi="Times New Roman" w:cs="Times New Roman"/>
        </w:rPr>
      </w:pPr>
      <w:r>
        <w:rPr>
          <w:rFonts w:ascii="Times New Roman" w:hAnsi="Times New Roman" w:cs="Times New Roman"/>
        </w:rPr>
        <w:tab/>
        <w:t xml:space="preserve">Period 3 at the Newport Midden shows another socioeconomic shift—longhouses are replaced by small, circular huts; the frequency of freshwater eel declines while deep sea fish become more common; </w:t>
      </w:r>
      <w:r w:rsidR="005E7225">
        <w:rPr>
          <w:rFonts w:ascii="Times New Roman" w:hAnsi="Times New Roman" w:cs="Times New Roman"/>
        </w:rPr>
        <w:t xml:space="preserve">and side-notched projectile points are completely replaced by corner-notched points. Since Mott did not report any findings of burials or storage pits in this period, </w:t>
      </w:r>
      <w:r w:rsidR="003D399F">
        <w:rPr>
          <w:rFonts w:ascii="Times New Roman" w:hAnsi="Times New Roman" w:cs="Times New Roman"/>
        </w:rPr>
        <w:t xml:space="preserve">it </w:t>
      </w:r>
      <w:r w:rsidR="002378F0">
        <w:rPr>
          <w:rFonts w:ascii="Times New Roman" w:hAnsi="Times New Roman" w:cs="Times New Roman"/>
        </w:rPr>
        <w:t xml:space="preserve">seems more likely </w:t>
      </w:r>
      <w:r w:rsidR="003D399F">
        <w:rPr>
          <w:rFonts w:ascii="Times New Roman" w:hAnsi="Times New Roman" w:cs="Times New Roman"/>
        </w:rPr>
        <w:t xml:space="preserve">that the inhabits of this period followed a pattern of seasonal occupation of various sites. This could also explain the replacement of longhouses by small huts. In fact, in James Cook’s brief account of his visit to New Siluria—our first source of information regarding the area or its people—he describes witnessing “a cluster of crude shelters…deserted, with weeds growing over the cold fireplaces.” Cook notes that it seemed the desertion of the village could not have been for many months before his winter arrival. These people, like those occupying Period 3 of the Newport Midden, may have only occupied such areas during specific seasons. </w:t>
      </w:r>
      <w:r w:rsidR="007F3DE0">
        <w:rPr>
          <w:rFonts w:ascii="Times New Roman" w:hAnsi="Times New Roman" w:cs="Times New Roman"/>
        </w:rPr>
        <w:t>This idea is further evidenced by the account of Dutch explorer van Huygen; arriving 13 years after Cook, he barters with the inhabitants of what may have been the very same settlement Cook came across</w:t>
      </w:r>
      <w:r w:rsidR="006F2947">
        <w:rPr>
          <w:rFonts w:ascii="Times New Roman" w:hAnsi="Times New Roman" w:cs="Times New Roman"/>
        </w:rPr>
        <w:t>, obviously occupied this time</w:t>
      </w:r>
      <w:r w:rsidR="007F3DE0">
        <w:rPr>
          <w:rFonts w:ascii="Times New Roman" w:hAnsi="Times New Roman" w:cs="Times New Roman"/>
        </w:rPr>
        <w:t xml:space="preserve">. </w:t>
      </w:r>
      <w:r w:rsidR="005E7225">
        <w:rPr>
          <w:rFonts w:ascii="Times New Roman" w:hAnsi="Times New Roman" w:cs="Times New Roman"/>
        </w:rPr>
        <w:t xml:space="preserve">Radiocarbon dating of charcoal gives our only confirmable date of Period 3 occupation to be 1200 </w:t>
      </w:r>
      <w:r w:rsidR="005E7225" w:rsidRPr="00CF6FB8">
        <w:rPr>
          <w:rFonts w:ascii="Times New Roman" w:hAnsi="Times New Roman" w:cs="Times New Roman"/>
        </w:rPr>
        <w:t>±</w:t>
      </w:r>
      <w:r w:rsidR="005E7225">
        <w:rPr>
          <w:rFonts w:ascii="Times New Roman" w:hAnsi="Times New Roman" w:cs="Times New Roman"/>
        </w:rPr>
        <w:t xml:space="preserve"> 110 years B.P., which leaves a potential gap of ~1,500 years between Periods 2 and 3. Again, it is difficult </w:t>
      </w:r>
      <w:r w:rsidR="009B19B6">
        <w:rPr>
          <w:rFonts w:ascii="Times New Roman" w:hAnsi="Times New Roman" w:cs="Times New Roman"/>
        </w:rPr>
        <w:t xml:space="preserve">to </w:t>
      </w:r>
      <w:r w:rsidR="003D399F">
        <w:rPr>
          <w:rFonts w:ascii="Times New Roman" w:hAnsi="Times New Roman" w:cs="Times New Roman"/>
        </w:rPr>
        <w:t xml:space="preserve">say whether such cultural discrepancies are due to environmental change forcing populations to </w:t>
      </w:r>
      <w:r w:rsidR="007F3DE0">
        <w:rPr>
          <w:rFonts w:ascii="Times New Roman" w:hAnsi="Times New Roman" w:cs="Times New Roman"/>
        </w:rPr>
        <w:t xml:space="preserve">change their lifestyles, culturally distinct peoples immigrating to this area, or some combination of these and other factors. </w:t>
      </w:r>
      <w:r w:rsidR="003D399F">
        <w:rPr>
          <w:rFonts w:ascii="Times New Roman" w:hAnsi="Times New Roman" w:cs="Times New Roman"/>
        </w:rPr>
        <w:t xml:space="preserve"> </w:t>
      </w:r>
    </w:p>
    <w:p w14:paraId="61DB76B7" w14:textId="35BE5290" w:rsidR="00A226F3" w:rsidRDefault="004D3AB5" w:rsidP="00A226F3">
      <w:pPr>
        <w:rPr>
          <w:rFonts w:ascii="Times New Roman" w:hAnsi="Times New Roman" w:cs="Times New Roman"/>
        </w:rPr>
      </w:pPr>
      <w:r>
        <w:rPr>
          <w:rFonts w:ascii="Times New Roman" w:hAnsi="Times New Roman" w:cs="Times New Roman"/>
        </w:rPr>
        <w:tab/>
      </w:r>
      <w:r w:rsidR="00863B1E">
        <w:rPr>
          <w:rFonts w:ascii="Times New Roman" w:hAnsi="Times New Roman" w:cs="Times New Roman"/>
        </w:rPr>
        <w:t>A variety of other sites have been excavated, although few have thorough documentation</w:t>
      </w:r>
      <w:r>
        <w:rPr>
          <w:rFonts w:ascii="Times New Roman" w:hAnsi="Times New Roman" w:cs="Times New Roman"/>
        </w:rPr>
        <w:t xml:space="preserve">, and there have been no systematic surveys of the region. A more cohesive understanding of the people who lived here is required before discussions about the causes of cultural, social, economic, or technological change can begin. Who are the Waika? </w:t>
      </w:r>
      <w:r w:rsidR="000D4B56">
        <w:rPr>
          <w:rFonts w:ascii="Times New Roman" w:hAnsi="Times New Roman" w:cs="Times New Roman"/>
        </w:rPr>
        <w:t xml:space="preserve">The origin of this term is not given—likely it is the name given by the people who interacted with first European missionaries in the area to themselves, but even if this is the case, it is not clear how specific the label was meant to be. How many distinct populations </w:t>
      </w:r>
      <w:r w:rsidR="0039645B">
        <w:rPr>
          <w:rFonts w:ascii="Times New Roman" w:hAnsi="Times New Roman" w:cs="Times New Roman"/>
        </w:rPr>
        <w:t>occupied the Cook Valley before European colonization? How many communities were quietly extinguished by disease, as occurred so many times in post-Columbian America? The variety of environments in the Cook Valley—mountain ranges; river valleys; dry, interior plains and wet, coastal plains</w:t>
      </w:r>
      <w:r w:rsidR="00575A12">
        <w:rPr>
          <w:rFonts w:ascii="Times New Roman" w:hAnsi="Times New Roman" w:cs="Times New Roman"/>
        </w:rPr>
        <w:t xml:space="preserve">—necessitates a corresponding variety in subsistence strategies, and it is possible that there existed a diversity of societies in New Siluria prior to European immigration. </w:t>
      </w:r>
      <w:r w:rsidR="00323C64">
        <w:rPr>
          <w:rFonts w:ascii="Times New Roman" w:hAnsi="Times New Roman" w:cs="Times New Roman"/>
        </w:rPr>
        <w:t>The purpose of future studies in New Silurian prehistory should be to investigate</w:t>
      </w:r>
      <w:r w:rsidR="00E13D4D">
        <w:rPr>
          <w:rFonts w:ascii="Times New Roman" w:hAnsi="Times New Roman" w:cs="Times New Roman"/>
        </w:rPr>
        <w:t xml:space="preserve"> the degree of cultural variation that may have existed between populations. </w:t>
      </w:r>
      <w:r w:rsidR="00863B1E">
        <w:rPr>
          <w:rFonts w:ascii="Times New Roman" w:hAnsi="Times New Roman" w:cs="Times New Roman"/>
        </w:rPr>
        <w:t xml:space="preserve">In the next section, I will attempt to statistically identify distinct cultural </w:t>
      </w:r>
      <w:r w:rsidR="00D20CC9">
        <w:rPr>
          <w:rFonts w:ascii="Times New Roman" w:hAnsi="Times New Roman" w:cs="Times New Roman"/>
        </w:rPr>
        <w:t xml:space="preserve">patterns based on similarities between the archaeological assemblages found at each site. </w:t>
      </w:r>
    </w:p>
    <w:p w14:paraId="4FD7C40B" w14:textId="3CC5FE65" w:rsidR="006F2947" w:rsidRDefault="006F2947" w:rsidP="00323C64">
      <w:pPr>
        <w:rPr>
          <w:rFonts w:ascii="Times New Roman" w:hAnsi="Times New Roman" w:cs="Times New Roman"/>
        </w:rPr>
      </w:pPr>
      <w:r>
        <w:rPr>
          <w:rFonts w:ascii="Times New Roman" w:hAnsi="Times New Roman" w:cs="Times New Roman"/>
          <w:b/>
          <w:bCs/>
        </w:rPr>
        <w:lastRenderedPageBreak/>
        <w:t>Statistical Exploration</w:t>
      </w:r>
    </w:p>
    <w:p w14:paraId="03E3A055" w14:textId="558A4583" w:rsidR="006F2947" w:rsidRDefault="006F2947" w:rsidP="003D399F">
      <w:pPr>
        <w:rPr>
          <w:rFonts w:ascii="Times New Roman" w:hAnsi="Times New Roman" w:cs="Times New Roman"/>
        </w:rPr>
      </w:pPr>
      <w:r>
        <w:rPr>
          <w:rFonts w:ascii="Times New Roman" w:hAnsi="Times New Roman" w:cs="Times New Roman"/>
        </w:rPr>
        <w:tab/>
        <w:t xml:space="preserve">The Coast Range and Central Range mountains </w:t>
      </w:r>
      <w:r w:rsidR="00CF3547">
        <w:rPr>
          <w:rFonts w:ascii="Times New Roman" w:hAnsi="Times New Roman" w:cs="Times New Roman"/>
        </w:rPr>
        <w:t>flank the Cook Marsh and effectively separate the Cook Valley into four geological quadrants. Obsidian can be found in northwest section, which contains part of the Central Range as well as the dormant volcano Mt. Crater. The northeastern section is home to several red chert outcroppings along</w:t>
      </w:r>
      <w:r w:rsidR="00317A6E">
        <w:rPr>
          <w:rFonts w:ascii="Times New Roman" w:hAnsi="Times New Roman" w:cs="Times New Roman"/>
        </w:rPr>
        <w:t>. In the southwest is a slate deposit</w:t>
      </w:r>
      <w:r w:rsidR="004D3AB5">
        <w:rPr>
          <w:rFonts w:ascii="Times New Roman" w:hAnsi="Times New Roman" w:cs="Times New Roman"/>
        </w:rPr>
        <w:t xml:space="preserve"> along the Coast Range mountains</w:t>
      </w:r>
      <w:r w:rsidR="00317A6E">
        <w:rPr>
          <w:rFonts w:ascii="Times New Roman" w:hAnsi="Times New Roman" w:cs="Times New Roman"/>
        </w:rPr>
        <w:t>, and in the southeast are blue chert outcroppings. These geological features play a significant role in the archaeological assemblages of the Cook Valley, and analyzing the quantities of lithics corresponding to each material can inform us about movement, trade, and technology in New Silurian populations.</w:t>
      </w:r>
      <w:r w:rsidR="000C67BB">
        <w:rPr>
          <w:rFonts w:ascii="Times New Roman" w:hAnsi="Times New Roman" w:cs="Times New Roman"/>
        </w:rPr>
        <w:t xml:space="preserve"> Figures 1 &amp; 2 show percentages by site and layer of flaked lithic raw material, first ordered </w:t>
      </w:r>
      <w:r w:rsidR="00656781">
        <w:rPr>
          <w:rFonts w:ascii="Times New Roman" w:hAnsi="Times New Roman" w:cs="Times New Roman"/>
        </w:rPr>
        <w:t>by position in the east-west axis (Fig. 1) and then by position in the north-south axis (Fig. 2) in order to investigate geographical patterns in lithic assemblages.</w:t>
      </w:r>
    </w:p>
    <w:p w14:paraId="7B462F96" w14:textId="34999E7D" w:rsidR="00317A6E" w:rsidRPr="006F2947" w:rsidRDefault="00203F91" w:rsidP="003D399F">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20CF75B" wp14:editId="24CB3AE2">
            <wp:simplePos x="0" y="0"/>
            <wp:positionH relativeFrom="margin">
              <wp:posOffset>351790</wp:posOffset>
            </wp:positionH>
            <wp:positionV relativeFrom="paragraph">
              <wp:posOffset>12396</wp:posOffset>
            </wp:positionV>
            <wp:extent cx="5239385" cy="2423795"/>
            <wp:effectExtent l="0" t="0" r="0" b="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l="11027" r="7862"/>
                    <a:stretch/>
                  </pic:blipFill>
                  <pic:spPr bwMode="auto">
                    <a:xfrm>
                      <a:off x="0" y="0"/>
                      <a:ext cx="5239385" cy="2423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A6E">
        <w:rPr>
          <w:rFonts w:ascii="Times New Roman" w:hAnsi="Times New Roman" w:cs="Times New Roman"/>
        </w:rPr>
        <w:tab/>
      </w:r>
    </w:p>
    <w:p w14:paraId="68209539" w14:textId="14793E3D" w:rsidR="00B1437B" w:rsidRDefault="00504E76" w:rsidP="00584696">
      <w:pPr>
        <w:rPr>
          <w:rFonts w:ascii="Times New Roman" w:hAnsi="Times New Roman" w:cs="Times New Roman"/>
          <w:noProof/>
        </w:rPr>
      </w:pPr>
      <w:r>
        <w:rPr>
          <w:rFonts w:ascii="Times New Roman" w:hAnsi="Times New Roman" w:cs="Times New Roman"/>
          <w:b/>
          <w:bCs/>
        </w:rPr>
        <w:t xml:space="preserve"> </w:t>
      </w:r>
      <w:r w:rsidR="007F3DE0">
        <w:rPr>
          <w:rFonts w:ascii="Times New Roman" w:hAnsi="Times New Roman" w:cs="Times New Roman"/>
          <w:b/>
          <w:bCs/>
        </w:rPr>
        <w:tab/>
      </w:r>
      <w:r w:rsidR="004C49B6">
        <w:rPr>
          <w:rFonts w:ascii="Times New Roman" w:hAnsi="Times New Roman" w:cs="Times New Roman"/>
        </w:rPr>
        <w:t xml:space="preserve"> </w:t>
      </w:r>
    </w:p>
    <w:p w14:paraId="2E2ED87A" w14:textId="72952783" w:rsidR="004C49B6" w:rsidRPr="004C49B6" w:rsidRDefault="004C49B6" w:rsidP="00584696">
      <w:pPr>
        <w:rPr>
          <w:rFonts w:ascii="Times New Roman" w:hAnsi="Times New Roman" w:cs="Times New Roman"/>
        </w:rPr>
      </w:pPr>
    </w:p>
    <w:p w14:paraId="33DC53E1" w14:textId="480FAA02" w:rsidR="00922E67" w:rsidRDefault="00922E67">
      <w:pPr>
        <w:rPr>
          <w:rFonts w:ascii="Cascadia Code" w:hAnsi="Cascadia Code" w:cs="Cascadia Code"/>
          <w:b/>
          <w:bCs/>
        </w:rPr>
      </w:pPr>
    </w:p>
    <w:p w14:paraId="3167E7FE" w14:textId="5A59E480" w:rsidR="00922E67" w:rsidRDefault="00922E67">
      <w:pPr>
        <w:rPr>
          <w:rFonts w:ascii="Cascadia Code" w:hAnsi="Cascadia Code" w:cs="Cascadia Code"/>
          <w:b/>
          <w:bCs/>
        </w:rPr>
      </w:pPr>
    </w:p>
    <w:p w14:paraId="62EA5C89" w14:textId="6A37A3B4" w:rsidR="00922E67" w:rsidRDefault="00922E67">
      <w:pPr>
        <w:rPr>
          <w:rFonts w:ascii="Cascadia Code" w:hAnsi="Cascadia Code" w:cs="Cascadia Code"/>
          <w:b/>
          <w:bCs/>
        </w:rPr>
      </w:pPr>
    </w:p>
    <w:p w14:paraId="40CC11FF" w14:textId="61F49D2F" w:rsidR="00922E67" w:rsidRDefault="00922E67">
      <w:pPr>
        <w:rPr>
          <w:rFonts w:ascii="Cascadia Code" w:hAnsi="Cascadia Code" w:cs="Cascadia Code"/>
          <w:b/>
          <w:bCs/>
        </w:rPr>
      </w:pPr>
    </w:p>
    <w:p w14:paraId="48708764" w14:textId="12365917" w:rsidR="00922E67" w:rsidRDefault="00922E67">
      <w:pPr>
        <w:rPr>
          <w:rFonts w:ascii="Cascadia Code" w:hAnsi="Cascadia Code" w:cs="Cascadia Code"/>
          <w:b/>
          <w:bCs/>
        </w:rPr>
      </w:pPr>
    </w:p>
    <w:p w14:paraId="46016DDB" w14:textId="4A048432" w:rsidR="00656781" w:rsidRDefault="000778B5">
      <w:pPr>
        <w:rPr>
          <w:rFonts w:ascii="Times New Roman" w:hAnsi="Times New Roman" w:cs="Times New Roman"/>
          <w:noProof/>
        </w:rPr>
      </w:pPr>
      <w:r>
        <w:rPr>
          <w:noProof/>
        </w:rPr>
        <mc:AlternateContent>
          <mc:Choice Requires="wps">
            <w:drawing>
              <wp:anchor distT="0" distB="0" distL="114300" distR="114300" simplePos="0" relativeHeight="251660288" behindDoc="0" locked="0" layoutInCell="1" allowOverlap="1" wp14:anchorId="0E3AD652" wp14:editId="490C603C">
                <wp:simplePos x="0" y="0"/>
                <wp:positionH relativeFrom="column">
                  <wp:posOffset>-145415</wp:posOffset>
                </wp:positionH>
                <wp:positionV relativeFrom="paragraph">
                  <wp:posOffset>361011</wp:posOffset>
                </wp:positionV>
                <wp:extent cx="62103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044B3278" w14:textId="2F7C3F8E" w:rsidR="000C67BB" w:rsidRPr="000C67BB" w:rsidRDefault="000C67BB" w:rsidP="000C67BB">
                            <w:pPr>
                              <w:pStyle w:val="Caption"/>
                              <w:jc w:val="center"/>
                              <w:rPr>
                                <w:rFonts w:ascii="Times New Roman" w:hAnsi="Times New Roman" w:cs="Times New Roman"/>
                                <w:noProof/>
                              </w:rPr>
                            </w:pPr>
                            <w:r>
                              <w:rPr>
                                <w:rFonts w:ascii="Times New Roman" w:hAnsi="Times New Roman" w:cs="Times New Roman"/>
                              </w:rPr>
                              <w:t xml:space="preserve">Figure 1. A series of charts indicating the proportions of material found at each site, ordered from the most-east to the most-west (left to right, top to bottom).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3AD652" id="_x0000_t202" coordsize="21600,21600" o:spt="202" path="m,l,21600r21600,l21600,xe">
                <v:stroke joinstyle="miter"/>
                <v:path gradientshapeok="t" o:connecttype="rect"/>
              </v:shapetype>
              <v:shape id="Text Box 2" o:spid="_x0000_s1026" type="#_x0000_t202" style="position:absolute;margin-left:-11.45pt;margin-top:28.45pt;width:4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" stroked="f">
                <v:textbox style="mso-fit-shape-to-text:t" inset="0,0,0,0">
                  <w:txbxContent>
                    <w:p w14:paraId="044B3278" w14:textId="2F7C3F8E" w:rsidR="000C67BB" w:rsidRPr="000C67BB" w:rsidRDefault="000C67BB" w:rsidP="000C67BB">
                      <w:pPr>
                        <w:pStyle w:val="Caption"/>
                        <w:jc w:val="center"/>
                        <w:rPr>
                          <w:rFonts w:ascii="Times New Roman" w:hAnsi="Times New Roman" w:cs="Times New Roman"/>
                          <w:noProof/>
                        </w:rPr>
                      </w:pPr>
                      <w:r>
                        <w:rPr>
                          <w:rFonts w:ascii="Times New Roman" w:hAnsi="Times New Roman" w:cs="Times New Roman"/>
                        </w:rPr>
                        <w:t xml:space="preserve">Figure 1. A series of charts indicating the proportions of material found at each site, ordered from the most-east to the most-west (left to right, top to bottom). </w:t>
                      </w:r>
                    </w:p>
                  </w:txbxContent>
                </v:textbox>
                <w10:wrap type="square"/>
              </v:shape>
            </w:pict>
          </mc:Fallback>
        </mc:AlternateContent>
      </w:r>
    </w:p>
    <w:p w14:paraId="40E81817" w14:textId="4A96AE53" w:rsidR="00922E67" w:rsidRDefault="000778B5">
      <w:pPr>
        <w:rPr>
          <w:rFonts w:ascii="Cascadia Code" w:hAnsi="Cascadia Code" w:cs="Cascadia Code"/>
          <w:b/>
          <w:bCs/>
        </w:rPr>
      </w:pPr>
      <w:r>
        <w:rPr>
          <w:rFonts w:ascii="Times New Roman" w:hAnsi="Times New Roman" w:cs="Times New Roman"/>
          <w:noProof/>
        </w:rPr>
        <w:drawing>
          <wp:anchor distT="0" distB="0" distL="114300" distR="114300" simplePos="0" relativeHeight="251662336" behindDoc="0" locked="0" layoutInCell="1" allowOverlap="1" wp14:anchorId="54AD3711" wp14:editId="3D7C498A">
            <wp:simplePos x="0" y="0"/>
            <wp:positionH relativeFrom="margin">
              <wp:posOffset>428625</wp:posOffset>
            </wp:positionH>
            <wp:positionV relativeFrom="paragraph">
              <wp:posOffset>590127</wp:posOffset>
            </wp:positionV>
            <wp:extent cx="5076825" cy="242379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11982" r="9469"/>
                    <a:stretch/>
                  </pic:blipFill>
                  <pic:spPr bwMode="auto">
                    <a:xfrm>
                      <a:off x="0" y="0"/>
                      <a:ext cx="5076825" cy="2423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D09422" w14:textId="76057642" w:rsidR="00922E67" w:rsidRDefault="00922E67">
      <w:pPr>
        <w:rPr>
          <w:rFonts w:ascii="Cascadia Code" w:hAnsi="Cascadia Code" w:cs="Cascadia Code"/>
          <w:b/>
          <w:bCs/>
        </w:rPr>
      </w:pPr>
    </w:p>
    <w:p w14:paraId="7DCFE706" w14:textId="6DE71B22" w:rsidR="00922E67" w:rsidRDefault="00922E67">
      <w:pPr>
        <w:rPr>
          <w:rFonts w:ascii="Cascadia Code" w:hAnsi="Cascadia Code" w:cs="Cascadia Code"/>
          <w:b/>
          <w:bCs/>
        </w:rPr>
      </w:pPr>
    </w:p>
    <w:p w14:paraId="1F38A129" w14:textId="7C72B451" w:rsidR="00922E67" w:rsidRDefault="00922E67">
      <w:pPr>
        <w:rPr>
          <w:rFonts w:ascii="Cascadia Code" w:hAnsi="Cascadia Code" w:cs="Cascadia Code"/>
          <w:b/>
          <w:bCs/>
        </w:rPr>
      </w:pPr>
    </w:p>
    <w:p w14:paraId="2F904117" w14:textId="77777777" w:rsidR="00922E67" w:rsidRDefault="00922E67">
      <w:pPr>
        <w:rPr>
          <w:rFonts w:ascii="Cascadia Code" w:hAnsi="Cascadia Code" w:cs="Cascadia Code"/>
          <w:b/>
          <w:bCs/>
        </w:rPr>
      </w:pPr>
    </w:p>
    <w:p w14:paraId="2E63448F" w14:textId="77777777" w:rsidR="00922E67" w:rsidRDefault="00922E67">
      <w:pPr>
        <w:rPr>
          <w:rFonts w:ascii="Cascadia Code" w:hAnsi="Cascadia Code" w:cs="Cascadia Code"/>
          <w:b/>
          <w:bCs/>
        </w:rPr>
      </w:pPr>
    </w:p>
    <w:p w14:paraId="7C283EC1" w14:textId="7621C156" w:rsidR="00922E67" w:rsidRDefault="00922E67">
      <w:pPr>
        <w:rPr>
          <w:rFonts w:ascii="Cascadia Code" w:hAnsi="Cascadia Code" w:cs="Cascadia Code"/>
          <w:b/>
          <w:bCs/>
        </w:rPr>
      </w:pPr>
    </w:p>
    <w:p w14:paraId="22E31FF8" w14:textId="77428F92" w:rsidR="00922E67" w:rsidRDefault="00922E67">
      <w:pPr>
        <w:rPr>
          <w:rFonts w:ascii="Cascadia Code" w:hAnsi="Cascadia Code" w:cs="Cascadia Code"/>
          <w:b/>
          <w:bCs/>
        </w:rPr>
      </w:pPr>
    </w:p>
    <w:p w14:paraId="194F4FAB" w14:textId="5FB51490" w:rsidR="00922E67" w:rsidRDefault="00922E67">
      <w:pPr>
        <w:rPr>
          <w:rFonts w:ascii="Cascadia Code" w:hAnsi="Cascadia Code" w:cs="Cascadia Code"/>
          <w:b/>
          <w:bCs/>
        </w:rPr>
      </w:pPr>
    </w:p>
    <w:p w14:paraId="0547B547" w14:textId="40E2CCFA" w:rsidR="00922E67" w:rsidRDefault="000778B5">
      <w:pPr>
        <w:rPr>
          <w:rFonts w:ascii="Cascadia Code" w:hAnsi="Cascadia Code" w:cs="Cascadia Code"/>
          <w:b/>
          <w:bCs/>
        </w:rPr>
      </w:pPr>
      <w:r>
        <w:rPr>
          <w:noProof/>
        </w:rPr>
        <mc:AlternateContent>
          <mc:Choice Requires="wps">
            <w:drawing>
              <wp:anchor distT="0" distB="0" distL="114300" distR="114300" simplePos="0" relativeHeight="251664384" behindDoc="0" locked="0" layoutInCell="1" allowOverlap="1" wp14:anchorId="019B594A" wp14:editId="36C9E9E3">
                <wp:simplePos x="0" y="0"/>
                <wp:positionH relativeFrom="margin">
                  <wp:posOffset>-133350</wp:posOffset>
                </wp:positionH>
                <wp:positionV relativeFrom="paragraph">
                  <wp:posOffset>310515</wp:posOffset>
                </wp:positionV>
                <wp:extent cx="62103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502E2771" w14:textId="17563CC0" w:rsidR="00656781" w:rsidRPr="000C67BB" w:rsidRDefault="00656781" w:rsidP="00656781">
                            <w:pPr>
                              <w:pStyle w:val="Caption"/>
                              <w:jc w:val="center"/>
                              <w:rPr>
                                <w:rFonts w:ascii="Times New Roman" w:hAnsi="Times New Roman" w:cs="Times New Roman"/>
                                <w:noProof/>
                              </w:rPr>
                            </w:pPr>
                            <w:r>
                              <w:rPr>
                                <w:rFonts w:ascii="Times New Roman" w:hAnsi="Times New Roman" w:cs="Times New Roman"/>
                              </w:rPr>
                              <w:t xml:space="preserve">Figure </w:t>
                            </w:r>
                            <w:r w:rsidR="00A226F3">
                              <w:rPr>
                                <w:rFonts w:ascii="Times New Roman" w:hAnsi="Times New Roman" w:cs="Times New Roman"/>
                              </w:rPr>
                              <w:t>2</w:t>
                            </w:r>
                            <w:r>
                              <w:rPr>
                                <w:rFonts w:ascii="Times New Roman" w:hAnsi="Times New Roman" w:cs="Times New Roman"/>
                              </w:rPr>
                              <w:t>. A series of charts indicating the proportions of material found at each site, ordered from the most-</w:t>
                            </w:r>
                            <w:r w:rsidR="00A226F3">
                              <w:rPr>
                                <w:rFonts w:ascii="Times New Roman" w:hAnsi="Times New Roman" w:cs="Times New Roman"/>
                              </w:rPr>
                              <w:t>north</w:t>
                            </w:r>
                            <w:r>
                              <w:rPr>
                                <w:rFonts w:ascii="Times New Roman" w:hAnsi="Times New Roman" w:cs="Times New Roman"/>
                              </w:rPr>
                              <w:t xml:space="preserve"> to the most-</w:t>
                            </w:r>
                            <w:r w:rsidR="00A226F3">
                              <w:rPr>
                                <w:rFonts w:ascii="Times New Roman" w:hAnsi="Times New Roman" w:cs="Times New Roman"/>
                              </w:rPr>
                              <w:t>south</w:t>
                            </w:r>
                            <w:r>
                              <w:rPr>
                                <w:rFonts w:ascii="Times New Roman" w:hAnsi="Times New Roman" w:cs="Times New Roman"/>
                              </w:rPr>
                              <w:t xml:space="preserve"> (left to right, top to bottom).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B594A" id="Text Box 6" o:spid="_x0000_s1027" type="#_x0000_t202" style="position:absolute;margin-left:-10.5pt;margin-top:24.45pt;width:489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" stroked="f">
                <v:textbox style="mso-fit-shape-to-text:t" inset="0,0,0,0">
                  <w:txbxContent>
                    <w:p w14:paraId="502E2771" w14:textId="17563CC0" w:rsidR="00656781" w:rsidRPr="000C67BB" w:rsidRDefault="00656781" w:rsidP="00656781">
                      <w:pPr>
                        <w:pStyle w:val="Caption"/>
                        <w:jc w:val="center"/>
                        <w:rPr>
                          <w:rFonts w:ascii="Times New Roman" w:hAnsi="Times New Roman" w:cs="Times New Roman"/>
                          <w:noProof/>
                        </w:rPr>
                      </w:pPr>
                      <w:r>
                        <w:rPr>
                          <w:rFonts w:ascii="Times New Roman" w:hAnsi="Times New Roman" w:cs="Times New Roman"/>
                        </w:rPr>
                        <w:t xml:space="preserve">Figure </w:t>
                      </w:r>
                      <w:r w:rsidR="00A226F3">
                        <w:rPr>
                          <w:rFonts w:ascii="Times New Roman" w:hAnsi="Times New Roman" w:cs="Times New Roman"/>
                        </w:rPr>
                        <w:t>2</w:t>
                      </w:r>
                      <w:r>
                        <w:rPr>
                          <w:rFonts w:ascii="Times New Roman" w:hAnsi="Times New Roman" w:cs="Times New Roman"/>
                        </w:rPr>
                        <w:t>. A series of charts indicating the proportions of material found at each site, ordered from the most-</w:t>
                      </w:r>
                      <w:r w:rsidR="00A226F3">
                        <w:rPr>
                          <w:rFonts w:ascii="Times New Roman" w:hAnsi="Times New Roman" w:cs="Times New Roman"/>
                        </w:rPr>
                        <w:t>north</w:t>
                      </w:r>
                      <w:r>
                        <w:rPr>
                          <w:rFonts w:ascii="Times New Roman" w:hAnsi="Times New Roman" w:cs="Times New Roman"/>
                        </w:rPr>
                        <w:t xml:space="preserve"> to the most-</w:t>
                      </w:r>
                      <w:r w:rsidR="00A226F3">
                        <w:rPr>
                          <w:rFonts w:ascii="Times New Roman" w:hAnsi="Times New Roman" w:cs="Times New Roman"/>
                        </w:rPr>
                        <w:t>south</w:t>
                      </w:r>
                      <w:r>
                        <w:rPr>
                          <w:rFonts w:ascii="Times New Roman" w:hAnsi="Times New Roman" w:cs="Times New Roman"/>
                        </w:rPr>
                        <w:t xml:space="preserve"> (left to right, top to bottom). </w:t>
                      </w:r>
                    </w:p>
                  </w:txbxContent>
                </v:textbox>
                <w10:wrap type="square" anchorx="margin"/>
              </v:shape>
            </w:pict>
          </mc:Fallback>
        </mc:AlternateContent>
      </w:r>
    </w:p>
    <w:p w14:paraId="34079E4E" w14:textId="6F9A383A" w:rsidR="0095628A" w:rsidRDefault="00E673E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5408" behindDoc="0" locked="0" layoutInCell="1" allowOverlap="1" wp14:anchorId="7D9D75B9" wp14:editId="6D7E963E">
            <wp:simplePos x="0" y="0"/>
            <wp:positionH relativeFrom="column">
              <wp:posOffset>1103630</wp:posOffset>
            </wp:positionH>
            <wp:positionV relativeFrom="paragraph">
              <wp:posOffset>810260</wp:posOffset>
            </wp:positionV>
            <wp:extent cx="3735705" cy="38677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735705" cy="38677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97D3CD4" wp14:editId="0A6C0814">
                <wp:simplePos x="0" y="0"/>
                <wp:positionH relativeFrom="column">
                  <wp:posOffset>-9525</wp:posOffset>
                </wp:positionH>
                <wp:positionV relativeFrom="paragraph">
                  <wp:posOffset>4802134</wp:posOffset>
                </wp:positionV>
                <wp:extent cx="5961380" cy="274320"/>
                <wp:effectExtent l="0" t="0" r="1270" b="0"/>
                <wp:wrapTopAndBottom/>
                <wp:docPr id="7" name="Text Box 7"/>
                <wp:cNvGraphicFramePr/>
                <a:graphic xmlns:a="http://schemas.openxmlformats.org/drawingml/2006/main">
                  <a:graphicData uri="http://schemas.microsoft.com/office/word/2010/wordprocessingShape">
                    <wps:wsp>
                      <wps:cNvSpPr txBox="1"/>
                      <wps:spPr>
                        <a:xfrm>
                          <a:off x="0" y="0"/>
                          <a:ext cx="5961380" cy="274320"/>
                        </a:xfrm>
                        <a:prstGeom prst="rect">
                          <a:avLst/>
                        </a:prstGeom>
                        <a:solidFill>
                          <a:prstClr val="white"/>
                        </a:solidFill>
                        <a:ln>
                          <a:noFill/>
                        </a:ln>
                      </wps:spPr>
                      <wps:txbx>
                        <w:txbxContent>
                          <w:p w14:paraId="6F3A14F2" w14:textId="788D4ED3" w:rsidR="00E236AD" w:rsidRPr="006E21B9" w:rsidRDefault="00E236AD" w:rsidP="00E673EA">
                            <w:pPr>
                              <w:pStyle w:val="Caption"/>
                              <w:spacing w:after="0"/>
                              <w:jc w:val="center"/>
                              <w:rPr>
                                <w:rFonts w:ascii="Times New Roman" w:hAnsi="Times New Roman" w:cs="Times New Roman"/>
                                <w:noProof/>
                              </w:rPr>
                            </w:pPr>
                            <w:r w:rsidRPr="006E21B9">
                              <w:rPr>
                                <w:rFonts w:ascii="Times New Roman" w:hAnsi="Times New Roman" w:cs="Times New Roman"/>
                                <w:noProof/>
                              </w:rPr>
                              <w:t>Table 1. Left: sites organized from easternmost (top) to westernmo</w:t>
                            </w:r>
                            <w:r w:rsidR="00E673EA" w:rsidRPr="006E21B9">
                              <w:rPr>
                                <w:rFonts w:ascii="Times New Roman" w:hAnsi="Times New Roman" w:cs="Times New Roman"/>
                                <w:noProof/>
                              </w:rPr>
                              <w:t>s</w:t>
                            </w:r>
                            <w:r w:rsidRPr="006E21B9">
                              <w:rPr>
                                <w:rFonts w:ascii="Times New Roman" w:hAnsi="Times New Roman" w:cs="Times New Roman"/>
                                <w:noProof/>
                              </w:rPr>
                              <w:t>t (bottom) indicating majority material.</w:t>
                            </w:r>
                          </w:p>
                          <w:p w14:paraId="636D12C8" w14:textId="6015E80A" w:rsidR="00E236AD" w:rsidRPr="006E21B9" w:rsidRDefault="00E236AD" w:rsidP="00E673EA">
                            <w:pPr>
                              <w:spacing w:after="0"/>
                              <w:jc w:val="center"/>
                              <w:rPr>
                                <w:rFonts w:ascii="Times New Roman" w:hAnsi="Times New Roman" w:cs="Times New Roman"/>
                                <w:i/>
                                <w:iCs/>
                                <w:color w:val="44546A" w:themeColor="text2"/>
                                <w:sz w:val="18"/>
                                <w:szCs w:val="18"/>
                              </w:rPr>
                            </w:pPr>
                            <w:r w:rsidRPr="006E21B9">
                              <w:rPr>
                                <w:rFonts w:ascii="Times New Roman" w:hAnsi="Times New Roman" w:cs="Times New Roman"/>
                                <w:i/>
                                <w:iCs/>
                                <w:color w:val="44546A" w:themeColor="text2"/>
                                <w:sz w:val="18"/>
                                <w:szCs w:val="18"/>
                              </w:rPr>
                              <w:t>Right:</w:t>
                            </w:r>
                            <w:r w:rsidR="00E673EA" w:rsidRPr="006E21B9">
                              <w:rPr>
                                <w:rFonts w:ascii="Times New Roman" w:hAnsi="Times New Roman" w:cs="Times New Roman"/>
                                <w:i/>
                                <w:iCs/>
                                <w:noProof/>
                                <w:color w:val="44546A" w:themeColor="text2"/>
                                <w:sz w:val="18"/>
                                <w:szCs w:val="18"/>
                              </w:rPr>
                              <w:t xml:space="preserve"> sites organized from northernmost (top) to southernmost (bottom) indicating majority material.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7D3CD4" id="Text Box 7" o:spid="_x0000_s1028" type="#_x0000_t202" style="position:absolute;margin-left:-.75pt;margin-top:378.1pt;width:469.4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" stroked="f">
                <v:textbox style="mso-fit-shape-to-text:t" inset="0,0,0,0">
                  <w:txbxContent>
                    <w:p w14:paraId="6F3A14F2" w14:textId="788D4ED3" w:rsidR="00E236AD" w:rsidRPr="006E21B9" w:rsidRDefault="00E236AD" w:rsidP="00E673EA">
                      <w:pPr>
                        <w:pStyle w:val="Caption"/>
                        <w:spacing w:after="0"/>
                        <w:jc w:val="center"/>
                        <w:rPr>
                          <w:rFonts w:ascii="Times New Roman" w:hAnsi="Times New Roman" w:cs="Times New Roman"/>
                          <w:noProof/>
                        </w:rPr>
                      </w:pPr>
                      <w:r w:rsidRPr="006E21B9">
                        <w:rPr>
                          <w:rFonts w:ascii="Times New Roman" w:hAnsi="Times New Roman" w:cs="Times New Roman"/>
                          <w:noProof/>
                        </w:rPr>
                        <w:t>Table 1. Left: sites organized from easternmost (top) to westernmo</w:t>
                      </w:r>
                      <w:r w:rsidR="00E673EA" w:rsidRPr="006E21B9">
                        <w:rPr>
                          <w:rFonts w:ascii="Times New Roman" w:hAnsi="Times New Roman" w:cs="Times New Roman"/>
                          <w:noProof/>
                        </w:rPr>
                        <w:t>s</w:t>
                      </w:r>
                      <w:r w:rsidRPr="006E21B9">
                        <w:rPr>
                          <w:rFonts w:ascii="Times New Roman" w:hAnsi="Times New Roman" w:cs="Times New Roman"/>
                          <w:noProof/>
                        </w:rPr>
                        <w:t>t (bottom) indicating majority material.</w:t>
                      </w:r>
                    </w:p>
                    <w:p w14:paraId="636D12C8" w14:textId="6015E80A" w:rsidR="00E236AD" w:rsidRPr="006E21B9" w:rsidRDefault="00E236AD" w:rsidP="00E673EA">
                      <w:pPr>
                        <w:spacing w:after="0"/>
                        <w:jc w:val="center"/>
                        <w:rPr>
                          <w:rFonts w:ascii="Times New Roman" w:hAnsi="Times New Roman" w:cs="Times New Roman"/>
                          <w:i/>
                          <w:iCs/>
                          <w:color w:val="44546A" w:themeColor="text2"/>
                          <w:sz w:val="18"/>
                          <w:szCs w:val="18"/>
                        </w:rPr>
                      </w:pPr>
                      <w:r w:rsidRPr="006E21B9">
                        <w:rPr>
                          <w:rFonts w:ascii="Times New Roman" w:hAnsi="Times New Roman" w:cs="Times New Roman"/>
                          <w:i/>
                          <w:iCs/>
                          <w:color w:val="44546A" w:themeColor="text2"/>
                          <w:sz w:val="18"/>
                          <w:szCs w:val="18"/>
                        </w:rPr>
                        <w:t>Right:</w:t>
                      </w:r>
                      <w:r w:rsidR="00E673EA" w:rsidRPr="006E21B9">
                        <w:rPr>
                          <w:rFonts w:ascii="Times New Roman" w:hAnsi="Times New Roman" w:cs="Times New Roman"/>
                          <w:i/>
                          <w:iCs/>
                          <w:noProof/>
                          <w:color w:val="44546A" w:themeColor="text2"/>
                          <w:sz w:val="18"/>
                          <w:szCs w:val="18"/>
                        </w:rPr>
                        <w:t xml:space="preserve"> sites organized from northernmost (top) to southernmost (bottom) indicating majority material.</w:t>
                      </w:r>
                    </w:p>
                  </w:txbxContent>
                </v:textbox>
                <w10:wrap type="topAndBottom"/>
              </v:shape>
            </w:pict>
          </mc:Fallback>
        </mc:AlternateContent>
      </w:r>
      <w:r w:rsidR="00A226F3">
        <w:rPr>
          <w:rFonts w:ascii="Cascadia Code" w:hAnsi="Cascadia Code" w:cs="Cascadia Code"/>
          <w:b/>
          <w:bCs/>
        </w:rPr>
        <w:tab/>
      </w:r>
      <w:r w:rsidR="00A226F3">
        <w:rPr>
          <w:rFonts w:ascii="Times New Roman" w:hAnsi="Times New Roman" w:cs="Times New Roman"/>
        </w:rPr>
        <w:t xml:space="preserve">Figure 1 shows a predominance of obsidian </w:t>
      </w:r>
      <w:r w:rsidR="00D55D5B">
        <w:rPr>
          <w:rFonts w:ascii="Times New Roman" w:hAnsi="Times New Roman" w:cs="Times New Roman"/>
        </w:rPr>
        <w:t xml:space="preserve">in the easternmost sites with a shift towards blue chert—and occasionally red chert—as one moves to the west. Figure 2 shows a </w:t>
      </w:r>
      <w:r w:rsidR="00AD4C53">
        <w:rPr>
          <w:rFonts w:ascii="Times New Roman" w:hAnsi="Times New Roman" w:cs="Times New Roman"/>
        </w:rPr>
        <w:t xml:space="preserve">mix of obsidian and red chert majorities </w:t>
      </w:r>
      <w:r w:rsidR="00D55D5B">
        <w:rPr>
          <w:rFonts w:ascii="Times New Roman" w:hAnsi="Times New Roman" w:cs="Times New Roman"/>
        </w:rPr>
        <w:t xml:space="preserve">in the northernmost sites </w:t>
      </w:r>
      <w:r w:rsidR="00BC0E8B">
        <w:rPr>
          <w:rFonts w:ascii="Times New Roman" w:hAnsi="Times New Roman" w:cs="Times New Roman"/>
        </w:rPr>
        <w:t xml:space="preserve">with increasing amounts of blue chert as one moves south. </w:t>
      </w:r>
      <w:r w:rsidR="00203F91">
        <w:rPr>
          <w:rFonts w:ascii="Times New Roman" w:hAnsi="Times New Roman" w:cs="Times New Roman"/>
        </w:rPr>
        <w:t>This pattern is exactly what we might expect based on the locations of the source materials</w:t>
      </w:r>
      <w:r w:rsidR="0095628A">
        <w:rPr>
          <w:rFonts w:ascii="Times New Roman" w:hAnsi="Times New Roman" w:cs="Times New Roman"/>
        </w:rPr>
        <w:t>.</w:t>
      </w:r>
      <w:r w:rsidR="0095628A">
        <w:rPr>
          <w:rStyle w:val="FootnoteReference"/>
          <w:rFonts w:ascii="Times New Roman" w:hAnsi="Times New Roman" w:cs="Times New Roman"/>
        </w:rPr>
        <w:footnoteReference w:id="2"/>
      </w:r>
    </w:p>
    <w:p w14:paraId="391992EF" w14:textId="3EF1E319" w:rsidR="0095628A" w:rsidRDefault="0095628A">
      <w:pPr>
        <w:rPr>
          <w:rFonts w:ascii="Times New Roman" w:hAnsi="Times New Roman" w:cs="Times New Roman"/>
        </w:rPr>
      </w:pPr>
    </w:p>
    <w:p w14:paraId="08647805" w14:textId="72120A14" w:rsidR="00922E67" w:rsidRDefault="00BC0E8B" w:rsidP="00E673EA">
      <w:pPr>
        <w:ind w:firstLine="720"/>
        <w:rPr>
          <w:rFonts w:ascii="Times New Roman" w:hAnsi="Times New Roman" w:cs="Times New Roman"/>
        </w:rPr>
      </w:pPr>
      <w:r>
        <w:rPr>
          <w:rFonts w:ascii="Times New Roman" w:hAnsi="Times New Roman" w:cs="Times New Roman"/>
        </w:rPr>
        <w:t xml:space="preserve">While geographic </w:t>
      </w:r>
      <w:r w:rsidR="00203F91">
        <w:rPr>
          <w:rFonts w:ascii="Times New Roman" w:hAnsi="Times New Roman" w:cs="Times New Roman"/>
        </w:rPr>
        <w:t>position</w:t>
      </w:r>
      <w:r>
        <w:rPr>
          <w:rFonts w:ascii="Times New Roman" w:hAnsi="Times New Roman" w:cs="Times New Roman"/>
        </w:rPr>
        <w:t xml:space="preserve"> is strong indicator of the raw lithic assemblage</w:t>
      </w:r>
      <w:r w:rsidR="00203F91">
        <w:rPr>
          <w:rFonts w:ascii="Times New Roman" w:hAnsi="Times New Roman" w:cs="Times New Roman"/>
        </w:rPr>
        <w:t xml:space="preserve"> of a site</w:t>
      </w:r>
      <w:r>
        <w:rPr>
          <w:rFonts w:ascii="Times New Roman" w:hAnsi="Times New Roman" w:cs="Times New Roman"/>
        </w:rPr>
        <w:t xml:space="preserve">, a majority of sites show some combination of </w:t>
      </w:r>
      <w:r w:rsidR="00203F91">
        <w:rPr>
          <w:rFonts w:ascii="Times New Roman" w:hAnsi="Times New Roman" w:cs="Times New Roman"/>
        </w:rPr>
        <w:t>all three materials, even when it may be near 100 km away from the source, indicating that trade or communication networks connected distant populations. It should be noted that most of these sites are undated, and it cannot be said yet which sites are contemporaneous with one another. Two of the sites, however—the Newport Midden and the Narrows</w:t>
      </w:r>
      <w:r w:rsidR="00AD4C53">
        <w:rPr>
          <w:rFonts w:ascii="Times New Roman" w:hAnsi="Times New Roman" w:cs="Times New Roman"/>
        </w:rPr>
        <w:t xml:space="preserve"> Site—contained several levels, making analysis of the local trends over time possible.</w:t>
      </w:r>
    </w:p>
    <w:p w14:paraId="3744AC62" w14:textId="2912C84C" w:rsidR="008B049D" w:rsidRDefault="00751665">
      <w:pPr>
        <w:rPr>
          <w:rFonts w:ascii="Times New Roman" w:hAnsi="Times New Roman" w:cs="Times New Roman"/>
        </w:rPr>
      </w:pPr>
      <w:r>
        <w:rPr>
          <w:rFonts w:ascii="Times New Roman" w:hAnsi="Times New Roman" w:cs="Times New Roman"/>
        </w:rPr>
        <w:tab/>
        <w:t xml:space="preserve">At the Narrows Site, </w:t>
      </w:r>
      <w:r w:rsidR="00E673EA">
        <w:rPr>
          <w:rFonts w:ascii="Times New Roman" w:hAnsi="Times New Roman" w:cs="Times New Roman"/>
        </w:rPr>
        <w:t>periods</w:t>
      </w:r>
      <w:r>
        <w:rPr>
          <w:rFonts w:ascii="Times New Roman" w:hAnsi="Times New Roman" w:cs="Times New Roman"/>
        </w:rPr>
        <w:t xml:space="preserve"> 1 and 2 show near identical lithic distributions. </w:t>
      </w:r>
      <w:r w:rsidR="00F2521F">
        <w:rPr>
          <w:rFonts w:ascii="Times New Roman" w:hAnsi="Times New Roman" w:cs="Times New Roman"/>
        </w:rPr>
        <w:t xml:space="preserve">When taken in conjunction with their similar artifact assemblages (see Fig. 3), </w:t>
      </w:r>
      <w:r w:rsidR="00F2521F">
        <w:rPr>
          <w:rFonts w:ascii="Times New Roman" w:hAnsi="Times New Roman" w:cs="Times New Roman"/>
        </w:rPr>
        <w:t xml:space="preserve">the evidence </w:t>
      </w:r>
      <w:r w:rsidR="00F2521F">
        <w:rPr>
          <w:rFonts w:ascii="Times New Roman" w:hAnsi="Times New Roman" w:cs="Times New Roman"/>
        </w:rPr>
        <w:t>indicate</w:t>
      </w:r>
      <w:r w:rsidR="00F2521F">
        <w:rPr>
          <w:rFonts w:ascii="Times New Roman" w:hAnsi="Times New Roman" w:cs="Times New Roman"/>
        </w:rPr>
        <w:t>s</w:t>
      </w:r>
      <w:r w:rsidR="00F2521F">
        <w:rPr>
          <w:rFonts w:ascii="Times New Roman" w:hAnsi="Times New Roman" w:cs="Times New Roman"/>
        </w:rPr>
        <w:t xml:space="preserve"> technological </w:t>
      </w:r>
      <w:r w:rsidR="00F2521F">
        <w:rPr>
          <w:rFonts w:ascii="Times New Roman" w:hAnsi="Times New Roman" w:cs="Times New Roman"/>
        </w:rPr>
        <w:t xml:space="preserve">and economic </w:t>
      </w:r>
      <w:r w:rsidR="00F2521F">
        <w:rPr>
          <w:rFonts w:ascii="Times New Roman" w:hAnsi="Times New Roman" w:cs="Times New Roman"/>
        </w:rPr>
        <w:t xml:space="preserve">consistency across this period. </w:t>
      </w:r>
      <w:r>
        <w:rPr>
          <w:rFonts w:ascii="Times New Roman" w:hAnsi="Times New Roman" w:cs="Times New Roman"/>
        </w:rPr>
        <w:t xml:space="preserve">These layers date to 8760 </w:t>
      </w:r>
      <w:r w:rsidRPr="00CF6FB8">
        <w:rPr>
          <w:rFonts w:ascii="Times New Roman" w:hAnsi="Times New Roman" w:cs="Times New Roman"/>
        </w:rPr>
        <w:t>±</w:t>
      </w:r>
      <w:r>
        <w:rPr>
          <w:rFonts w:ascii="Times New Roman" w:hAnsi="Times New Roman" w:cs="Times New Roman"/>
        </w:rPr>
        <w:t xml:space="preserve"> 220 and 7100 </w:t>
      </w:r>
      <w:r w:rsidRPr="00CF6FB8">
        <w:rPr>
          <w:rFonts w:ascii="Times New Roman" w:hAnsi="Times New Roman" w:cs="Times New Roman"/>
        </w:rPr>
        <w:t>±</w:t>
      </w:r>
      <w:r>
        <w:rPr>
          <w:rFonts w:ascii="Times New Roman" w:hAnsi="Times New Roman" w:cs="Times New Roman"/>
        </w:rPr>
        <w:t xml:space="preserve"> 130 B.P., respectively</w:t>
      </w:r>
      <w:r w:rsidR="00F2521F">
        <w:rPr>
          <w:rFonts w:ascii="Times New Roman" w:hAnsi="Times New Roman" w:cs="Times New Roman"/>
        </w:rPr>
        <w:t xml:space="preserve">. </w:t>
      </w:r>
      <w:r w:rsidR="00E673EA">
        <w:rPr>
          <w:rFonts w:ascii="Times New Roman" w:hAnsi="Times New Roman" w:cs="Times New Roman"/>
        </w:rPr>
        <w:t>Period 1 at the Newport Middens is chronologically situated in between these two period</w:t>
      </w:r>
      <w:r w:rsidR="00A703F7">
        <w:rPr>
          <w:rFonts w:ascii="Times New Roman" w:hAnsi="Times New Roman" w:cs="Times New Roman"/>
        </w:rPr>
        <w:t xml:space="preserve">s and is characterized by a similar lithic distribution with a slight yet expected bias towards red chert as it is </w:t>
      </w:r>
      <w:r w:rsidR="00A703F7">
        <w:rPr>
          <w:rFonts w:ascii="Times New Roman" w:hAnsi="Times New Roman" w:cs="Times New Roman"/>
        </w:rPr>
        <w:lastRenderedPageBreak/>
        <w:t xml:space="preserve">situated further to the south. </w:t>
      </w:r>
      <w:r w:rsidR="00E42EC3">
        <w:rPr>
          <w:rFonts w:ascii="Times New Roman" w:hAnsi="Times New Roman" w:cs="Times New Roman"/>
        </w:rPr>
        <w:t xml:space="preserve">Each of these three periods corresponds to seasonal occupation by hunter-gatherers. </w:t>
      </w:r>
      <w:r w:rsidR="00A703F7">
        <w:rPr>
          <w:rFonts w:ascii="Times New Roman" w:hAnsi="Times New Roman" w:cs="Times New Roman"/>
        </w:rPr>
        <w:t xml:space="preserve">No other dates given by radiocarbon appear within 2,000 years of these three periods (this number can be extended to 5,500 if other periods of the Newport Midden are excluded), </w:t>
      </w:r>
      <w:r w:rsidR="008B049D">
        <w:rPr>
          <w:rFonts w:ascii="Times New Roman" w:hAnsi="Times New Roman" w:cs="Times New Roman"/>
        </w:rPr>
        <w:t xml:space="preserve">which </w:t>
      </w:r>
      <w:r w:rsidR="006E21B9">
        <w:rPr>
          <w:noProof/>
        </w:rPr>
        <mc:AlternateContent>
          <mc:Choice Requires="wps">
            <w:drawing>
              <wp:anchor distT="0" distB="0" distL="114300" distR="114300" simplePos="0" relativeHeight="251671552" behindDoc="0" locked="0" layoutInCell="1" allowOverlap="1" wp14:anchorId="4F5E59B3" wp14:editId="5E2563B2">
                <wp:simplePos x="0" y="0"/>
                <wp:positionH relativeFrom="margin">
                  <wp:posOffset>-60325</wp:posOffset>
                </wp:positionH>
                <wp:positionV relativeFrom="paragraph">
                  <wp:posOffset>3617308</wp:posOffset>
                </wp:positionV>
                <wp:extent cx="62103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362E2997" w14:textId="570B393C" w:rsidR="008B049D" w:rsidRPr="000C67BB" w:rsidRDefault="008B049D" w:rsidP="008B049D">
                            <w:pPr>
                              <w:pStyle w:val="Caption"/>
                              <w:jc w:val="center"/>
                              <w:rPr>
                                <w:rFonts w:ascii="Times New Roman" w:hAnsi="Times New Roman" w:cs="Times New Roman"/>
                                <w:noProof/>
                              </w:rPr>
                            </w:pPr>
                            <w:r>
                              <w:rPr>
                                <w:rFonts w:ascii="Times New Roman" w:hAnsi="Times New Roman" w:cs="Times New Roman"/>
                              </w:rPr>
                              <w:t xml:space="preserve">Figure 3. A series of charts indicating the </w:t>
                            </w:r>
                            <w:r w:rsidR="00053494">
                              <w:rPr>
                                <w:rFonts w:ascii="Times New Roman" w:hAnsi="Times New Roman" w:cs="Times New Roman"/>
                              </w:rPr>
                              <w:t xml:space="preserve">normalized </w:t>
                            </w:r>
                            <w:r>
                              <w:rPr>
                                <w:rFonts w:ascii="Times New Roman" w:hAnsi="Times New Roman" w:cs="Times New Roman"/>
                              </w:rPr>
                              <w:t xml:space="preserve">proportions of artifact types found at each site.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E59B3" id="Text Box 9" o:spid="_x0000_s1029" type="#_x0000_t202" style="position:absolute;margin-left:-4.75pt;margin-top:284.85pt;width:489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JKLQIAAGQEAAAOAAAAZHJzL2Uyb0RvYy54bWysVMGO2yAQvVfqPyDujZ1Ejb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" stroked="f">
                <v:textbox style="mso-fit-shape-to-text:t" inset="0,0,0,0">
                  <w:txbxContent>
                    <w:p w14:paraId="362E2997" w14:textId="570B393C" w:rsidR="008B049D" w:rsidRPr="000C67BB" w:rsidRDefault="008B049D" w:rsidP="008B049D">
                      <w:pPr>
                        <w:pStyle w:val="Caption"/>
                        <w:jc w:val="center"/>
                        <w:rPr>
                          <w:rFonts w:ascii="Times New Roman" w:hAnsi="Times New Roman" w:cs="Times New Roman"/>
                          <w:noProof/>
                        </w:rPr>
                      </w:pPr>
                      <w:r>
                        <w:rPr>
                          <w:rFonts w:ascii="Times New Roman" w:hAnsi="Times New Roman" w:cs="Times New Roman"/>
                        </w:rPr>
                        <w:t xml:space="preserve">Figure 3. A series of charts indicating the </w:t>
                      </w:r>
                      <w:r w:rsidR="00053494">
                        <w:rPr>
                          <w:rFonts w:ascii="Times New Roman" w:hAnsi="Times New Roman" w:cs="Times New Roman"/>
                        </w:rPr>
                        <w:t xml:space="preserve">normalized </w:t>
                      </w:r>
                      <w:r>
                        <w:rPr>
                          <w:rFonts w:ascii="Times New Roman" w:hAnsi="Times New Roman" w:cs="Times New Roman"/>
                        </w:rPr>
                        <w:t xml:space="preserve">proportions of artifact types found at each site. </w:t>
                      </w:r>
                    </w:p>
                  </w:txbxContent>
                </v:textbox>
                <w10:wrap type="square" anchorx="margin"/>
              </v:shape>
            </w:pict>
          </mc:Fallback>
        </mc:AlternateContent>
      </w:r>
      <w:r w:rsidR="006E21B9">
        <w:rPr>
          <w:rFonts w:ascii="Times New Roman" w:hAnsi="Times New Roman" w:cs="Times New Roman"/>
          <w:noProof/>
        </w:rPr>
        <w:drawing>
          <wp:anchor distT="0" distB="0" distL="114300" distR="114300" simplePos="0" relativeHeight="251669504" behindDoc="0" locked="0" layoutInCell="1" allowOverlap="1" wp14:anchorId="219FB527" wp14:editId="56AB2909">
            <wp:simplePos x="0" y="0"/>
            <wp:positionH relativeFrom="margin">
              <wp:align>center</wp:align>
            </wp:positionH>
            <wp:positionV relativeFrom="paragraph">
              <wp:posOffset>862426</wp:posOffset>
            </wp:positionV>
            <wp:extent cx="5440680" cy="2596896"/>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rcRect l="1388" r="1388"/>
                    <a:stretch>
                      <a:fillRect/>
                    </a:stretch>
                  </pic:blipFill>
                  <pic:spPr bwMode="auto">
                    <a:xfrm>
                      <a:off x="0" y="0"/>
                      <a:ext cx="5440680" cy="25968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2EC3">
        <w:rPr>
          <w:rFonts w:ascii="Times New Roman" w:hAnsi="Times New Roman" w:cs="Times New Roman"/>
        </w:rPr>
        <w:t>complicates</w:t>
      </w:r>
      <w:r w:rsidR="008B049D">
        <w:rPr>
          <w:rFonts w:ascii="Times New Roman" w:hAnsi="Times New Roman" w:cs="Times New Roman"/>
        </w:rPr>
        <w:t xml:space="preserve"> further comparison on the basis of chronology. </w:t>
      </w:r>
      <w:r w:rsidR="00A703F7">
        <w:rPr>
          <w:rFonts w:ascii="Times New Roman" w:hAnsi="Times New Roman" w:cs="Times New Roman"/>
        </w:rPr>
        <w:t xml:space="preserve">   </w:t>
      </w:r>
    </w:p>
    <w:p w14:paraId="535FDD20" w14:textId="4E2D146B" w:rsidR="008B049D" w:rsidRPr="00053494" w:rsidRDefault="006E21B9" w:rsidP="008B049D">
      <w:pPr>
        <w:ind w:firstLine="720"/>
        <w:rPr>
          <w:rFonts w:ascii="Times New Roman" w:hAnsi="Times New Roman" w:cs="Times New Roman"/>
        </w:rPr>
      </w:pPr>
      <w:r>
        <w:rPr>
          <w:noProof/>
        </w:rPr>
        <mc:AlternateContent>
          <mc:Choice Requires="wps">
            <w:drawing>
              <wp:anchor distT="0" distB="0" distL="114300" distR="114300" simplePos="0" relativeHeight="251676672" behindDoc="0" locked="0" layoutInCell="1" allowOverlap="1" wp14:anchorId="77506EDE" wp14:editId="4DF54DC7">
                <wp:simplePos x="0" y="0"/>
                <wp:positionH relativeFrom="column">
                  <wp:posOffset>641350</wp:posOffset>
                </wp:positionH>
                <wp:positionV relativeFrom="paragraph">
                  <wp:posOffset>7158990</wp:posOffset>
                </wp:positionV>
                <wp:extent cx="4645025" cy="272415"/>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4645025" cy="272415"/>
                        </a:xfrm>
                        <a:prstGeom prst="rect">
                          <a:avLst/>
                        </a:prstGeom>
                        <a:solidFill>
                          <a:prstClr val="white"/>
                        </a:solidFill>
                        <a:ln>
                          <a:noFill/>
                        </a:ln>
                      </wps:spPr>
                      <wps:txbx>
                        <w:txbxContent>
                          <w:p w14:paraId="3F20DAC8" w14:textId="4D036A58" w:rsidR="00E42EC3" w:rsidRPr="006E21B9" w:rsidRDefault="00E42EC3" w:rsidP="006E21B9">
                            <w:pPr>
                              <w:pStyle w:val="Caption"/>
                              <w:jc w:val="center"/>
                              <w:rPr>
                                <w:rFonts w:ascii="Times New Roman" w:hAnsi="Times New Roman" w:cs="Times New Roman"/>
                                <w:noProof/>
                              </w:rPr>
                            </w:pPr>
                            <w:r w:rsidRPr="00E42EC3">
                              <w:rPr>
                                <w:rFonts w:ascii="Times New Roman" w:hAnsi="Times New Roman" w:cs="Times New Roman"/>
                                <w:noProof/>
                              </w:rPr>
                              <w:t>Figure 4.</w:t>
                            </w:r>
                            <w:r>
                              <w:rPr>
                                <w:rFonts w:ascii="Times New Roman" w:hAnsi="Times New Roman" w:cs="Times New Roman"/>
                                <w:noProof/>
                              </w:rPr>
                              <w:t xml:space="preserve"> </w:t>
                            </w:r>
                            <w:r w:rsidR="006E21B9">
                              <w:rPr>
                                <w:rFonts w:ascii="Times New Roman" w:hAnsi="Times New Roman" w:cs="Times New Roman"/>
                                <w:noProof/>
                              </w:rPr>
                              <w:t>Graph illustrating the lithic similarities across each site. The color of the point represents its classification. The elbow method was applied to find the optimal k =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06EDE" id="Text Box 3" o:spid="_x0000_s1030" type="#_x0000_t202" style="position:absolute;left:0;text-align:left;margin-left:50.5pt;margin-top:563.7pt;width:365.75pt;height:21.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" stroked="f">
                <v:textbox inset="0,0,0,0">
                  <w:txbxContent>
                    <w:p w14:paraId="3F20DAC8" w14:textId="4D036A58" w:rsidR="00E42EC3" w:rsidRPr="006E21B9" w:rsidRDefault="00E42EC3" w:rsidP="006E21B9">
                      <w:pPr>
                        <w:pStyle w:val="Caption"/>
                        <w:jc w:val="center"/>
                        <w:rPr>
                          <w:rFonts w:ascii="Times New Roman" w:hAnsi="Times New Roman" w:cs="Times New Roman"/>
                          <w:noProof/>
                        </w:rPr>
                      </w:pPr>
                      <w:r w:rsidRPr="00E42EC3">
                        <w:rPr>
                          <w:rFonts w:ascii="Times New Roman" w:hAnsi="Times New Roman" w:cs="Times New Roman"/>
                          <w:noProof/>
                        </w:rPr>
                        <w:t>Figure 4.</w:t>
                      </w:r>
                      <w:r>
                        <w:rPr>
                          <w:rFonts w:ascii="Times New Roman" w:hAnsi="Times New Roman" w:cs="Times New Roman"/>
                          <w:noProof/>
                        </w:rPr>
                        <w:t xml:space="preserve"> </w:t>
                      </w:r>
                      <w:r w:rsidR="006E21B9">
                        <w:rPr>
                          <w:rFonts w:ascii="Times New Roman" w:hAnsi="Times New Roman" w:cs="Times New Roman"/>
                          <w:noProof/>
                        </w:rPr>
                        <w:t>Graph illustrating the lithic similarities across each site. The color of the point represents its classification. The elbow method was applied to find the optimal k = 3.</w:t>
                      </w:r>
                    </w:p>
                  </w:txbxContent>
                </v:textbox>
                <w10:wrap type="topAndBottom"/>
              </v:shape>
            </w:pict>
          </mc:Fallback>
        </mc:AlternateContent>
      </w:r>
      <w:r>
        <w:rPr>
          <w:rFonts w:ascii="Cascadia Code" w:hAnsi="Cascadia Code" w:cs="Cascadia Code"/>
          <w:b/>
          <w:bCs/>
          <w:noProof/>
        </w:rPr>
        <w:drawing>
          <wp:anchor distT="0" distB="0" distL="114300" distR="114300" simplePos="0" relativeHeight="251674624" behindDoc="0" locked="0" layoutInCell="1" allowOverlap="1" wp14:anchorId="3E84AF4C" wp14:editId="041CFCB4">
            <wp:simplePos x="0" y="0"/>
            <wp:positionH relativeFrom="column">
              <wp:align>center</wp:align>
            </wp:positionH>
            <wp:positionV relativeFrom="paragraph">
              <wp:posOffset>4077335</wp:posOffset>
            </wp:positionV>
            <wp:extent cx="4407408" cy="293522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cstate="print">
                      <a:extLst>
                        <a:ext uri="{28A0092B-C50C-407E-A947-70E740481C1C}">
                          <a14:useLocalDpi xmlns:a14="http://schemas.microsoft.com/office/drawing/2010/main" val="0"/>
                        </a:ext>
                      </a:extLst>
                    </a:blip>
                    <a:srcRect t="6081" b="5225"/>
                    <a:stretch/>
                  </pic:blipFill>
                  <pic:spPr bwMode="auto">
                    <a:xfrm>
                      <a:off x="0" y="0"/>
                      <a:ext cx="4407408" cy="29352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049D">
        <w:rPr>
          <w:rFonts w:ascii="Times New Roman" w:hAnsi="Times New Roman" w:cs="Times New Roman"/>
        </w:rPr>
        <w:t xml:space="preserve">Another measure that was taken to attempt to group sites together based on assemblage similarities was to employ </w:t>
      </w:r>
      <w:r w:rsidR="008B049D">
        <w:rPr>
          <w:rFonts w:ascii="Times New Roman" w:hAnsi="Times New Roman" w:cs="Times New Roman"/>
          <w:i/>
          <w:iCs/>
        </w:rPr>
        <w:t>k</w:t>
      </w:r>
      <w:r w:rsidR="008B049D">
        <w:rPr>
          <w:rFonts w:ascii="Times New Roman" w:hAnsi="Times New Roman" w:cs="Times New Roman"/>
        </w:rPr>
        <w:t xml:space="preserve">-means clustering </w:t>
      </w:r>
      <w:r w:rsidR="00053494">
        <w:rPr>
          <w:rFonts w:ascii="Times New Roman" w:hAnsi="Times New Roman" w:cs="Times New Roman"/>
        </w:rPr>
        <w:t>on both artifact and lithic data. By applying clustering and using Principal component analysis (PCA) to reduce dimensionality from three (obsidian, red chert, and blue chert proportions) to two</w:t>
      </w:r>
      <w:r w:rsidR="00E42EC3">
        <w:rPr>
          <w:rFonts w:ascii="Times New Roman" w:hAnsi="Times New Roman" w:cs="Times New Roman"/>
        </w:rPr>
        <w:t xml:space="preserve"> (PC1 and PC2)</w:t>
      </w:r>
      <w:r w:rsidR="00053494">
        <w:rPr>
          <w:rFonts w:ascii="Times New Roman" w:hAnsi="Times New Roman" w:cs="Times New Roman"/>
        </w:rPr>
        <w:t xml:space="preserve">, </w:t>
      </w:r>
      <w:r w:rsidR="00E42EC3">
        <w:rPr>
          <w:rFonts w:ascii="Times New Roman" w:hAnsi="Times New Roman" w:cs="Times New Roman"/>
        </w:rPr>
        <w:t>we can examine the similarity of site assemblages represented spatially</w:t>
      </w:r>
      <w:r>
        <w:rPr>
          <w:rFonts w:ascii="Times New Roman" w:hAnsi="Times New Roman" w:cs="Times New Roman"/>
        </w:rPr>
        <w:t xml:space="preserve"> and separate sites into distinct groups</w:t>
      </w:r>
      <w:r w:rsidR="00E42EC3">
        <w:rPr>
          <w:rFonts w:ascii="Times New Roman" w:hAnsi="Times New Roman" w:cs="Times New Roman"/>
        </w:rPr>
        <w:t>.</w:t>
      </w:r>
      <w:r w:rsidR="00053494">
        <w:rPr>
          <w:rFonts w:ascii="Times New Roman" w:hAnsi="Times New Roman" w:cs="Times New Roman"/>
        </w:rPr>
        <w:t xml:space="preserve"> </w:t>
      </w:r>
    </w:p>
    <w:p w14:paraId="1E7EF784" w14:textId="447BB0A8" w:rsidR="008B049D" w:rsidRPr="008B049D" w:rsidRDefault="006E21B9">
      <w:pPr>
        <w:rPr>
          <w:rFonts w:ascii="Cascadia Code" w:hAnsi="Cascadia Code" w:cs="Cascadia Code"/>
        </w:rPr>
      </w:pPr>
      <w:r>
        <w:rPr>
          <w:noProof/>
        </w:rPr>
        <w:lastRenderedPageBreak/>
        <mc:AlternateContent>
          <mc:Choice Requires="wps">
            <w:drawing>
              <wp:anchor distT="0" distB="0" distL="114300" distR="114300" simplePos="0" relativeHeight="251678720" behindDoc="0" locked="0" layoutInCell="1" allowOverlap="1" wp14:anchorId="5834FB24" wp14:editId="578B909B">
                <wp:simplePos x="0" y="0"/>
                <wp:positionH relativeFrom="column">
                  <wp:posOffset>558165</wp:posOffset>
                </wp:positionH>
                <wp:positionV relativeFrom="paragraph">
                  <wp:posOffset>3370911</wp:posOffset>
                </wp:positionV>
                <wp:extent cx="482790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14:paraId="2EBD6F72" w14:textId="1F69507E" w:rsidR="006E21B9" w:rsidRPr="006E21B9" w:rsidRDefault="006E21B9" w:rsidP="006E21B9">
                            <w:pPr>
                              <w:pStyle w:val="Caption"/>
                              <w:jc w:val="center"/>
                              <w:rPr>
                                <w:rFonts w:ascii="Times New Roman" w:hAnsi="Times New Roman" w:cs="Times New Roman"/>
                                <w:noProof/>
                              </w:rPr>
                            </w:pPr>
                            <w:r>
                              <w:rPr>
                                <w:rFonts w:ascii="Times New Roman" w:hAnsi="Times New Roman" w:cs="Times New Roman"/>
                                <w:noProof/>
                              </w:rPr>
                              <w:t>Figure 5. Graph illustrating clusters by artifact similarity. Again, the elbow method was applied to find the optimal k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4FB24" id="Text Box 11" o:spid="_x0000_s1031" type="#_x0000_t202" style="position:absolute;margin-left:43.95pt;margin-top:265.45pt;width:3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" stroked="f">
                <v:textbox style="mso-fit-shape-to-text:t" inset="0,0,0,0">
                  <w:txbxContent>
                    <w:p w14:paraId="2EBD6F72" w14:textId="1F69507E" w:rsidR="006E21B9" w:rsidRPr="006E21B9" w:rsidRDefault="006E21B9" w:rsidP="006E21B9">
                      <w:pPr>
                        <w:pStyle w:val="Caption"/>
                        <w:jc w:val="center"/>
                        <w:rPr>
                          <w:rFonts w:ascii="Times New Roman" w:hAnsi="Times New Roman" w:cs="Times New Roman"/>
                          <w:noProof/>
                        </w:rPr>
                      </w:pPr>
                      <w:r>
                        <w:rPr>
                          <w:rFonts w:ascii="Times New Roman" w:hAnsi="Times New Roman" w:cs="Times New Roman"/>
                          <w:noProof/>
                        </w:rPr>
                        <w:t>Figure 5. Graph illustrating clusters by artifact similarity. Again, the elbow method was applied to find the optimal k = 3.</w:t>
                      </w:r>
                    </w:p>
                  </w:txbxContent>
                </v:textbox>
                <w10:wrap type="topAndBottom"/>
              </v:shape>
            </w:pict>
          </mc:Fallback>
        </mc:AlternateContent>
      </w:r>
      <w:r>
        <w:rPr>
          <w:rFonts w:ascii="Cascadia Code" w:hAnsi="Cascadia Code" w:cs="Cascadia Code"/>
          <w:b/>
          <w:bCs/>
          <w:noProof/>
        </w:rPr>
        <w:drawing>
          <wp:anchor distT="0" distB="0" distL="114300" distR="114300" simplePos="0" relativeHeight="251672576" behindDoc="0" locked="0" layoutInCell="1" allowOverlap="1" wp14:anchorId="5A16F485" wp14:editId="1BAB499A">
            <wp:simplePos x="0" y="0"/>
            <wp:positionH relativeFrom="column">
              <wp:align>center</wp:align>
            </wp:positionH>
            <wp:positionV relativeFrom="paragraph">
              <wp:posOffset>413</wp:posOffset>
            </wp:positionV>
            <wp:extent cx="4828032" cy="3182112"/>
            <wp:effectExtent l="0" t="0" r="0" b="0"/>
            <wp:wrapTopAndBottom/>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t="6845" b="5340"/>
                    <a:stretch/>
                  </pic:blipFill>
                  <pic:spPr bwMode="auto">
                    <a:xfrm>
                      <a:off x="0" y="0"/>
                      <a:ext cx="4828032" cy="3182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6F3">
        <w:rPr>
          <w:rFonts w:ascii="Cascadia Code" w:hAnsi="Cascadia Code" w:cs="Cascadia Code"/>
          <w:b/>
          <w:bCs/>
        </w:rPr>
        <w:tab/>
      </w:r>
    </w:p>
    <w:p w14:paraId="660A628B" w14:textId="327522D1" w:rsidR="004118C0" w:rsidRDefault="006E21B9">
      <w:pPr>
        <w:rPr>
          <w:rFonts w:ascii="Times New Roman" w:hAnsi="Times New Roman" w:cs="Times New Roman"/>
        </w:rPr>
      </w:pPr>
      <w:r>
        <w:rPr>
          <w:rFonts w:ascii="Cascadia Code" w:hAnsi="Cascadia Code" w:cs="Cascadia Code"/>
          <w:b/>
          <w:bCs/>
        </w:rPr>
        <w:tab/>
      </w:r>
      <w:r>
        <w:rPr>
          <w:rFonts w:ascii="Times New Roman" w:hAnsi="Times New Roman" w:cs="Times New Roman"/>
        </w:rPr>
        <w:t xml:space="preserve">Figure 5 </w:t>
      </w:r>
      <w:r w:rsidR="00B94D68">
        <w:rPr>
          <w:rFonts w:ascii="Times New Roman" w:hAnsi="Times New Roman" w:cs="Times New Roman"/>
        </w:rPr>
        <w:t xml:space="preserve">shows Periods 1 and 2 of the Narrows Site and Period 1 of the Newport Midden to belong to the same cluster, along with a series of other sites. Period 3 of the Newport Midden and Period 4 of the Narrows Site, which are roughly contemporaneous (1200 </w:t>
      </w:r>
      <w:r w:rsidR="00B94D68" w:rsidRPr="00CF6FB8">
        <w:rPr>
          <w:rFonts w:ascii="Times New Roman" w:hAnsi="Times New Roman" w:cs="Times New Roman"/>
        </w:rPr>
        <w:t>±</w:t>
      </w:r>
      <w:r w:rsidR="00B94D68">
        <w:rPr>
          <w:rFonts w:ascii="Times New Roman" w:hAnsi="Times New Roman" w:cs="Times New Roman"/>
        </w:rPr>
        <w:t xml:space="preserve"> 110 and 1020 </w:t>
      </w:r>
      <w:r w:rsidR="00B94D68" w:rsidRPr="00CF6FB8">
        <w:rPr>
          <w:rFonts w:ascii="Times New Roman" w:hAnsi="Times New Roman" w:cs="Times New Roman"/>
        </w:rPr>
        <w:t>±</w:t>
      </w:r>
      <w:r w:rsidR="00B94D68">
        <w:rPr>
          <w:rFonts w:ascii="Times New Roman" w:hAnsi="Times New Roman" w:cs="Times New Roman"/>
        </w:rPr>
        <w:t xml:space="preserve"> 120 B.P., respectively), are shown by PCA to be highly similar. These sites are separated by the earlier periods at the same locations by ~7,000 years, yet they appear closer—and, in the case of Narrows, Period 4, placed in the same classification—to these earlier periods than </w:t>
      </w:r>
      <w:r w:rsidR="00A63241">
        <w:rPr>
          <w:rFonts w:ascii="Times New Roman" w:hAnsi="Times New Roman" w:cs="Times New Roman"/>
        </w:rPr>
        <w:t>geographically distant sites like “5” and “9”.</w:t>
      </w:r>
      <w:r w:rsidR="00C05E97">
        <w:rPr>
          <w:rFonts w:ascii="Times New Roman" w:hAnsi="Times New Roman" w:cs="Times New Roman"/>
        </w:rPr>
        <w:t xml:space="preserve"> This </w:t>
      </w:r>
      <w:r w:rsidR="004118C0">
        <w:rPr>
          <w:rFonts w:ascii="Times New Roman" w:hAnsi="Times New Roman" w:cs="Times New Roman"/>
        </w:rPr>
        <w:t xml:space="preserve">exemplifies the possibility that cultural, socioeconomic, or technological differences may vary more with geographical distance than temporal distance amongst the populations of the Cook Valley, but without more information—such as approximate dates for sites “5” and “9”—this remains unclear. Maximal alignment </w:t>
      </w:r>
      <w:r w:rsidR="00CB3EDE">
        <w:rPr>
          <w:rFonts w:ascii="Times New Roman" w:hAnsi="Times New Roman" w:cs="Times New Roman"/>
        </w:rPr>
        <w:t>of the classifications created by lithic and artifact similarity yields a 58.3% overlap</w:t>
      </w:r>
      <w:r w:rsidR="00441D80">
        <w:rPr>
          <w:rStyle w:val="FootnoteReference"/>
          <w:rFonts w:ascii="Times New Roman" w:hAnsi="Times New Roman" w:cs="Times New Roman"/>
        </w:rPr>
        <w:footnoteReference w:id="3"/>
      </w:r>
      <w:r w:rsidR="00CB3EDE">
        <w:rPr>
          <w:rFonts w:ascii="Times New Roman" w:hAnsi="Times New Roman" w:cs="Times New Roman"/>
        </w:rPr>
        <w:t xml:space="preserve">, meaning that lithic assemblage is a weak-to-moderate indicator of artifact types and vice versa.  </w:t>
      </w:r>
    </w:p>
    <w:p w14:paraId="5227FB60" w14:textId="76CE1315" w:rsidR="00727989" w:rsidRDefault="00727989">
      <w:pPr>
        <w:rPr>
          <w:rFonts w:ascii="Times New Roman" w:hAnsi="Times New Roman" w:cs="Times New Roman"/>
        </w:rPr>
      </w:pPr>
      <w:r>
        <w:rPr>
          <w:rFonts w:ascii="Times New Roman" w:hAnsi="Times New Roman" w:cs="Times New Roman"/>
        </w:rPr>
        <w:tab/>
        <w:t xml:space="preserve">These results </w:t>
      </w:r>
      <w:r w:rsidR="00E641F1">
        <w:rPr>
          <w:rFonts w:ascii="Times New Roman" w:hAnsi="Times New Roman" w:cs="Times New Roman"/>
        </w:rPr>
        <w:t xml:space="preserve">do not provide satisfying cultural categories that cleanly sort out New Silurian populations, but they do </w:t>
      </w:r>
      <w:r w:rsidR="00441D80">
        <w:rPr>
          <w:rFonts w:ascii="Times New Roman" w:hAnsi="Times New Roman" w:cs="Times New Roman"/>
        </w:rPr>
        <w:t>hint at the potential complexity underlying Cook Valley population dynamics and demonstrate the need for more robust, cohesive data.</w:t>
      </w:r>
    </w:p>
    <w:p w14:paraId="5ABEF334" w14:textId="0C2B4A61" w:rsidR="00441D80" w:rsidRDefault="00441D80">
      <w:pPr>
        <w:rPr>
          <w:rFonts w:ascii="Times New Roman" w:hAnsi="Times New Roman" w:cs="Times New Roman"/>
        </w:rPr>
      </w:pPr>
      <w:r>
        <w:rPr>
          <w:rFonts w:ascii="Times New Roman" w:hAnsi="Times New Roman" w:cs="Times New Roman"/>
        </w:rPr>
        <w:tab/>
      </w:r>
    </w:p>
    <w:p w14:paraId="73D1284D" w14:textId="50A9414C" w:rsidR="00441D80" w:rsidRDefault="00D52CBE">
      <w:pPr>
        <w:rPr>
          <w:rFonts w:ascii="Times New Roman" w:hAnsi="Times New Roman" w:cs="Times New Roman"/>
        </w:rPr>
      </w:pPr>
      <w:r>
        <w:rPr>
          <w:rFonts w:ascii="Times New Roman" w:hAnsi="Times New Roman" w:cs="Times New Roman"/>
          <w:b/>
          <w:bCs/>
        </w:rPr>
        <w:t>Suggestions for Further Research</w:t>
      </w:r>
    </w:p>
    <w:p w14:paraId="73AED2BB" w14:textId="7D840824" w:rsidR="003F6576" w:rsidRPr="00774568" w:rsidRDefault="00441D80">
      <w:r>
        <w:rPr>
          <w:rFonts w:ascii="Times New Roman" w:hAnsi="Times New Roman" w:cs="Times New Roman"/>
        </w:rPr>
        <w:tab/>
        <w:t>As has been argued above, a stronger foundational body of knowledge regarding the indigenous populations of the Cook Valley must be built before other questions can be explored. Current information is derived from scattered</w:t>
      </w:r>
      <w:r w:rsidR="0087102E">
        <w:rPr>
          <w:rFonts w:ascii="Times New Roman" w:hAnsi="Times New Roman" w:cs="Times New Roman"/>
        </w:rPr>
        <w:t xml:space="preserve"> sources and poorly-documented excavations, and there are significant lacunae that need to be addressed. </w:t>
      </w:r>
      <w:r w:rsidR="002765D9">
        <w:rPr>
          <w:rFonts w:ascii="Times New Roman" w:hAnsi="Times New Roman" w:cs="Times New Roman"/>
        </w:rPr>
        <w:t xml:space="preserve">For example, the origin and meaning of the term ‘Waika’ has not been documented, and there exist no modern ethnographic studies of the Waika people despite the persistence </w:t>
      </w:r>
      <w:r w:rsidR="002765D9">
        <w:rPr>
          <w:rFonts w:ascii="Times New Roman" w:hAnsi="Times New Roman" w:cs="Times New Roman"/>
        </w:rPr>
        <w:lastRenderedPageBreak/>
        <w:t xml:space="preserve">of Waika people in New Siluria and the revival of interest in Waika cultural heritage. The most sensible first step in constructing a reliable body of knowledge is to conduct an ethnolinguistic study of contemporary Waika people to </w:t>
      </w:r>
      <w:r w:rsidR="003F6576">
        <w:rPr>
          <w:rFonts w:ascii="Times New Roman" w:hAnsi="Times New Roman" w:cs="Times New Roman"/>
        </w:rPr>
        <w:t>mine as much information</w:t>
      </w:r>
      <w:r w:rsidR="002765D9">
        <w:rPr>
          <w:rFonts w:ascii="Times New Roman" w:hAnsi="Times New Roman" w:cs="Times New Roman"/>
        </w:rPr>
        <w:t xml:space="preserve"> as </w:t>
      </w:r>
      <w:r w:rsidR="003F6576">
        <w:rPr>
          <w:rFonts w:ascii="Times New Roman" w:hAnsi="Times New Roman" w:cs="Times New Roman"/>
        </w:rPr>
        <w:t xml:space="preserve">is </w:t>
      </w:r>
      <w:r w:rsidR="002765D9">
        <w:rPr>
          <w:rFonts w:ascii="Times New Roman" w:hAnsi="Times New Roman" w:cs="Times New Roman"/>
        </w:rPr>
        <w:t xml:space="preserve">possible about their culture, language, and history. Who are the Waika? What exactly does this term imply? Are there other names for New Silurian indigenous populations? How long have the Waika lived here? </w:t>
      </w:r>
      <w:r w:rsidR="003F6576">
        <w:rPr>
          <w:rFonts w:ascii="Times New Roman" w:hAnsi="Times New Roman" w:cs="Times New Roman"/>
        </w:rPr>
        <w:t xml:space="preserve">What can be said about their traditional or cosmological belief systems? These are just a few questions that could potentially be answered </w:t>
      </w:r>
      <w:r w:rsidR="00774568">
        <w:rPr>
          <w:rFonts w:ascii="Times New Roman" w:hAnsi="Times New Roman" w:cs="Times New Roman"/>
        </w:rPr>
        <w:t>through</w:t>
      </w:r>
      <w:r w:rsidR="003F6576">
        <w:rPr>
          <w:rFonts w:ascii="Times New Roman" w:hAnsi="Times New Roman" w:cs="Times New Roman"/>
        </w:rPr>
        <w:t xml:space="preserve"> ethnography, and their answers would provide researchers would a much stronger frame </w:t>
      </w:r>
      <w:r w:rsidR="00774568">
        <w:rPr>
          <w:rFonts w:ascii="Times New Roman" w:hAnsi="Times New Roman" w:cs="Times New Roman"/>
        </w:rPr>
        <w:t xml:space="preserve">of reference for interpreting archaeological data. </w:t>
      </w:r>
    </w:p>
    <w:p w14:paraId="3933DBB2" w14:textId="614C9418" w:rsidR="003F6576" w:rsidRDefault="003F6576">
      <w:pPr>
        <w:rPr>
          <w:rFonts w:ascii="Times New Roman" w:hAnsi="Times New Roman" w:cs="Times New Roman"/>
        </w:rPr>
      </w:pPr>
      <w:r>
        <w:rPr>
          <w:rFonts w:ascii="Times New Roman" w:hAnsi="Times New Roman" w:cs="Times New Roman"/>
        </w:rPr>
        <w:tab/>
        <w:t>Additionally, systematic surveying of the Cook Valley region can solidify the flimsy basis that currently exists</w:t>
      </w:r>
      <w:r w:rsidR="00994024">
        <w:rPr>
          <w:rFonts w:ascii="Times New Roman" w:hAnsi="Times New Roman" w:cs="Times New Roman"/>
        </w:rPr>
        <w:t xml:space="preserve">. </w:t>
      </w:r>
      <w:r w:rsidR="00774568">
        <w:rPr>
          <w:rFonts w:ascii="Times New Roman" w:hAnsi="Times New Roman" w:cs="Times New Roman"/>
        </w:rPr>
        <w:t xml:space="preserve">For example, </w:t>
      </w:r>
      <w:r w:rsidR="009B0BCB">
        <w:rPr>
          <w:rFonts w:ascii="Times New Roman" w:hAnsi="Times New Roman" w:cs="Times New Roman"/>
        </w:rPr>
        <w:t>the locations of houses such as those found at the Tlon site are hinted at by raised, flat-topped mounds, and patterns of low ridges associated with garden or field boundaries appear in aerial photographs. Aerial photography could thus be used to discover the locations of villages and agricultural fields across the whole of the Cook Valley. In locations characterized by dense forests such as the southern slopes of the Coast Mountains and the coastal plain, LiDAR could be used to penetrate the forest cover</w:t>
      </w:r>
      <w:r w:rsidR="00994024">
        <w:rPr>
          <w:rFonts w:ascii="Times New Roman" w:hAnsi="Times New Roman" w:cs="Times New Roman"/>
        </w:rPr>
        <w:t xml:space="preserve"> and obtain the necessary data</w:t>
      </w:r>
      <w:r w:rsidR="009B0BCB">
        <w:rPr>
          <w:rFonts w:ascii="Times New Roman" w:hAnsi="Times New Roman" w:cs="Times New Roman"/>
        </w:rPr>
        <w:t xml:space="preserve">. Geographic patterns in detected archaeological features may be explored, providing more information regarding cultural variability based on environmental and geographic factors. Upon the acquirement of cohesive data from surveying, a selection of sites could be chosen for further exploration and potentially excavation based on their expected ability to answer </w:t>
      </w:r>
      <w:r w:rsidR="00994024">
        <w:rPr>
          <w:rFonts w:ascii="Times New Roman" w:hAnsi="Times New Roman" w:cs="Times New Roman"/>
        </w:rPr>
        <w:t>prominent research questions.</w:t>
      </w:r>
    </w:p>
    <w:p w14:paraId="53EFAEB9" w14:textId="6132229B" w:rsidR="00922E67" w:rsidRDefault="003F6576" w:rsidP="00994024">
      <w:pPr>
        <w:ind w:firstLine="720"/>
        <w:rPr>
          <w:rFonts w:ascii="Times New Roman" w:hAnsi="Times New Roman" w:cs="Times New Roman"/>
        </w:rPr>
      </w:pPr>
      <w:r>
        <w:rPr>
          <w:rFonts w:ascii="Times New Roman" w:hAnsi="Times New Roman" w:cs="Times New Roman"/>
        </w:rPr>
        <w:t>Synthesizing information from ethnolinguistic studies of contemporary Waika culture with complete, systematic surveying of the Cook Valley will provide the solid foundation that must necessarily preempt deeper research questions</w:t>
      </w:r>
      <w:r w:rsidR="00774568">
        <w:rPr>
          <w:rFonts w:ascii="Times New Roman" w:hAnsi="Times New Roman" w:cs="Times New Roman"/>
        </w:rPr>
        <w:t xml:space="preserve"> </w:t>
      </w:r>
      <w:r>
        <w:rPr>
          <w:rFonts w:ascii="Times New Roman" w:hAnsi="Times New Roman" w:cs="Times New Roman"/>
        </w:rPr>
        <w:t>and the design of weightier operations such as further excavations in the Cook Valley</w:t>
      </w:r>
      <w:r w:rsidR="00774568">
        <w:rPr>
          <w:rFonts w:ascii="Times New Roman" w:hAnsi="Times New Roman" w:cs="Times New Roman"/>
        </w:rPr>
        <w:t>.</w:t>
      </w:r>
      <w:r w:rsidR="00D52CBE">
        <w:rPr>
          <w:rFonts w:ascii="Times New Roman" w:hAnsi="Times New Roman" w:cs="Times New Roman"/>
        </w:rPr>
        <w:t xml:space="preserve"> Without such prior knowledge, questions regarding factors of change</w:t>
      </w:r>
      <w:r w:rsidR="00E13D4D">
        <w:rPr>
          <w:rFonts w:ascii="Times New Roman" w:hAnsi="Times New Roman" w:cs="Times New Roman"/>
        </w:rPr>
        <w:t>—e.g.,</w:t>
      </w:r>
      <w:r w:rsidR="00D52CBE">
        <w:rPr>
          <w:rFonts w:ascii="Times New Roman" w:hAnsi="Times New Roman" w:cs="Times New Roman"/>
        </w:rPr>
        <w:t xml:space="preserve"> the environmental pressures suggested by Mott</w:t>
      </w:r>
      <w:r w:rsidR="00E13D4D">
        <w:rPr>
          <w:rFonts w:ascii="Times New Roman" w:hAnsi="Times New Roman" w:cs="Times New Roman"/>
        </w:rPr>
        <w:t>—</w:t>
      </w:r>
      <w:r w:rsidR="00D52CBE">
        <w:rPr>
          <w:rFonts w:ascii="Times New Roman" w:hAnsi="Times New Roman" w:cs="Times New Roman"/>
        </w:rPr>
        <w:t xml:space="preserve">will be operating on incorrect, incomplete, or unsubstantiated assumptions. It is, of course, extremely likely hat environmental pressures forced cultural, technological, political, and economic adaptations in New Silurian populations, but without stronger ideas about the identities of these peoples </w:t>
      </w:r>
      <w:r w:rsidR="00E13D4D">
        <w:rPr>
          <w:rFonts w:ascii="Times New Roman" w:hAnsi="Times New Roman" w:cs="Times New Roman"/>
        </w:rPr>
        <w:t xml:space="preserve">or the degree of variation in their lifestyles, such discussions will lack the substance and efficiency </w:t>
      </w:r>
    </w:p>
    <w:p w14:paraId="23C3BC94" w14:textId="624159A4" w:rsidR="00994024" w:rsidRPr="00994024" w:rsidRDefault="00994024" w:rsidP="00994024">
      <w:pPr>
        <w:rPr>
          <w:rFonts w:ascii="Times New Roman" w:hAnsi="Times New Roman" w:cs="Times New Roman"/>
        </w:rPr>
      </w:pPr>
      <w:r>
        <w:rPr>
          <w:rFonts w:ascii="Times New Roman" w:hAnsi="Times New Roman" w:cs="Times New Roman"/>
        </w:rPr>
        <w:tab/>
      </w:r>
    </w:p>
    <w:p w14:paraId="2B1884F9" w14:textId="283B2F7B" w:rsidR="00922E67" w:rsidRDefault="00922E67">
      <w:pPr>
        <w:rPr>
          <w:rFonts w:ascii="Cascadia Code" w:hAnsi="Cascadia Code" w:cs="Cascadia Code"/>
          <w:b/>
          <w:bCs/>
        </w:rPr>
      </w:pPr>
    </w:p>
    <w:p w14:paraId="57F3D5CB" w14:textId="4224CE11" w:rsidR="00922E67" w:rsidRDefault="00922E67">
      <w:pPr>
        <w:rPr>
          <w:rFonts w:ascii="Cascadia Code" w:hAnsi="Cascadia Code" w:cs="Cascadia Code"/>
          <w:b/>
          <w:bCs/>
        </w:rPr>
      </w:pPr>
    </w:p>
    <w:sectPr w:rsidR="00922E6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6A1B5" w14:textId="77777777" w:rsidR="000836DA" w:rsidRDefault="000836DA" w:rsidP="00D20CC9">
      <w:pPr>
        <w:spacing w:after="0" w:line="240" w:lineRule="auto"/>
      </w:pPr>
      <w:r>
        <w:separator/>
      </w:r>
    </w:p>
  </w:endnote>
  <w:endnote w:type="continuationSeparator" w:id="0">
    <w:p w14:paraId="68835CE9" w14:textId="77777777" w:rsidR="000836DA" w:rsidRDefault="000836DA" w:rsidP="00D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000F9FB" w:usb2="0004002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4060521"/>
      <w:docPartObj>
        <w:docPartGallery w:val="Page Numbers (Bottom of Page)"/>
        <w:docPartUnique/>
      </w:docPartObj>
    </w:sdtPr>
    <w:sdtEndPr>
      <w:rPr>
        <w:noProof/>
      </w:rPr>
    </w:sdtEndPr>
    <w:sdtContent>
      <w:p w14:paraId="35398821" w14:textId="4D14A352" w:rsidR="006E21B9" w:rsidRDefault="006E21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39587" w14:textId="77777777" w:rsidR="006E21B9" w:rsidRDefault="006E2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A949" w14:textId="77777777" w:rsidR="000836DA" w:rsidRDefault="000836DA" w:rsidP="00D20CC9">
      <w:pPr>
        <w:spacing w:after="0" w:line="240" w:lineRule="auto"/>
      </w:pPr>
      <w:r>
        <w:separator/>
      </w:r>
    </w:p>
  </w:footnote>
  <w:footnote w:type="continuationSeparator" w:id="0">
    <w:p w14:paraId="3C8366A6" w14:textId="77777777" w:rsidR="000836DA" w:rsidRDefault="000836DA" w:rsidP="00D20CC9">
      <w:pPr>
        <w:spacing w:after="0" w:line="240" w:lineRule="auto"/>
      </w:pPr>
      <w:r>
        <w:continuationSeparator/>
      </w:r>
    </w:p>
  </w:footnote>
  <w:footnote w:id="1">
    <w:p w14:paraId="746DB28E" w14:textId="4E5C2E2F" w:rsidR="00D20CC9" w:rsidRPr="00D20CC9" w:rsidRDefault="00D20CC9">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The earliest date comes from P. Mott’s excavations at the Narrows site where radiocarbon dating of charcoal shows the earliest date to be 8760 </w:t>
      </w:r>
      <w:r w:rsidRPr="00CF6FB8">
        <w:rPr>
          <w:rFonts w:ascii="Times New Roman" w:hAnsi="Times New Roman" w:cs="Times New Roman"/>
        </w:rPr>
        <w:t>±</w:t>
      </w:r>
      <w:r>
        <w:rPr>
          <w:rFonts w:ascii="Times New Roman" w:hAnsi="Times New Roman" w:cs="Times New Roman"/>
        </w:rPr>
        <w:t xml:space="preserve"> 220 B.P. </w:t>
      </w:r>
    </w:p>
  </w:footnote>
  <w:footnote w:id="2">
    <w:p w14:paraId="458CC2F2" w14:textId="043FE102" w:rsidR="0095628A" w:rsidRPr="0095628A" w:rsidRDefault="0095628A">
      <w:pPr>
        <w:pStyle w:val="FootnoteText"/>
        <w:rPr>
          <w:rFonts w:ascii="Times New Roman" w:hAnsi="Times New Roman" w:cs="Times New Roman"/>
        </w:rPr>
      </w:pPr>
      <w:r>
        <w:rPr>
          <w:rStyle w:val="FootnoteReference"/>
        </w:rPr>
        <w:footnoteRef/>
      </w:r>
      <w:r>
        <w:t xml:space="preserve"> </w:t>
      </w:r>
      <w:r w:rsidRPr="0095628A">
        <w:rPr>
          <w:rFonts w:ascii="Times New Roman" w:hAnsi="Times New Roman" w:cs="Times New Roman"/>
        </w:rPr>
        <w:t>Sites “2” and “3” are noticeable outliers on the east—west axis and north-south axis, respectively.</w:t>
      </w:r>
      <w:r>
        <w:rPr>
          <w:rFonts w:ascii="Times New Roman" w:hAnsi="Times New Roman" w:cs="Times New Roman"/>
        </w:rPr>
        <w:t xml:space="preserve"> These sites appear in the southwest quadrant of the Cook Valley, closest to the slate deposit. </w:t>
      </w:r>
      <w:r w:rsidR="00E673EA">
        <w:rPr>
          <w:rFonts w:ascii="Times New Roman" w:hAnsi="Times New Roman" w:cs="Times New Roman"/>
        </w:rPr>
        <w:t xml:space="preserve">Their status as outliers is thus likely due to </w:t>
      </w:r>
      <w:r>
        <w:rPr>
          <w:rFonts w:ascii="Times New Roman" w:hAnsi="Times New Roman" w:cs="Times New Roman"/>
        </w:rPr>
        <w:t>slate</w:t>
      </w:r>
      <w:r w:rsidR="00E673EA">
        <w:rPr>
          <w:rFonts w:ascii="Times New Roman" w:hAnsi="Times New Roman" w:cs="Times New Roman"/>
        </w:rPr>
        <w:t>’s lack of</w:t>
      </w:r>
      <w:r>
        <w:rPr>
          <w:rFonts w:ascii="Times New Roman" w:hAnsi="Times New Roman" w:cs="Times New Roman"/>
        </w:rPr>
        <w:t xml:space="preserve"> represent</w:t>
      </w:r>
      <w:r w:rsidR="00E673EA">
        <w:rPr>
          <w:rFonts w:ascii="Times New Roman" w:hAnsi="Times New Roman" w:cs="Times New Roman"/>
        </w:rPr>
        <w:t xml:space="preserve">ation </w:t>
      </w:r>
      <w:r>
        <w:rPr>
          <w:rFonts w:ascii="Times New Roman" w:hAnsi="Times New Roman" w:cs="Times New Roman"/>
        </w:rPr>
        <w:t>in these distributions</w:t>
      </w:r>
      <w:r w:rsidR="00E236AD">
        <w:rPr>
          <w:rFonts w:ascii="Times New Roman" w:hAnsi="Times New Roman" w:cs="Times New Roman"/>
        </w:rPr>
        <w:t xml:space="preserve"> and these sites</w:t>
      </w:r>
      <w:r w:rsidR="00E673EA">
        <w:rPr>
          <w:rFonts w:ascii="Times New Roman" w:hAnsi="Times New Roman" w:cs="Times New Roman"/>
        </w:rPr>
        <w:t xml:space="preserve">’ distance </w:t>
      </w:r>
      <w:r w:rsidR="00E236AD">
        <w:rPr>
          <w:rFonts w:ascii="Times New Roman" w:hAnsi="Times New Roman" w:cs="Times New Roman"/>
        </w:rPr>
        <w:t>from all other material sources</w:t>
      </w:r>
      <w:r w:rsidR="00E673EA">
        <w:rPr>
          <w:rFonts w:ascii="Times New Roman" w:hAnsi="Times New Roman" w:cs="Times New Roman"/>
        </w:rPr>
        <w:t>.</w:t>
      </w:r>
      <w:r>
        <w:t xml:space="preserve"> </w:t>
      </w:r>
    </w:p>
  </w:footnote>
  <w:footnote w:id="3">
    <w:p w14:paraId="52C56C83" w14:textId="27774240" w:rsidR="00441D80" w:rsidRPr="00441D80" w:rsidRDefault="00441D80">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In the case that no correlation existed, we would expect a 33.3% overlap.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64AE"/>
    <w:multiLevelType w:val="hybridMultilevel"/>
    <w:tmpl w:val="73E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0FA6"/>
    <w:multiLevelType w:val="hybridMultilevel"/>
    <w:tmpl w:val="2898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20204"/>
    <w:multiLevelType w:val="hybridMultilevel"/>
    <w:tmpl w:val="E616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A5ECC"/>
    <w:multiLevelType w:val="hybridMultilevel"/>
    <w:tmpl w:val="F43E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75F57"/>
    <w:multiLevelType w:val="hybridMultilevel"/>
    <w:tmpl w:val="98A8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57068"/>
    <w:multiLevelType w:val="hybridMultilevel"/>
    <w:tmpl w:val="2158B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F6E10"/>
    <w:multiLevelType w:val="hybridMultilevel"/>
    <w:tmpl w:val="59568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B07C0"/>
    <w:multiLevelType w:val="hybridMultilevel"/>
    <w:tmpl w:val="DD74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55D87"/>
    <w:multiLevelType w:val="hybridMultilevel"/>
    <w:tmpl w:val="D4DA42A8"/>
    <w:lvl w:ilvl="0" w:tplc="B2A636F0">
      <w:start w:val="1"/>
      <w:numFmt w:val="upperRoman"/>
      <w:lvlText w:val="%1."/>
      <w:lvlJc w:val="left"/>
      <w:pPr>
        <w:ind w:left="1080" w:hanging="720"/>
      </w:pPr>
      <w:rPr>
        <w:rFonts w:ascii="Cascadia Code" w:eastAsiaTheme="minorHAnsi" w:hAnsi="Cascadia Code" w:cs="Cascadia Cod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B3D3A"/>
    <w:multiLevelType w:val="hybridMultilevel"/>
    <w:tmpl w:val="4126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9443F"/>
    <w:multiLevelType w:val="hybridMultilevel"/>
    <w:tmpl w:val="D4A68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9"/>
  </w:num>
  <w:num w:numId="5">
    <w:abstractNumId w:val="0"/>
  </w:num>
  <w:num w:numId="6">
    <w:abstractNumId w:val="10"/>
  </w:num>
  <w:num w:numId="7">
    <w:abstractNumId w:val="4"/>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5F"/>
    <w:rsid w:val="000219C5"/>
    <w:rsid w:val="00053494"/>
    <w:rsid w:val="000778B5"/>
    <w:rsid w:val="000836DA"/>
    <w:rsid w:val="000C67BB"/>
    <w:rsid w:val="000D4B56"/>
    <w:rsid w:val="001A45BF"/>
    <w:rsid w:val="00203F91"/>
    <w:rsid w:val="0023284B"/>
    <w:rsid w:val="002378F0"/>
    <w:rsid w:val="002765D9"/>
    <w:rsid w:val="00307B06"/>
    <w:rsid w:val="00317A6E"/>
    <w:rsid w:val="00323C64"/>
    <w:rsid w:val="003353E7"/>
    <w:rsid w:val="00362207"/>
    <w:rsid w:val="0039645B"/>
    <w:rsid w:val="003D399F"/>
    <w:rsid w:val="003F6576"/>
    <w:rsid w:val="004118C0"/>
    <w:rsid w:val="00441D80"/>
    <w:rsid w:val="004C49B6"/>
    <w:rsid w:val="004D3AB5"/>
    <w:rsid w:val="004F45D8"/>
    <w:rsid w:val="00504E76"/>
    <w:rsid w:val="00575A12"/>
    <w:rsid w:val="00584696"/>
    <w:rsid w:val="00595B6D"/>
    <w:rsid w:val="005D5AE3"/>
    <w:rsid w:val="005E7225"/>
    <w:rsid w:val="0060530C"/>
    <w:rsid w:val="00656781"/>
    <w:rsid w:val="006921A8"/>
    <w:rsid w:val="006A0109"/>
    <w:rsid w:val="006E21B9"/>
    <w:rsid w:val="006F2947"/>
    <w:rsid w:val="00727989"/>
    <w:rsid w:val="00740448"/>
    <w:rsid w:val="0074344F"/>
    <w:rsid w:val="00751665"/>
    <w:rsid w:val="00774568"/>
    <w:rsid w:val="007F3DE0"/>
    <w:rsid w:val="0080092F"/>
    <w:rsid w:val="0083225F"/>
    <w:rsid w:val="00863B1E"/>
    <w:rsid w:val="0087102E"/>
    <w:rsid w:val="008B049D"/>
    <w:rsid w:val="00922E67"/>
    <w:rsid w:val="0095628A"/>
    <w:rsid w:val="00994024"/>
    <w:rsid w:val="009B0BCB"/>
    <w:rsid w:val="009B19B6"/>
    <w:rsid w:val="009C4775"/>
    <w:rsid w:val="009D2F2D"/>
    <w:rsid w:val="00A03B88"/>
    <w:rsid w:val="00A226F3"/>
    <w:rsid w:val="00A63241"/>
    <w:rsid w:val="00A703F7"/>
    <w:rsid w:val="00A75A89"/>
    <w:rsid w:val="00A931B4"/>
    <w:rsid w:val="00AD4C53"/>
    <w:rsid w:val="00B1437B"/>
    <w:rsid w:val="00B21F63"/>
    <w:rsid w:val="00B94D68"/>
    <w:rsid w:val="00BC0E8B"/>
    <w:rsid w:val="00C05E97"/>
    <w:rsid w:val="00C81807"/>
    <w:rsid w:val="00C93400"/>
    <w:rsid w:val="00CB3EDE"/>
    <w:rsid w:val="00CF3547"/>
    <w:rsid w:val="00CF6FB8"/>
    <w:rsid w:val="00D20CC9"/>
    <w:rsid w:val="00D21987"/>
    <w:rsid w:val="00D3119D"/>
    <w:rsid w:val="00D52CBE"/>
    <w:rsid w:val="00D55D5B"/>
    <w:rsid w:val="00DF7D42"/>
    <w:rsid w:val="00E13D4D"/>
    <w:rsid w:val="00E236AD"/>
    <w:rsid w:val="00E42EC3"/>
    <w:rsid w:val="00E47326"/>
    <w:rsid w:val="00E56A18"/>
    <w:rsid w:val="00E641F1"/>
    <w:rsid w:val="00E673EA"/>
    <w:rsid w:val="00ED4335"/>
    <w:rsid w:val="00EF4F68"/>
    <w:rsid w:val="00F143D0"/>
    <w:rsid w:val="00F2521F"/>
    <w:rsid w:val="00F361F0"/>
    <w:rsid w:val="00F84174"/>
    <w:rsid w:val="00FB53BE"/>
    <w:rsid w:val="00F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BE7"/>
  <w15:chartTrackingRefBased/>
  <w15:docId w15:val="{C5DD9EA6-52A9-4BB7-AE00-954DCD75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5F"/>
    <w:pPr>
      <w:ind w:left="720"/>
      <w:contextualSpacing/>
    </w:pPr>
  </w:style>
  <w:style w:type="paragraph" w:styleId="FootnoteText">
    <w:name w:val="footnote text"/>
    <w:basedOn w:val="Normal"/>
    <w:link w:val="FootnoteTextChar"/>
    <w:uiPriority w:val="99"/>
    <w:semiHidden/>
    <w:unhideWhenUsed/>
    <w:rsid w:val="00D20C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CC9"/>
    <w:rPr>
      <w:sz w:val="20"/>
      <w:szCs w:val="20"/>
    </w:rPr>
  </w:style>
  <w:style w:type="character" w:styleId="FootnoteReference">
    <w:name w:val="footnote reference"/>
    <w:basedOn w:val="DefaultParagraphFont"/>
    <w:uiPriority w:val="99"/>
    <w:semiHidden/>
    <w:unhideWhenUsed/>
    <w:rsid w:val="00D20CC9"/>
    <w:rPr>
      <w:vertAlign w:val="superscript"/>
    </w:rPr>
  </w:style>
  <w:style w:type="paragraph" w:styleId="Caption">
    <w:name w:val="caption"/>
    <w:basedOn w:val="Normal"/>
    <w:next w:val="Normal"/>
    <w:uiPriority w:val="35"/>
    <w:unhideWhenUsed/>
    <w:qFormat/>
    <w:rsid w:val="000C67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E2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1B9"/>
  </w:style>
  <w:style w:type="paragraph" w:styleId="Footer">
    <w:name w:val="footer"/>
    <w:basedOn w:val="Normal"/>
    <w:link w:val="FooterChar"/>
    <w:uiPriority w:val="99"/>
    <w:unhideWhenUsed/>
    <w:rsid w:val="006E2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4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D0FF-6FBF-4B2D-B7A7-961B9F48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7</Pages>
  <Words>2281</Words>
  <Characters>12238</Characters>
  <Application>Microsoft Office Word</Application>
  <DocSecurity>0</DocSecurity>
  <Lines>187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Connor P</dc:creator>
  <cp:keywords/>
  <dc:description/>
  <cp:lastModifiedBy>Sutton, Connor P</cp:lastModifiedBy>
  <cp:revision>14</cp:revision>
  <dcterms:created xsi:type="dcterms:W3CDTF">2021-12-12T18:36:00Z</dcterms:created>
  <dcterms:modified xsi:type="dcterms:W3CDTF">2021-12-15T23:09:00Z</dcterms:modified>
</cp:coreProperties>
</file>