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9360"/>
      </w:tblGrid>
      <w:tr w:rsidR="00A41CBA">
        <w:tc>
          <w:tcPr>
            <w:tcW w:w="9360" w:type="dxa"/>
            <w:tcBorders>
              <w:top w:val="nil"/>
              <w:left w:val="nil"/>
              <w:bottom w:val="nil"/>
              <w:right w:val="nil"/>
            </w:tcBorders>
            <w:shd w:val="clear" w:color="auto" w:fill="1A3C6E"/>
            <w:vAlign w:val="center"/>
          </w:tcPr>
          <w:p w:rsidR="00A41CBA" w:rsidRDefault="00A41CBA"/>
          <w:p w:rsidR="00A41CBA" w:rsidRDefault="00000000">
            <w:pPr>
              <w:spacing w:before="400" w:after="80"/>
              <w:jc w:val="center"/>
            </w:pPr>
            <w:r>
              <w:rPr>
                <w:rFonts w:ascii="Arial" w:hAnsi="Arial"/>
                <w:b/>
                <w:color w:val="FFFFFF"/>
                <w:sz w:val="52"/>
              </w:rPr>
              <w:t>TRINZO</w:t>
            </w:r>
          </w:p>
          <w:p w:rsidR="00A41CBA" w:rsidRDefault="00000000">
            <w:pPr>
              <w:spacing w:before="40" w:after="80"/>
              <w:jc w:val="center"/>
            </w:pPr>
            <w:r>
              <w:rPr>
                <w:rFonts w:ascii="Arial" w:hAnsi="Arial"/>
                <w:b/>
                <w:color w:val="CCDDEE"/>
                <w:sz w:val="36"/>
              </w:rPr>
              <w:t>AI Adoption Services</w:t>
            </w:r>
          </w:p>
          <w:p w:rsidR="00A41CBA" w:rsidRDefault="00000000">
            <w:pPr>
              <w:spacing w:before="40" w:after="400"/>
              <w:jc w:val="center"/>
            </w:pPr>
            <w:r>
              <w:rPr>
                <w:rFonts w:ascii="Arial" w:hAnsi="Arial"/>
                <w:color w:val="AABBCC"/>
                <w:sz w:val="26"/>
              </w:rPr>
              <w:t>End-to-End Commercial &amp; Delivery SOP</w:t>
            </w:r>
          </w:p>
        </w:tc>
      </w:tr>
    </w:tbl>
    <w:p w:rsidR="00A41CBA" w:rsidRDefault="00A41CBA">
      <w:pPr>
        <w:spacing w:before="20" w:after="20"/>
      </w:pPr>
    </w:p>
    <w:tbl>
      <w:tblPr>
        <w:tblStyle w:val="TableGrid"/>
        <w:tblW w:w="0" w:type="auto"/>
        <w:tblLook w:val="04A0" w:firstRow="1" w:lastRow="0" w:firstColumn="1" w:lastColumn="0" w:noHBand="0" w:noVBand="1"/>
      </w:tblPr>
      <w:tblGrid>
        <w:gridCol w:w="2340"/>
        <w:gridCol w:w="2340"/>
        <w:gridCol w:w="2340"/>
        <w:gridCol w:w="2340"/>
      </w:tblGrid>
      <w:tr w:rsidR="00A41CBA">
        <w:tc>
          <w:tcPr>
            <w:tcW w:w="2340" w:type="dxa"/>
            <w:tcBorders>
              <w:top w:val="nil"/>
              <w:left w:val="nil"/>
              <w:bottom w:val="nil"/>
              <w:right w:val="nil"/>
            </w:tcBorders>
            <w:shd w:val="clear" w:color="auto" w:fill="E8EEF4"/>
          </w:tcPr>
          <w:p w:rsidR="00A41CBA" w:rsidRDefault="00000000">
            <w:pPr>
              <w:spacing w:before="40" w:after="40"/>
            </w:pPr>
            <w:r>
              <w:rPr>
                <w:rFonts w:ascii="Arial" w:hAnsi="Arial"/>
                <w:b/>
                <w:color w:val="1A1A1A"/>
                <w:sz w:val="19"/>
              </w:rPr>
              <w:t>Document ID</w:t>
            </w:r>
          </w:p>
        </w:tc>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SOP-AIS-002</w:t>
            </w:r>
          </w:p>
        </w:tc>
        <w:tc>
          <w:tcPr>
            <w:tcW w:w="2340" w:type="dxa"/>
            <w:tcBorders>
              <w:top w:val="nil"/>
              <w:left w:val="nil"/>
              <w:bottom w:val="nil"/>
              <w:right w:val="nil"/>
            </w:tcBorders>
            <w:shd w:val="clear" w:color="auto" w:fill="E8EEF4"/>
          </w:tcPr>
          <w:p w:rsidR="00A41CBA" w:rsidRDefault="00000000">
            <w:pPr>
              <w:spacing w:before="40" w:after="40"/>
            </w:pPr>
            <w:r>
              <w:rPr>
                <w:rFonts w:ascii="Arial" w:hAnsi="Arial"/>
                <w:b/>
                <w:color w:val="1A1A1A"/>
                <w:sz w:val="19"/>
              </w:rPr>
              <w:t>Version</w:t>
            </w:r>
          </w:p>
        </w:tc>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2.0</w:t>
            </w:r>
          </w:p>
        </w:tc>
      </w:tr>
      <w:tr w:rsidR="00A41CBA">
        <w:tc>
          <w:tcPr>
            <w:tcW w:w="2340" w:type="dxa"/>
            <w:tcBorders>
              <w:top w:val="nil"/>
              <w:left w:val="nil"/>
              <w:bottom w:val="nil"/>
              <w:right w:val="nil"/>
            </w:tcBorders>
            <w:shd w:val="clear" w:color="auto" w:fill="E8EEF4"/>
          </w:tcPr>
          <w:p w:rsidR="00A41CBA" w:rsidRDefault="00000000">
            <w:pPr>
              <w:spacing w:before="40" w:after="40"/>
            </w:pPr>
            <w:r>
              <w:rPr>
                <w:rFonts w:ascii="Arial" w:hAnsi="Arial"/>
                <w:b/>
                <w:color w:val="1A1A1A"/>
                <w:sz w:val="19"/>
              </w:rPr>
              <w:t>Effective Date</w:t>
            </w:r>
          </w:p>
        </w:tc>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June 2026</w:t>
            </w:r>
          </w:p>
        </w:tc>
        <w:tc>
          <w:tcPr>
            <w:tcW w:w="2340" w:type="dxa"/>
            <w:tcBorders>
              <w:top w:val="nil"/>
              <w:left w:val="nil"/>
              <w:bottom w:val="nil"/>
              <w:right w:val="nil"/>
            </w:tcBorders>
            <w:shd w:val="clear" w:color="auto" w:fill="E8EEF4"/>
          </w:tcPr>
          <w:p w:rsidR="00A41CBA" w:rsidRDefault="00000000">
            <w:pPr>
              <w:spacing w:before="40" w:after="40"/>
            </w:pPr>
            <w:r>
              <w:rPr>
                <w:rFonts w:ascii="Arial" w:hAnsi="Arial"/>
                <w:b/>
                <w:color w:val="1A1A1A"/>
                <w:sz w:val="19"/>
              </w:rPr>
              <w:t>Owner</w:t>
            </w:r>
          </w:p>
        </w:tc>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Head of Innovation</w:t>
            </w:r>
          </w:p>
        </w:tc>
      </w:tr>
    </w:tbl>
    <w:p w:rsidR="00A41CBA" w:rsidRDefault="00A41CBA">
      <w:pPr>
        <w:spacing w:before="20" w:after="20"/>
      </w:pPr>
    </w:p>
    <w:p w:rsidR="00A41CBA" w:rsidRDefault="00A41CBA">
      <w:pPr>
        <w:spacing w:before="20" w:after="20"/>
      </w:pPr>
    </w:p>
    <w:p w:rsidR="00A41CBA" w:rsidRDefault="00000000">
      <w:pPr>
        <w:pBdr>
          <w:bottom w:val="single" w:sz="6" w:space="1" w:color="1A3C6E"/>
        </w:pBdr>
        <w:spacing w:before="320" w:after="80"/>
      </w:pPr>
      <w:r>
        <w:rPr>
          <w:rFonts w:ascii="Arial" w:hAnsi="Arial"/>
          <w:b/>
          <w:color w:val="1A3C6E"/>
          <w:sz w:val="28"/>
        </w:rPr>
        <w:t>1. Purpose &amp; Scope</w:t>
      </w:r>
    </w:p>
    <w:p w:rsidR="00A41CBA" w:rsidRDefault="00000000">
      <w:pPr>
        <w:spacing w:before="40" w:after="80"/>
      </w:pPr>
      <w:r>
        <w:rPr>
          <w:rFonts w:ascii="Arial" w:hAnsi="Arial"/>
          <w:color w:val="1A1A1A"/>
          <w:sz w:val="20"/>
        </w:rPr>
        <w:t>This SOP defines the standardised, repeatable lifecycle for Trinzo's Pillar 2 AI Adoption service lines. It governs every stage from sales lead intake through delivery and post-delivery account success. It applies to all Trinzo personnel and authorised contractors involved in the commercialisation and delivery of AI adoption services in the life sciences sector.</w:t>
      </w:r>
    </w:p>
    <w:p w:rsidR="00A41CBA" w:rsidRDefault="00000000">
      <w:pPr>
        <w:spacing w:before="40" w:after="80"/>
      </w:pPr>
      <w:r>
        <w:rPr>
          <w:rFonts w:ascii="Arial" w:hAnsi="Arial"/>
          <w:color w:val="1A1A1A"/>
          <w:sz w:val="20"/>
        </w:rPr>
        <w:t>Scope covers five service lines:</w:t>
      </w:r>
    </w:p>
    <w:p w:rsidR="00A41CBA" w:rsidRDefault="00000000">
      <w:pPr>
        <w:pStyle w:val="ListBullet"/>
        <w:spacing w:before="20" w:after="40"/>
      </w:pPr>
      <w:r>
        <w:rPr>
          <w:rFonts w:ascii="Arial" w:hAnsi="Arial"/>
          <w:color w:val="1A1A1A"/>
          <w:sz w:val="20"/>
        </w:rPr>
        <w:t>Training  (€30K)</w:t>
      </w:r>
    </w:p>
    <w:p w:rsidR="00A41CBA" w:rsidRDefault="00000000">
      <w:pPr>
        <w:pStyle w:val="ListBullet"/>
        <w:spacing w:before="20" w:after="40"/>
      </w:pPr>
      <w:r>
        <w:rPr>
          <w:rFonts w:ascii="Arial" w:hAnsi="Arial"/>
          <w:color w:val="1A1A1A"/>
          <w:sz w:val="20"/>
        </w:rPr>
        <w:t>Discovery Workshop  (€30K)</w:t>
      </w:r>
    </w:p>
    <w:p w:rsidR="00A41CBA" w:rsidRDefault="00000000">
      <w:pPr>
        <w:pStyle w:val="ListBullet"/>
        <w:spacing w:before="20" w:after="40"/>
      </w:pPr>
      <w:r>
        <w:rPr>
          <w:rFonts w:ascii="Arial" w:hAnsi="Arial"/>
          <w:color w:val="1A1A1A"/>
          <w:sz w:val="20"/>
        </w:rPr>
        <w:t>POC Factory  (~€200K)</w:t>
      </w:r>
    </w:p>
    <w:p w:rsidR="00A41CBA" w:rsidRDefault="00000000">
      <w:pPr>
        <w:pStyle w:val="ListBullet"/>
        <w:spacing w:before="20" w:after="40"/>
      </w:pPr>
      <w:r>
        <w:rPr>
          <w:rFonts w:ascii="Arial" w:hAnsi="Arial"/>
          <w:color w:val="1A1A1A"/>
          <w:sz w:val="20"/>
        </w:rPr>
        <w:t>Partner Implementation  (€200–300K)</w:t>
      </w:r>
    </w:p>
    <w:p w:rsidR="00A41CBA" w:rsidRDefault="00000000">
      <w:pPr>
        <w:pStyle w:val="ListBullet"/>
        <w:spacing w:before="20" w:after="40"/>
      </w:pPr>
      <w:r>
        <w:rPr>
          <w:rFonts w:ascii="Arial" w:hAnsi="Arial"/>
          <w:color w:val="1A1A1A"/>
          <w:sz w:val="20"/>
        </w:rPr>
        <w:t>Adoption Management  (€30K / tranche)</w:t>
      </w:r>
    </w:p>
    <w:p w:rsidR="00A41CBA" w:rsidRDefault="00A41CBA">
      <w:pPr>
        <w:spacing w:before="20" w:after="20"/>
      </w:pPr>
    </w:p>
    <w:p w:rsidR="00A41CBA" w:rsidRDefault="00000000">
      <w:pPr>
        <w:spacing w:before="40" w:after="80"/>
      </w:pPr>
      <w:r>
        <w:rPr>
          <w:rFonts w:ascii="Arial" w:hAnsi="Arial"/>
          <w:color w:val="1A1A1A"/>
          <w:sz w:val="20"/>
        </w:rPr>
        <w:t>The SOP bifurcates into two delivery tracks following Stage 3 (Discovery). Track A covers fast-turnaround engagements (Training, Discovery); Track B covers deep-regulated engagements (POC Factory, Partner Implementation). Adoption Management runs across both tracks as an ongoing retainer.</w:t>
      </w:r>
    </w:p>
    <w:p w:rsidR="00A41CBA" w:rsidRDefault="00000000">
      <w:pPr>
        <w:pBdr>
          <w:bottom w:val="single" w:sz="6" w:space="1" w:color="1A3C6E"/>
        </w:pBdr>
        <w:spacing w:before="320" w:after="80"/>
      </w:pPr>
      <w:r>
        <w:rPr>
          <w:rFonts w:ascii="Arial" w:hAnsi="Arial"/>
          <w:b/>
          <w:color w:val="1A3C6E"/>
          <w:sz w:val="28"/>
        </w:rPr>
        <w:t>2. The Trinzo Intellectual Anchor — The 80/10/10 Model</w:t>
      </w:r>
    </w:p>
    <w:p w:rsidR="00A41CBA" w:rsidRDefault="00000000">
      <w:pPr>
        <w:spacing w:before="40" w:after="80"/>
      </w:pPr>
      <w:r>
        <w:rPr>
          <w:rFonts w:ascii="Arial" w:hAnsi="Arial"/>
          <w:color w:val="1A1A1A"/>
          <w:sz w:val="20"/>
        </w:rPr>
        <w:t>Every stage of this process must be evaluated against this framework. It is the lens used in discovery, the organising principle of every proposal, and the framework all training and playbooks are built around.</w:t>
      </w:r>
    </w:p>
    <w:tbl>
      <w:tblPr>
        <w:tblStyle w:val="TableGrid"/>
        <w:tblW w:w="0" w:type="auto"/>
        <w:tblLook w:val="04A0" w:firstRow="1" w:lastRow="0" w:firstColumn="1" w:lastColumn="0" w:noHBand="0" w:noVBand="1"/>
      </w:tblPr>
      <w:tblGrid>
        <w:gridCol w:w="3120"/>
        <w:gridCol w:w="3120"/>
        <w:gridCol w:w="3120"/>
      </w:tblGrid>
      <w:tr w:rsidR="00A41CBA">
        <w:tc>
          <w:tcPr>
            <w:tcW w:w="3120"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Band</w:t>
            </w:r>
          </w:p>
        </w:tc>
        <w:tc>
          <w:tcPr>
            <w:tcW w:w="3120"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Definition</w:t>
            </w:r>
          </w:p>
        </w:tc>
        <w:tc>
          <w:tcPr>
            <w:tcW w:w="3120"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Trinzo's Role</w:t>
            </w:r>
          </w:p>
        </w:tc>
      </w:tr>
      <w:tr w:rsidR="00A41CBA">
        <w:tc>
          <w:tcPr>
            <w:tcW w:w="312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10% — Fully Automated</w:t>
            </w:r>
          </w:p>
        </w:tc>
        <w:tc>
          <w:tcPr>
            <w:tcW w:w="312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Deterministic, background tasks: structured data syncs, metadata migration, calculation execution. No clinical or quality judgment.</w:t>
            </w:r>
          </w:p>
        </w:tc>
        <w:tc>
          <w:tcPr>
            <w:tcW w:w="312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Not our focus. Inform clients it exists; do not build it as our engagement.</w:t>
            </w:r>
          </w:p>
        </w:tc>
      </w:tr>
      <w:tr w:rsidR="00A41CBA">
        <w:tc>
          <w:tcPr>
            <w:tcW w:w="312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80% — Human + AI (Core Focus)</w:t>
            </w:r>
          </w:p>
        </w:tc>
        <w:tc>
          <w:tcPr>
            <w:tcW w:w="312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 xml:space="preserve">Cognitive augmentation: AI drafts, analyses, and prepares documents (DHF, FMEA, CAPA, V&amp;V Protocols, SOPs). Mandatory human-in-the-loop review gated at </w:t>
            </w:r>
            <w:r>
              <w:rPr>
                <w:rFonts w:ascii="Arial" w:hAnsi="Arial"/>
                <w:color w:val="1A1A1A"/>
                <w:sz w:val="19"/>
              </w:rPr>
              <w:lastRenderedPageBreak/>
              <w:t>each step.</w:t>
            </w:r>
          </w:p>
        </w:tc>
        <w:tc>
          <w:tcPr>
            <w:tcW w:w="312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lastRenderedPageBreak/>
              <w:t>This is where Trinzo operates. Every engagement is scoped to improve performance in this band.</w:t>
            </w:r>
          </w:p>
        </w:tc>
      </w:tr>
      <w:tr w:rsidR="00A41CBA">
        <w:tc>
          <w:tcPr>
            <w:tcW w:w="312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10% — Human Only</w:t>
            </w:r>
          </w:p>
        </w:tc>
        <w:tc>
          <w:tcPr>
            <w:tcW w:w="312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High-stakes clinical assessments, final product releases, formal regulatory authorisations. AI plays no role.</w:t>
            </w:r>
          </w:p>
        </w:tc>
        <w:tc>
          <w:tcPr>
            <w:tcW w:w="312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Identify and protect this boundary. Defining it clearly is a core deliverable of every engagement.</w:t>
            </w:r>
          </w:p>
        </w:tc>
      </w:tr>
    </w:tbl>
    <w:p w:rsidR="00A41CBA" w:rsidRDefault="00A41CBA">
      <w:pPr>
        <w:spacing w:before="20" w:after="20"/>
      </w:pPr>
    </w:p>
    <w:p w:rsidR="00A41CBA" w:rsidRDefault="00000000">
      <w:pPr>
        <w:pBdr>
          <w:bottom w:val="single" w:sz="6" w:space="1" w:color="1A3C6E"/>
        </w:pBdr>
        <w:spacing w:before="320" w:after="80"/>
      </w:pPr>
      <w:r>
        <w:rPr>
          <w:rFonts w:ascii="Arial" w:hAnsi="Arial"/>
          <w:b/>
          <w:color w:val="1A3C6E"/>
          <w:sz w:val="28"/>
        </w:rPr>
        <w:t>3. Service Lines &amp; Track Assignment</w:t>
      </w:r>
    </w:p>
    <w:tbl>
      <w:tblPr>
        <w:tblStyle w:val="TableGrid"/>
        <w:tblW w:w="0" w:type="auto"/>
        <w:tblLook w:val="04A0" w:firstRow="1" w:lastRow="0" w:firstColumn="1" w:lastColumn="0" w:noHBand="0" w:noVBand="1"/>
      </w:tblPr>
      <w:tblGrid>
        <w:gridCol w:w="1872"/>
        <w:gridCol w:w="1872"/>
        <w:gridCol w:w="1872"/>
        <w:gridCol w:w="1872"/>
        <w:gridCol w:w="1872"/>
      </w:tblGrid>
      <w:tr w:rsidR="00A41CBA">
        <w:tc>
          <w:tcPr>
            <w:tcW w:w="1872"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Service Line</w:t>
            </w:r>
          </w:p>
        </w:tc>
        <w:tc>
          <w:tcPr>
            <w:tcW w:w="1872"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Fee</w:t>
            </w:r>
          </w:p>
        </w:tc>
        <w:tc>
          <w:tcPr>
            <w:tcW w:w="1872"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Track</w:t>
            </w:r>
          </w:p>
        </w:tc>
        <w:tc>
          <w:tcPr>
            <w:tcW w:w="1872"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Duration</w:t>
            </w:r>
          </w:p>
        </w:tc>
        <w:tc>
          <w:tcPr>
            <w:tcW w:w="1872"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Key Resourcing</w:t>
            </w:r>
          </w:p>
        </w:tc>
      </w:tr>
      <w:tr w:rsidR="00A41CBA">
        <w:tc>
          <w:tcPr>
            <w:tcW w:w="1872"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Training</w:t>
            </w:r>
          </w:p>
        </w:tc>
        <w:tc>
          <w:tcPr>
            <w:tcW w:w="1872"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~€30K</w:t>
            </w:r>
          </w:p>
        </w:tc>
        <w:tc>
          <w:tcPr>
            <w:tcW w:w="1872"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A</w:t>
            </w:r>
          </w:p>
        </w:tc>
        <w:tc>
          <w:tcPr>
            <w:tcW w:w="1872"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2–4 wks</w:t>
            </w:r>
          </w:p>
        </w:tc>
        <w:tc>
          <w:tcPr>
            <w:tcW w:w="1872"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Head of Innovation (AI Coach) + GxP SME if regulated. ~40–60h total.</w:t>
            </w:r>
          </w:p>
        </w:tc>
      </w:tr>
      <w:tr w:rsidR="00A41CBA">
        <w:tc>
          <w:tcPr>
            <w:tcW w:w="1872"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Discovery Workshop</w:t>
            </w:r>
          </w:p>
        </w:tc>
        <w:tc>
          <w:tcPr>
            <w:tcW w:w="1872"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~€30K</w:t>
            </w:r>
          </w:p>
        </w:tc>
        <w:tc>
          <w:tcPr>
            <w:tcW w:w="1872"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A</w:t>
            </w:r>
          </w:p>
        </w:tc>
        <w:tc>
          <w:tcPr>
            <w:tcW w:w="1872"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1–2 wks</w:t>
            </w:r>
          </w:p>
        </w:tc>
        <w:tc>
          <w:tcPr>
            <w:tcW w:w="1872"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Head of Innovation + DMAIC Facilitator + GxP SME if regulated. ~50h total.</w:t>
            </w:r>
          </w:p>
        </w:tc>
      </w:tr>
      <w:tr w:rsidR="00A41CBA">
        <w:tc>
          <w:tcPr>
            <w:tcW w:w="1872"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POC Factory</w:t>
            </w:r>
          </w:p>
        </w:tc>
        <w:tc>
          <w:tcPr>
            <w:tcW w:w="1872"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~€200K</w:t>
            </w:r>
          </w:p>
        </w:tc>
        <w:tc>
          <w:tcPr>
            <w:tcW w:w="1872"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B</w:t>
            </w:r>
          </w:p>
        </w:tc>
        <w:tc>
          <w:tcPr>
            <w:tcW w:w="1872"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6–10 wks</w:t>
            </w:r>
          </w:p>
        </w:tc>
        <w:tc>
          <w:tcPr>
            <w:tcW w:w="1872"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Sr AI/ML Engineer, Prompt Engineer, GxP SME, PM. ~300–400h.</w:t>
            </w:r>
          </w:p>
        </w:tc>
      </w:tr>
      <w:tr w:rsidR="00A41CBA">
        <w:tc>
          <w:tcPr>
            <w:tcW w:w="1872"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Partner Implementation</w:t>
            </w:r>
          </w:p>
        </w:tc>
        <w:tc>
          <w:tcPr>
            <w:tcW w:w="1872"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€200–300K</w:t>
            </w:r>
          </w:p>
        </w:tc>
        <w:tc>
          <w:tcPr>
            <w:tcW w:w="1872"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B</w:t>
            </w:r>
          </w:p>
        </w:tc>
        <w:tc>
          <w:tcPr>
            <w:tcW w:w="1872"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9–12 months</w:t>
            </w:r>
          </w:p>
        </w:tc>
        <w:tc>
          <w:tcPr>
            <w:tcW w:w="1872"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Full team: Sr AI Eng, Prompt Eng, Teams/SP Dev, GxP SME, PM. ~1,750h per batch.</w:t>
            </w:r>
          </w:p>
        </w:tc>
      </w:tr>
      <w:tr w:rsidR="00A41CBA">
        <w:tc>
          <w:tcPr>
            <w:tcW w:w="1872"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Adoption Management</w:t>
            </w:r>
          </w:p>
        </w:tc>
        <w:tc>
          <w:tcPr>
            <w:tcW w:w="1872"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€30K/tranche</w:t>
            </w:r>
          </w:p>
        </w:tc>
        <w:tc>
          <w:tcPr>
            <w:tcW w:w="1872"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A/B</w:t>
            </w:r>
          </w:p>
        </w:tc>
        <w:tc>
          <w:tcPr>
            <w:tcW w:w="1872"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Ongoing</w:t>
            </w:r>
          </w:p>
        </w:tc>
        <w:tc>
          <w:tcPr>
            <w:tcW w:w="1872"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Head of Innovation + PM. Light engineering unless custom prompt work required.</w:t>
            </w:r>
          </w:p>
        </w:tc>
      </w:tr>
    </w:tbl>
    <w:p w:rsidR="00A41CBA" w:rsidRDefault="00A41CBA">
      <w:pPr>
        <w:spacing w:before="20" w:after="20"/>
      </w:pPr>
    </w:p>
    <w:tbl>
      <w:tblPr>
        <w:tblStyle w:val="TableGrid"/>
        <w:tblW w:w="0" w:type="auto"/>
        <w:tblLook w:val="04A0" w:firstRow="1" w:lastRow="0" w:firstColumn="1" w:lastColumn="0" w:noHBand="0" w:noVBand="1"/>
      </w:tblPr>
      <w:tblGrid>
        <w:gridCol w:w="9360"/>
      </w:tblGrid>
      <w:tr w:rsidR="00A41CBA">
        <w:tc>
          <w:tcPr>
            <w:tcW w:w="9360" w:type="dxa"/>
            <w:tcBorders>
              <w:top w:val="single" w:sz="4" w:space="0" w:color="C57D00"/>
              <w:left w:val="single" w:sz="12" w:space="0" w:color="C57D00"/>
              <w:bottom w:val="single" w:sz="4" w:space="0" w:color="C57D00"/>
              <w:right w:val="single" w:sz="4" w:space="0" w:color="C57D00"/>
            </w:tcBorders>
            <w:shd w:val="clear" w:color="auto" w:fill="FFF3CD"/>
          </w:tcPr>
          <w:p w:rsidR="00A41CBA" w:rsidRDefault="00000000">
            <w:pPr>
              <w:spacing w:before="60" w:after="60"/>
            </w:pPr>
            <w:r>
              <w:rPr>
                <w:rFonts w:ascii="Arial" w:hAnsi="Arial"/>
                <w:color w:val="1A1A1A"/>
                <w:sz w:val="19"/>
              </w:rPr>
              <w:t>Pre-Sell Principle: The Adoption Management retainer (€30K/tranche) must be structured as an optional "Phase 3: Sustainability &amp; Optimisation" add-on in the initial SOW for every Track B engagement — not pitched separately at handover. A signed SOW with an optional Phase 3 converts at a far higher rate than a fresh proposal to a client who is already tired.</w:t>
            </w:r>
          </w:p>
        </w:tc>
      </w:tr>
    </w:tbl>
    <w:p w:rsidR="00A41CBA" w:rsidRDefault="00A41CBA">
      <w:pPr>
        <w:spacing w:before="20" w:after="20"/>
      </w:pPr>
    </w:p>
    <w:p w:rsidR="00A41CBA" w:rsidRDefault="00000000">
      <w:r>
        <w:br w:type="page"/>
      </w:r>
    </w:p>
    <w:p w:rsidR="00A41CBA" w:rsidRDefault="00000000">
      <w:pPr>
        <w:pBdr>
          <w:bottom w:val="single" w:sz="6" w:space="1" w:color="1A3C6E"/>
        </w:pBdr>
        <w:spacing w:before="320" w:after="80"/>
      </w:pPr>
      <w:r>
        <w:rPr>
          <w:rFonts w:ascii="Arial" w:hAnsi="Arial"/>
          <w:b/>
          <w:color w:val="1A3C6E"/>
          <w:sz w:val="28"/>
        </w:rPr>
        <w:lastRenderedPageBreak/>
        <w:t>4. The End-to-End Process — 8 Stages</w:t>
      </w:r>
    </w:p>
    <w:p w:rsidR="00A41CBA" w:rsidRDefault="00000000">
      <w:pPr>
        <w:spacing w:before="40" w:after="80"/>
      </w:pPr>
      <w:r>
        <w:rPr>
          <w:rFonts w:ascii="Arial" w:hAnsi="Arial"/>
          <w:color w:val="1A1A1A"/>
          <w:sz w:val="20"/>
        </w:rPr>
        <w:t>The process runs across both tracks. Stages 1–3 are common to all engagements. Stages 4–6 bifurcate into Track A or Track B. Stages 7–8 are common to all.</w:t>
      </w:r>
    </w:p>
    <w:tbl>
      <w:tblPr>
        <w:tblStyle w:val="TableGrid"/>
        <w:tblW w:w="0" w:type="auto"/>
        <w:tblLook w:val="04A0" w:firstRow="1" w:lastRow="0" w:firstColumn="1" w:lastColumn="0" w:noHBand="0" w:noVBand="1"/>
      </w:tblPr>
      <w:tblGrid>
        <w:gridCol w:w="1170"/>
        <w:gridCol w:w="1170"/>
        <w:gridCol w:w="1170"/>
        <w:gridCol w:w="1170"/>
        <w:gridCol w:w="1170"/>
        <w:gridCol w:w="1170"/>
        <w:gridCol w:w="1170"/>
        <w:gridCol w:w="1170"/>
      </w:tblGrid>
      <w:tr w:rsidR="00A41CBA">
        <w:tc>
          <w:tcPr>
            <w:tcW w:w="1170" w:type="dxa"/>
            <w:tcBorders>
              <w:top w:val="nil"/>
              <w:left w:val="nil"/>
              <w:bottom w:val="nil"/>
              <w:right w:val="nil"/>
            </w:tcBorders>
            <w:shd w:val="clear" w:color="auto" w:fill="1A3C6E"/>
            <w:vAlign w:val="center"/>
          </w:tcPr>
          <w:p w:rsidR="00A41CBA" w:rsidRDefault="00000000">
            <w:pPr>
              <w:spacing w:before="40" w:after="40"/>
              <w:jc w:val="center"/>
            </w:pPr>
            <w:r>
              <w:rPr>
                <w:rFonts w:ascii="Arial" w:hAnsi="Arial"/>
                <w:b/>
                <w:color w:val="FFFFFF"/>
                <w:sz w:val="28"/>
              </w:rPr>
              <w:t>01</w:t>
            </w:r>
          </w:p>
        </w:tc>
        <w:tc>
          <w:tcPr>
            <w:tcW w:w="1170" w:type="dxa"/>
            <w:tcBorders>
              <w:top w:val="nil"/>
              <w:left w:val="nil"/>
              <w:bottom w:val="nil"/>
              <w:right w:val="nil"/>
            </w:tcBorders>
            <w:shd w:val="clear" w:color="auto" w:fill="1A3C6E"/>
            <w:vAlign w:val="center"/>
          </w:tcPr>
          <w:p w:rsidR="00A41CBA" w:rsidRDefault="00000000">
            <w:pPr>
              <w:spacing w:before="40" w:after="40"/>
              <w:jc w:val="center"/>
            </w:pPr>
            <w:r>
              <w:rPr>
                <w:rFonts w:ascii="Arial" w:hAnsi="Arial"/>
                <w:b/>
                <w:color w:val="FFFFFF"/>
                <w:sz w:val="28"/>
              </w:rPr>
              <w:t>02</w:t>
            </w:r>
          </w:p>
        </w:tc>
        <w:tc>
          <w:tcPr>
            <w:tcW w:w="1170" w:type="dxa"/>
            <w:tcBorders>
              <w:top w:val="nil"/>
              <w:left w:val="nil"/>
              <w:bottom w:val="nil"/>
              <w:right w:val="nil"/>
            </w:tcBorders>
            <w:shd w:val="clear" w:color="auto" w:fill="2E75B6"/>
            <w:vAlign w:val="center"/>
          </w:tcPr>
          <w:p w:rsidR="00A41CBA" w:rsidRDefault="00000000">
            <w:pPr>
              <w:spacing w:before="40" w:after="40"/>
              <w:jc w:val="center"/>
            </w:pPr>
            <w:r>
              <w:rPr>
                <w:rFonts w:ascii="Arial" w:hAnsi="Arial"/>
                <w:b/>
                <w:color w:val="FFFFFF"/>
                <w:sz w:val="28"/>
              </w:rPr>
              <w:t>03</w:t>
            </w:r>
          </w:p>
        </w:tc>
        <w:tc>
          <w:tcPr>
            <w:tcW w:w="1170" w:type="dxa"/>
            <w:tcBorders>
              <w:top w:val="nil"/>
              <w:left w:val="nil"/>
              <w:bottom w:val="nil"/>
              <w:right w:val="nil"/>
            </w:tcBorders>
            <w:shd w:val="clear" w:color="auto" w:fill="2E75B6"/>
            <w:vAlign w:val="center"/>
          </w:tcPr>
          <w:p w:rsidR="00A41CBA" w:rsidRDefault="00000000">
            <w:pPr>
              <w:spacing w:before="40" w:after="40"/>
              <w:jc w:val="center"/>
            </w:pPr>
            <w:r>
              <w:rPr>
                <w:rFonts w:ascii="Arial" w:hAnsi="Arial"/>
                <w:b/>
                <w:color w:val="FFFFFF"/>
                <w:sz w:val="28"/>
              </w:rPr>
              <w:t>04</w:t>
            </w:r>
          </w:p>
        </w:tc>
        <w:tc>
          <w:tcPr>
            <w:tcW w:w="1170" w:type="dxa"/>
            <w:tcBorders>
              <w:top w:val="nil"/>
              <w:left w:val="nil"/>
              <w:bottom w:val="nil"/>
              <w:right w:val="nil"/>
            </w:tcBorders>
            <w:shd w:val="clear" w:color="auto" w:fill="10548A"/>
            <w:vAlign w:val="center"/>
          </w:tcPr>
          <w:p w:rsidR="00A41CBA" w:rsidRDefault="00000000">
            <w:pPr>
              <w:spacing w:before="40" w:after="40"/>
              <w:jc w:val="center"/>
            </w:pPr>
            <w:r>
              <w:rPr>
                <w:rFonts w:ascii="Arial" w:hAnsi="Arial"/>
                <w:b/>
                <w:color w:val="FFFFFF"/>
                <w:sz w:val="28"/>
              </w:rPr>
              <w:t>05</w:t>
            </w:r>
          </w:p>
        </w:tc>
        <w:tc>
          <w:tcPr>
            <w:tcW w:w="1170" w:type="dxa"/>
            <w:tcBorders>
              <w:top w:val="nil"/>
              <w:left w:val="nil"/>
              <w:bottom w:val="nil"/>
              <w:right w:val="nil"/>
            </w:tcBorders>
            <w:shd w:val="clear" w:color="auto" w:fill="10548A"/>
            <w:vAlign w:val="center"/>
          </w:tcPr>
          <w:p w:rsidR="00A41CBA" w:rsidRDefault="00000000">
            <w:pPr>
              <w:spacing w:before="40" w:after="40"/>
              <w:jc w:val="center"/>
            </w:pPr>
            <w:r>
              <w:rPr>
                <w:rFonts w:ascii="Arial" w:hAnsi="Arial"/>
                <w:b/>
                <w:color w:val="FFFFFF"/>
                <w:sz w:val="28"/>
              </w:rPr>
              <w:t>06</w:t>
            </w:r>
          </w:p>
        </w:tc>
        <w:tc>
          <w:tcPr>
            <w:tcW w:w="1170" w:type="dxa"/>
            <w:tcBorders>
              <w:top w:val="nil"/>
              <w:left w:val="nil"/>
              <w:bottom w:val="nil"/>
              <w:right w:val="nil"/>
            </w:tcBorders>
            <w:shd w:val="clear" w:color="auto" w:fill="107C10"/>
            <w:vAlign w:val="center"/>
          </w:tcPr>
          <w:p w:rsidR="00A41CBA" w:rsidRDefault="00000000">
            <w:pPr>
              <w:spacing w:before="40" w:after="40"/>
              <w:jc w:val="center"/>
            </w:pPr>
            <w:r>
              <w:rPr>
                <w:rFonts w:ascii="Arial" w:hAnsi="Arial"/>
                <w:b/>
                <w:color w:val="FFFFFF"/>
                <w:sz w:val="28"/>
              </w:rPr>
              <w:t>07</w:t>
            </w:r>
          </w:p>
        </w:tc>
        <w:tc>
          <w:tcPr>
            <w:tcW w:w="1170" w:type="dxa"/>
            <w:tcBorders>
              <w:top w:val="nil"/>
              <w:left w:val="nil"/>
              <w:bottom w:val="nil"/>
              <w:right w:val="nil"/>
            </w:tcBorders>
            <w:shd w:val="clear" w:color="auto" w:fill="107C10"/>
            <w:vAlign w:val="center"/>
          </w:tcPr>
          <w:p w:rsidR="00A41CBA" w:rsidRDefault="00000000">
            <w:pPr>
              <w:spacing w:before="40" w:after="40"/>
              <w:jc w:val="center"/>
            </w:pPr>
            <w:r>
              <w:rPr>
                <w:rFonts w:ascii="Arial" w:hAnsi="Arial"/>
                <w:b/>
                <w:color w:val="FFFFFF"/>
                <w:sz w:val="28"/>
              </w:rPr>
              <w:t>08</w:t>
            </w:r>
          </w:p>
        </w:tc>
      </w:tr>
      <w:tr w:rsidR="00A41CBA">
        <w:tc>
          <w:tcPr>
            <w:tcW w:w="1170" w:type="dxa"/>
            <w:tcBorders>
              <w:top w:val="nil"/>
              <w:left w:val="nil"/>
              <w:bottom w:val="nil"/>
              <w:right w:val="nil"/>
            </w:tcBorders>
            <w:shd w:val="clear" w:color="auto" w:fill="1A3C6E"/>
            <w:vAlign w:val="center"/>
          </w:tcPr>
          <w:p w:rsidR="00A41CBA" w:rsidRDefault="00000000">
            <w:pPr>
              <w:spacing w:before="40" w:after="40"/>
              <w:jc w:val="center"/>
            </w:pPr>
            <w:r>
              <w:rPr>
                <w:rFonts w:ascii="Arial" w:hAnsi="Arial"/>
                <w:color w:val="FFFFFF"/>
                <w:sz w:val="16"/>
              </w:rPr>
              <w:t>Lead</w:t>
            </w:r>
            <w:r>
              <w:rPr>
                <w:rFonts w:ascii="Arial" w:hAnsi="Arial"/>
                <w:color w:val="FFFFFF"/>
                <w:sz w:val="16"/>
              </w:rPr>
              <w:br/>
              <w:t>Intake</w:t>
            </w:r>
          </w:p>
        </w:tc>
        <w:tc>
          <w:tcPr>
            <w:tcW w:w="1170" w:type="dxa"/>
            <w:tcBorders>
              <w:top w:val="nil"/>
              <w:left w:val="nil"/>
              <w:bottom w:val="nil"/>
              <w:right w:val="nil"/>
            </w:tcBorders>
            <w:shd w:val="clear" w:color="auto" w:fill="1A3C6E"/>
            <w:vAlign w:val="center"/>
          </w:tcPr>
          <w:p w:rsidR="00A41CBA" w:rsidRDefault="00000000">
            <w:pPr>
              <w:spacing w:before="40" w:after="40"/>
              <w:jc w:val="center"/>
            </w:pPr>
            <w:r>
              <w:rPr>
                <w:rFonts w:ascii="Arial" w:hAnsi="Arial"/>
                <w:color w:val="FFFFFF"/>
                <w:sz w:val="16"/>
              </w:rPr>
              <w:t>Qualify</w:t>
            </w:r>
            <w:r>
              <w:rPr>
                <w:rFonts w:ascii="Arial" w:hAnsi="Arial"/>
                <w:color w:val="FFFFFF"/>
                <w:sz w:val="16"/>
              </w:rPr>
              <w:br/>
              <w:t>&amp; Scope</w:t>
            </w:r>
          </w:p>
        </w:tc>
        <w:tc>
          <w:tcPr>
            <w:tcW w:w="1170" w:type="dxa"/>
            <w:tcBorders>
              <w:top w:val="nil"/>
              <w:left w:val="nil"/>
              <w:bottom w:val="nil"/>
              <w:right w:val="nil"/>
            </w:tcBorders>
            <w:shd w:val="clear" w:color="auto" w:fill="2E75B6"/>
            <w:vAlign w:val="center"/>
          </w:tcPr>
          <w:p w:rsidR="00A41CBA" w:rsidRDefault="00000000">
            <w:pPr>
              <w:spacing w:before="40" w:after="40"/>
              <w:jc w:val="center"/>
            </w:pPr>
            <w:r>
              <w:rPr>
                <w:rFonts w:ascii="Arial" w:hAnsi="Arial"/>
                <w:color w:val="FFFFFF"/>
                <w:sz w:val="16"/>
              </w:rPr>
              <w:t>Discovery</w:t>
            </w:r>
            <w:r>
              <w:rPr>
                <w:rFonts w:ascii="Arial" w:hAnsi="Arial"/>
                <w:color w:val="FFFFFF"/>
                <w:sz w:val="16"/>
              </w:rPr>
              <w:br/>
              <w:t>Call</w:t>
            </w:r>
          </w:p>
        </w:tc>
        <w:tc>
          <w:tcPr>
            <w:tcW w:w="1170" w:type="dxa"/>
            <w:tcBorders>
              <w:top w:val="nil"/>
              <w:left w:val="nil"/>
              <w:bottom w:val="nil"/>
              <w:right w:val="nil"/>
            </w:tcBorders>
            <w:shd w:val="clear" w:color="auto" w:fill="2E75B6"/>
            <w:vAlign w:val="center"/>
          </w:tcPr>
          <w:p w:rsidR="00A41CBA" w:rsidRDefault="00000000">
            <w:pPr>
              <w:spacing w:before="40" w:after="40"/>
              <w:jc w:val="center"/>
            </w:pPr>
            <w:r>
              <w:rPr>
                <w:rFonts w:ascii="Arial" w:hAnsi="Arial"/>
                <w:color w:val="FFFFFF"/>
                <w:sz w:val="16"/>
              </w:rPr>
              <w:t>Proposal</w:t>
            </w:r>
            <w:r>
              <w:rPr>
                <w:rFonts w:ascii="Arial" w:hAnsi="Arial"/>
                <w:color w:val="FFFFFF"/>
                <w:sz w:val="16"/>
              </w:rPr>
              <w:br/>
              <w:t>&amp; SOW</w:t>
            </w:r>
          </w:p>
        </w:tc>
        <w:tc>
          <w:tcPr>
            <w:tcW w:w="1170" w:type="dxa"/>
            <w:tcBorders>
              <w:top w:val="nil"/>
              <w:left w:val="nil"/>
              <w:bottom w:val="nil"/>
              <w:right w:val="nil"/>
            </w:tcBorders>
            <w:shd w:val="clear" w:color="auto" w:fill="10548A"/>
            <w:vAlign w:val="center"/>
          </w:tcPr>
          <w:p w:rsidR="00A41CBA" w:rsidRDefault="00000000">
            <w:pPr>
              <w:spacing w:before="40" w:after="40"/>
              <w:jc w:val="center"/>
            </w:pPr>
            <w:r>
              <w:rPr>
                <w:rFonts w:ascii="Arial" w:hAnsi="Arial"/>
                <w:color w:val="FFFFFF"/>
                <w:sz w:val="16"/>
              </w:rPr>
              <w:t>Kick-off</w:t>
            </w:r>
          </w:p>
        </w:tc>
        <w:tc>
          <w:tcPr>
            <w:tcW w:w="1170" w:type="dxa"/>
            <w:tcBorders>
              <w:top w:val="nil"/>
              <w:left w:val="nil"/>
              <w:bottom w:val="nil"/>
              <w:right w:val="nil"/>
            </w:tcBorders>
            <w:shd w:val="clear" w:color="auto" w:fill="10548A"/>
            <w:vAlign w:val="center"/>
          </w:tcPr>
          <w:p w:rsidR="00A41CBA" w:rsidRDefault="00000000">
            <w:pPr>
              <w:spacing w:before="40" w:after="40"/>
              <w:jc w:val="center"/>
            </w:pPr>
            <w:r>
              <w:rPr>
                <w:rFonts w:ascii="Arial" w:hAnsi="Arial"/>
                <w:color w:val="FFFFFF"/>
                <w:sz w:val="16"/>
              </w:rPr>
              <w:t>Delivery</w:t>
            </w:r>
          </w:p>
        </w:tc>
        <w:tc>
          <w:tcPr>
            <w:tcW w:w="1170" w:type="dxa"/>
            <w:tcBorders>
              <w:top w:val="nil"/>
              <w:left w:val="nil"/>
              <w:bottom w:val="nil"/>
              <w:right w:val="nil"/>
            </w:tcBorders>
            <w:shd w:val="clear" w:color="auto" w:fill="107C10"/>
            <w:vAlign w:val="center"/>
          </w:tcPr>
          <w:p w:rsidR="00A41CBA" w:rsidRDefault="00000000">
            <w:pPr>
              <w:spacing w:before="40" w:after="40"/>
              <w:jc w:val="center"/>
            </w:pPr>
            <w:r>
              <w:rPr>
                <w:rFonts w:ascii="Arial" w:hAnsi="Arial"/>
                <w:color w:val="FFFFFF"/>
                <w:sz w:val="16"/>
              </w:rPr>
              <w:t>Close &amp;</w:t>
            </w:r>
            <w:r>
              <w:rPr>
                <w:rFonts w:ascii="Arial" w:hAnsi="Arial"/>
                <w:color w:val="FFFFFF"/>
                <w:sz w:val="16"/>
              </w:rPr>
              <w:br/>
              <w:t>Handover</w:t>
            </w:r>
          </w:p>
        </w:tc>
        <w:tc>
          <w:tcPr>
            <w:tcW w:w="1170" w:type="dxa"/>
            <w:tcBorders>
              <w:top w:val="nil"/>
              <w:left w:val="nil"/>
              <w:bottom w:val="nil"/>
              <w:right w:val="nil"/>
            </w:tcBorders>
            <w:shd w:val="clear" w:color="auto" w:fill="107C10"/>
            <w:vAlign w:val="center"/>
          </w:tcPr>
          <w:p w:rsidR="00A41CBA" w:rsidRDefault="00000000">
            <w:pPr>
              <w:spacing w:before="40" w:after="40"/>
              <w:jc w:val="center"/>
            </w:pPr>
            <w:r>
              <w:rPr>
                <w:rFonts w:ascii="Arial" w:hAnsi="Arial"/>
                <w:color w:val="FFFFFF"/>
                <w:sz w:val="16"/>
              </w:rPr>
              <w:t>Post-</w:t>
            </w:r>
            <w:r>
              <w:rPr>
                <w:rFonts w:ascii="Arial" w:hAnsi="Arial"/>
                <w:color w:val="FFFFFF"/>
                <w:sz w:val="16"/>
              </w:rPr>
              <w:br/>
              <w:t>Delivery</w:t>
            </w:r>
          </w:p>
        </w:tc>
      </w:tr>
    </w:tbl>
    <w:p w:rsidR="00A41CBA" w:rsidRDefault="00A41CBA">
      <w:pPr>
        <w:spacing w:before="20" w:after="20"/>
      </w:pPr>
    </w:p>
    <w:p w:rsidR="00A41CBA" w:rsidRDefault="00A41CBA">
      <w:pPr>
        <w:spacing w:before="20" w:after="20"/>
      </w:pPr>
    </w:p>
    <w:tbl>
      <w:tblPr>
        <w:tblStyle w:val="TableGrid"/>
        <w:tblW w:w="0" w:type="auto"/>
        <w:tblLook w:val="04A0" w:firstRow="1" w:lastRow="0" w:firstColumn="1" w:lastColumn="0" w:noHBand="0" w:noVBand="1"/>
      </w:tblPr>
      <w:tblGrid>
        <w:gridCol w:w="4680"/>
        <w:gridCol w:w="4680"/>
      </w:tblGrid>
      <w:tr w:rsidR="00A41CBA">
        <w:tc>
          <w:tcPr>
            <w:tcW w:w="4680" w:type="dxa"/>
            <w:tcBorders>
              <w:top w:val="nil"/>
              <w:left w:val="nil"/>
              <w:bottom w:val="nil"/>
              <w:right w:val="nil"/>
            </w:tcBorders>
            <w:shd w:val="clear" w:color="auto" w:fill="1A3C6E"/>
            <w:vAlign w:val="center"/>
          </w:tcPr>
          <w:p w:rsidR="00A41CBA" w:rsidRDefault="00000000">
            <w:pPr>
              <w:spacing w:before="40" w:after="40"/>
              <w:jc w:val="center"/>
            </w:pPr>
            <w:r>
              <w:rPr>
                <w:rFonts w:ascii="Arial" w:hAnsi="Arial"/>
                <w:b/>
                <w:color w:val="FFFFFF"/>
                <w:sz w:val="36"/>
              </w:rPr>
              <w:t>01</w:t>
            </w:r>
          </w:p>
        </w:tc>
        <w:tc>
          <w:tcPr>
            <w:tcW w:w="4680" w:type="dxa"/>
            <w:tcBorders>
              <w:top w:val="nil"/>
              <w:left w:val="nil"/>
              <w:bottom w:val="nil"/>
              <w:right w:val="nil"/>
            </w:tcBorders>
            <w:shd w:val="clear" w:color="auto" w:fill="2E75B6"/>
            <w:vAlign w:val="center"/>
          </w:tcPr>
          <w:p w:rsidR="00A41CBA" w:rsidRDefault="00000000">
            <w:pPr>
              <w:spacing w:before="80" w:after="80"/>
            </w:pPr>
            <w:r>
              <w:rPr>
                <w:rFonts w:ascii="Arial" w:hAnsi="Arial"/>
                <w:b/>
                <w:color w:val="FFFFFF"/>
                <w:sz w:val="24"/>
              </w:rPr>
              <w:t xml:space="preserve">Lead Intake &amp; Qualification   </w:t>
            </w:r>
            <w:r>
              <w:rPr>
                <w:rFonts w:ascii="Arial" w:hAnsi="Arial"/>
                <w:color w:val="AABBCC"/>
                <w:sz w:val="18"/>
              </w:rPr>
              <w:t>Trigger: Sales identifies an AI opportunity</w:t>
            </w:r>
          </w:p>
        </w:tc>
      </w:tr>
    </w:tbl>
    <w:p w:rsidR="00A41CBA" w:rsidRDefault="00A41CBA">
      <w:pPr>
        <w:spacing w:before="20" w:after="20"/>
      </w:pPr>
    </w:p>
    <w:p w:rsidR="00A41CBA" w:rsidRDefault="00000000">
      <w:pPr>
        <w:spacing w:before="200" w:after="60"/>
      </w:pPr>
      <w:r>
        <w:rPr>
          <w:rFonts w:ascii="Arial" w:hAnsi="Arial"/>
          <w:b/>
          <w:color w:val="2E75B6"/>
        </w:rPr>
        <w:t>1.1  Automated Pre-Sales Triage</w:t>
      </w:r>
    </w:p>
    <w:p w:rsidR="00A41CBA" w:rsidRDefault="00000000">
      <w:pPr>
        <w:spacing w:before="40" w:after="80"/>
      </w:pPr>
      <w:r>
        <w:rPr>
          <w:rFonts w:ascii="Arial" w:hAnsi="Arial"/>
          <w:color w:val="1A1A1A"/>
          <w:sz w:val="20"/>
        </w:rPr>
        <w:t>On receipt of a new lead, the LUCE Agent (Pillar 3 back-office) automatically scrapes the client's public regulatory history — FDA warning letters, 483 filings, EMA findings, recalled devices — and populates a Client Pre-Sales Context Brief. This brief is reviewed by the Head of Innovation within 24 hours.</w:t>
      </w:r>
    </w:p>
    <w:p w:rsidR="00A41CBA" w:rsidRDefault="00000000">
      <w:pPr>
        <w:spacing w:before="40" w:after="80"/>
      </w:pPr>
      <w:r>
        <w:rPr>
          <w:rFonts w:ascii="Arial" w:hAnsi="Arial"/>
          <w:b/>
          <w:color w:val="1A1A1A"/>
          <w:sz w:val="20"/>
        </w:rPr>
        <w:t>The brief captures:</w:t>
      </w:r>
    </w:p>
    <w:p w:rsidR="00A41CBA" w:rsidRDefault="00000000">
      <w:pPr>
        <w:pStyle w:val="ListBullet"/>
        <w:spacing w:before="20" w:after="40"/>
      </w:pPr>
      <w:r>
        <w:rPr>
          <w:rFonts w:ascii="Arial" w:hAnsi="Arial"/>
          <w:color w:val="1A1A1A"/>
          <w:sz w:val="20"/>
        </w:rPr>
        <w:t>Company size, sector, and therapeutic/device areas</w:t>
      </w:r>
    </w:p>
    <w:p w:rsidR="00A41CBA" w:rsidRDefault="00000000">
      <w:pPr>
        <w:pStyle w:val="ListBullet"/>
        <w:spacing w:before="20" w:after="40"/>
      </w:pPr>
      <w:r>
        <w:rPr>
          <w:rFonts w:ascii="Arial" w:hAnsi="Arial"/>
          <w:color w:val="1A1A1A"/>
          <w:sz w:val="20"/>
        </w:rPr>
        <w:t>Primary regulatory trigger (active warning letter, CAPA backlog, DHF remediation, general AI transformation)</w:t>
      </w:r>
    </w:p>
    <w:p w:rsidR="00A41CBA" w:rsidRDefault="00000000">
      <w:pPr>
        <w:pStyle w:val="ListBullet"/>
        <w:spacing w:before="20" w:after="40"/>
      </w:pPr>
      <w:r>
        <w:rPr>
          <w:rFonts w:ascii="Arial" w:hAnsi="Arial"/>
          <w:color w:val="1A1A1A"/>
          <w:sz w:val="20"/>
        </w:rPr>
        <w:t>Existing system landscape (eQMS: Greenlight Guru, TrackWise, MasterControl, MasterControl, or Microsoft 365 / Google Workspace)</w:t>
      </w:r>
    </w:p>
    <w:p w:rsidR="00A41CBA" w:rsidRDefault="00000000">
      <w:pPr>
        <w:pStyle w:val="ListBullet"/>
        <w:spacing w:before="20" w:after="40"/>
      </w:pPr>
      <w:r>
        <w:rPr>
          <w:rFonts w:ascii="Arial" w:hAnsi="Arial"/>
          <w:color w:val="1A1A1A"/>
          <w:sz w:val="20"/>
        </w:rPr>
        <w:t>Any prior Trinzo relationship or proposals</w:t>
      </w:r>
    </w:p>
    <w:p w:rsidR="00A41CBA" w:rsidRDefault="00000000">
      <w:pPr>
        <w:spacing w:before="200" w:after="60"/>
      </w:pPr>
      <w:r>
        <w:rPr>
          <w:rFonts w:ascii="Arial" w:hAnsi="Arial"/>
          <w:b/>
          <w:color w:val="2E75B6"/>
        </w:rPr>
        <w:t>1.2  Lead Intake Checklist</w:t>
      </w:r>
    </w:p>
    <w:tbl>
      <w:tblPr>
        <w:tblStyle w:val="TableGrid"/>
        <w:tblW w:w="0" w:type="auto"/>
        <w:tblLook w:val="04A0" w:firstRow="1" w:lastRow="0" w:firstColumn="1" w:lastColumn="0" w:noHBand="0" w:noVBand="1"/>
      </w:tblPr>
      <w:tblGrid>
        <w:gridCol w:w="4680"/>
        <w:gridCol w:w="4680"/>
      </w:tblGrid>
      <w:tr w:rsidR="00A41CBA">
        <w:tc>
          <w:tcPr>
            <w:tcW w:w="4680"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Checklist Item</w:t>
            </w:r>
          </w:p>
        </w:tc>
        <w:tc>
          <w:tcPr>
            <w:tcW w:w="4680"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Notes / Guidance</w:t>
            </w:r>
          </w:p>
        </w:tc>
      </w:tr>
      <w:tr w:rsidR="00A41CBA">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  Client name, sector, and primary contact confirmed</w:t>
            </w:r>
          </w:p>
        </w:tc>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Life sciences sub-sector matters — pharma vs medtech vs CRO changes the GxP profile</w:t>
            </w:r>
          </w:p>
        </w:tc>
      </w:tr>
      <w:tr w:rsidR="00A41CBA">
        <w:tc>
          <w:tcPr>
            <w:tcW w:w="468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  Primary regulatory trigger identified</w:t>
            </w:r>
          </w:p>
        </w:tc>
        <w:tc>
          <w:tcPr>
            <w:tcW w:w="468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Warning letter, audit finding, inspection prep, or general digital transformation</w:t>
            </w:r>
          </w:p>
        </w:tc>
      </w:tr>
      <w:tr w:rsidR="00A41CBA">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  GxP / regulated environment flagged</w:t>
            </w:r>
          </w:p>
        </w:tc>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If yes: GxP SME must be involved from Stage 3 onwards</w:t>
            </w:r>
          </w:p>
        </w:tc>
      </w:tr>
      <w:tr w:rsidR="00A41CBA">
        <w:tc>
          <w:tcPr>
            <w:tcW w:w="468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  Existing AI tools / eQMS landscape noted</w:t>
            </w:r>
          </w:p>
        </w:tc>
        <w:tc>
          <w:tcPr>
            <w:tcW w:w="468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Microsoft 365 Copilot, Google Workspace, Veeva, TrackWise, etc.</w:t>
            </w:r>
          </w:p>
        </w:tc>
      </w:tr>
      <w:tr w:rsidR="00A41CBA">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  Provisionally mapped to service line and track</w:t>
            </w:r>
          </w:p>
        </w:tc>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Track A (Training / Discovery) or Track B (POC / Implementation)</w:t>
            </w:r>
          </w:p>
        </w:tc>
      </w:tr>
      <w:tr w:rsidR="00A41CBA">
        <w:tc>
          <w:tcPr>
            <w:tcW w:w="468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  Budget signal noted</w:t>
            </w:r>
          </w:p>
        </w:tc>
        <w:tc>
          <w:tcPr>
            <w:tcW w:w="468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Approved budget, exploratory, or unknown — influences how deep to invest in pre-sales</w:t>
            </w:r>
          </w:p>
        </w:tc>
      </w:tr>
      <w:tr w:rsidR="00A41CBA">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  Passed to Head of Innovation within 24 hours of lead receipt</w:t>
            </w:r>
          </w:p>
        </w:tc>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Head of Sales owns the handover; Head of Innovation owns the response</w:t>
            </w:r>
          </w:p>
        </w:tc>
      </w:tr>
    </w:tbl>
    <w:p w:rsidR="00A41CBA" w:rsidRDefault="00A41CBA">
      <w:pPr>
        <w:spacing w:before="20" w:after="20"/>
      </w:pPr>
    </w:p>
    <w:tbl>
      <w:tblPr>
        <w:tblStyle w:val="TableGrid"/>
        <w:tblW w:w="0" w:type="auto"/>
        <w:tblLook w:val="04A0" w:firstRow="1" w:lastRow="0" w:firstColumn="1" w:lastColumn="0" w:noHBand="0" w:noVBand="1"/>
      </w:tblPr>
      <w:tblGrid>
        <w:gridCol w:w="9360"/>
      </w:tblGrid>
      <w:tr w:rsidR="00A41CBA">
        <w:tc>
          <w:tcPr>
            <w:tcW w:w="9360" w:type="dxa"/>
            <w:tcBorders>
              <w:top w:val="single" w:sz="4" w:space="0" w:color="1A3C6E"/>
              <w:left w:val="single" w:sz="12" w:space="0" w:color="1A3C6E"/>
              <w:bottom w:val="single" w:sz="4" w:space="0" w:color="1A3C6E"/>
              <w:right w:val="single" w:sz="4" w:space="0" w:color="1A3C6E"/>
            </w:tcBorders>
            <w:shd w:val="clear" w:color="auto" w:fill="E8F4FD"/>
          </w:tcPr>
          <w:p w:rsidR="00A41CBA" w:rsidRDefault="00000000">
            <w:pPr>
              <w:spacing w:before="60" w:after="60"/>
            </w:pPr>
            <w:r>
              <w:rPr>
                <w:rFonts w:ascii="Arial" w:hAnsi="Arial"/>
                <w:color w:val="1A1A1A"/>
                <w:sz w:val="19"/>
              </w:rPr>
              <w:t>Gate — Stage 1 → Stage 2: Proceed only if the lead maps to at least one service line and there is a plausible fit with the Trinzo capability set. Leads that are purely technology implementation (no adoption, training, or GxP component) are out of scope for Pillar 2 and should be flagged to leadership.</w:t>
            </w:r>
          </w:p>
        </w:tc>
      </w:tr>
    </w:tbl>
    <w:p w:rsidR="00A41CBA" w:rsidRDefault="00A41CBA">
      <w:pPr>
        <w:spacing w:before="20" w:after="20"/>
      </w:pPr>
    </w:p>
    <w:p w:rsidR="00A41CBA" w:rsidRDefault="00000000">
      <w:r>
        <w:br w:type="page"/>
      </w:r>
    </w:p>
    <w:tbl>
      <w:tblPr>
        <w:tblStyle w:val="TableGrid"/>
        <w:tblW w:w="0" w:type="auto"/>
        <w:tblLook w:val="04A0" w:firstRow="1" w:lastRow="0" w:firstColumn="1" w:lastColumn="0" w:noHBand="0" w:noVBand="1"/>
      </w:tblPr>
      <w:tblGrid>
        <w:gridCol w:w="4680"/>
        <w:gridCol w:w="4680"/>
      </w:tblGrid>
      <w:tr w:rsidR="00A41CBA">
        <w:tc>
          <w:tcPr>
            <w:tcW w:w="4680" w:type="dxa"/>
            <w:tcBorders>
              <w:top w:val="nil"/>
              <w:left w:val="nil"/>
              <w:bottom w:val="nil"/>
              <w:right w:val="nil"/>
            </w:tcBorders>
            <w:shd w:val="clear" w:color="auto" w:fill="1A3C6E"/>
            <w:vAlign w:val="center"/>
          </w:tcPr>
          <w:p w:rsidR="00A41CBA" w:rsidRDefault="00000000">
            <w:pPr>
              <w:spacing w:before="40" w:after="40"/>
              <w:jc w:val="center"/>
            </w:pPr>
            <w:r>
              <w:rPr>
                <w:rFonts w:ascii="Arial" w:hAnsi="Arial"/>
                <w:b/>
                <w:color w:val="FFFFFF"/>
                <w:sz w:val="36"/>
              </w:rPr>
              <w:lastRenderedPageBreak/>
              <w:t>02</w:t>
            </w:r>
          </w:p>
        </w:tc>
        <w:tc>
          <w:tcPr>
            <w:tcW w:w="4680" w:type="dxa"/>
            <w:tcBorders>
              <w:top w:val="nil"/>
              <w:left w:val="nil"/>
              <w:bottom w:val="nil"/>
              <w:right w:val="nil"/>
            </w:tcBorders>
            <w:shd w:val="clear" w:color="auto" w:fill="2E75B6"/>
            <w:vAlign w:val="center"/>
          </w:tcPr>
          <w:p w:rsidR="00A41CBA" w:rsidRDefault="00000000">
            <w:pPr>
              <w:spacing w:before="80" w:after="80"/>
            </w:pPr>
            <w:r>
              <w:rPr>
                <w:rFonts w:ascii="Arial" w:hAnsi="Arial"/>
                <w:b/>
                <w:color w:val="FFFFFF"/>
                <w:sz w:val="24"/>
              </w:rPr>
              <w:t xml:space="preserve">Qualification &amp; Scoping   </w:t>
            </w:r>
            <w:r>
              <w:rPr>
                <w:rFonts w:ascii="Arial" w:hAnsi="Arial"/>
                <w:color w:val="AABBCC"/>
                <w:sz w:val="18"/>
              </w:rPr>
              <w:t>Trigger: Lead intake complete, initial triage done</w:t>
            </w:r>
          </w:p>
        </w:tc>
      </w:tr>
    </w:tbl>
    <w:p w:rsidR="00A41CBA" w:rsidRDefault="00A41CBA">
      <w:pPr>
        <w:spacing w:before="20" w:after="20"/>
      </w:pPr>
    </w:p>
    <w:p w:rsidR="00A41CBA" w:rsidRDefault="00000000">
      <w:pPr>
        <w:spacing w:before="200" w:after="60"/>
      </w:pPr>
      <w:r>
        <w:rPr>
          <w:rFonts w:ascii="Arial" w:hAnsi="Arial"/>
          <w:b/>
          <w:color w:val="2E75B6"/>
        </w:rPr>
        <w:t>2.1  Qualification Questions</w:t>
      </w:r>
    </w:p>
    <w:p w:rsidR="00A41CBA" w:rsidRDefault="00000000">
      <w:pPr>
        <w:spacing w:before="40" w:after="80"/>
      </w:pPr>
      <w:r>
        <w:rPr>
          <w:rFonts w:ascii="Arial" w:hAnsi="Arial"/>
          <w:color w:val="1A1A1A"/>
          <w:sz w:val="20"/>
        </w:rPr>
        <w:t>Before investing in a full discovery call, the Head of Innovation completes a structured qualification exercise and produces a 1-page internal Qualification Note. This note briefs the team before Stage 3 and is never shared with the client.</w:t>
      </w:r>
    </w:p>
    <w:p w:rsidR="00A41CBA" w:rsidRDefault="00000000">
      <w:pPr>
        <w:pStyle w:val="ListBullet"/>
        <w:spacing w:before="20" w:after="40"/>
      </w:pPr>
      <w:r>
        <w:rPr>
          <w:rFonts w:ascii="Arial" w:hAnsi="Arial"/>
          <w:color w:val="1A1A1A"/>
          <w:sz w:val="20"/>
        </w:rPr>
        <w:t>What is the specific pain point — and is it an AI problem or a process problem first?</w:t>
      </w:r>
    </w:p>
    <w:p w:rsidR="00A41CBA" w:rsidRDefault="00000000">
      <w:pPr>
        <w:pStyle w:val="ListBullet"/>
        <w:spacing w:before="20" w:after="40"/>
      </w:pPr>
      <w:r>
        <w:rPr>
          <w:rFonts w:ascii="Arial" w:hAnsi="Arial"/>
          <w:color w:val="1A1A1A"/>
          <w:sz w:val="20"/>
        </w:rPr>
        <w:t>Who are the key stakeholders? (Champion vs. budget holder vs. end user — often different people)</w:t>
      </w:r>
    </w:p>
    <w:p w:rsidR="00A41CBA" w:rsidRDefault="00000000">
      <w:pPr>
        <w:pStyle w:val="ListBullet"/>
        <w:spacing w:before="20" w:after="40"/>
      </w:pPr>
      <w:r>
        <w:rPr>
          <w:rFonts w:ascii="Arial" w:hAnsi="Arial"/>
          <w:color w:val="1A1A1A"/>
          <w:sz w:val="20"/>
        </w:rPr>
        <w:t>Is there a regulated output in scope? (GxP, FDA 820/QMSR, EU MDR, ISO 13485, GAMP 5)</w:t>
      </w:r>
    </w:p>
    <w:p w:rsidR="00A41CBA" w:rsidRDefault="00000000">
      <w:pPr>
        <w:pStyle w:val="ListBullet"/>
        <w:spacing w:before="20" w:after="40"/>
      </w:pPr>
      <w:r>
        <w:rPr>
          <w:rFonts w:ascii="Arial" w:hAnsi="Arial"/>
          <w:color w:val="1A1A1A"/>
          <w:sz w:val="20"/>
        </w:rPr>
        <w:t>What has the client already tried or bought? (Copilot, validated tools, prior failed AI pilots)</w:t>
      </w:r>
    </w:p>
    <w:p w:rsidR="00A41CBA" w:rsidRDefault="00000000">
      <w:pPr>
        <w:pStyle w:val="ListBullet"/>
        <w:spacing w:before="20" w:after="40"/>
      </w:pPr>
      <w:r>
        <w:rPr>
          <w:rFonts w:ascii="Arial" w:hAnsi="Arial"/>
          <w:color w:val="1A1A1A"/>
          <w:sz w:val="20"/>
        </w:rPr>
        <w:t>Is there a timeline driver? (Upcoming inspection, audit, leadership mandate, competitor pressure)</w:t>
      </w:r>
    </w:p>
    <w:p w:rsidR="00A41CBA" w:rsidRDefault="00000000">
      <w:pPr>
        <w:pStyle w:val="ListBullet"/>
        <w:spacing w:before="20" w:after="40"/>
      </w:pPr>
      <w:r>
        <w:rPr>
          <w:rFonts w:ascii="Arial" w:hAnsi="Arial"/>
          <w:color w:val="1A1A1A"/>
          <w:sz w:val="20"/>
        </w:rPr>
        <w:t>Who else are they evaluating? (Awareness of competitive situation)</w:t>
      </w:r>
    </w:p>
    <w:p w:rsidR="00A41CBA" w:rsidRDefault="00000000">
      <w:pPr>
        <w:spacing w:before="200" w:after="60"/>
      </w:pPr>
      <w:r>
        <w:rPr>
          <w:rFonts w:ascii="Arial" w:hAnsi="Arial"/>
          <w:b/>
          <w:color w:val="2E75B6"/>
        </w:rPr>
        <w:t>2.2  Service Line Mapping</w:t>
      </w:r>
    </w:p>
    <w:tbl>
      <w:tblPr>
        <w:tblStyle w:val="TableGrid"/>
        <w:tblW w:w="0" w:type="auto"/>
        <w:tblLook w:val="04A0" w:firstRow="1" w:lastRow="0" w:firstColumn="1" w:lastColumn="0" w:noHBand="0" w:noVBand="1"/>
      </w:tblPr>
      <w:tblGrid>
        <w:gridCol w:w="3120"/>
        <w:gridCol w:w="3120"/>
        <w:gridCol w:w="3120"/>
      </w:tblGrid>
      <w:tr w:rsidR="00A41CBA">
        <w:tc>
          <w:tcPr>
            <w:tcW w:w="3120"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Client Signal</w:t>
            </w:r>
          </w:p>
        </w:tc>
        <w:tc>
          <w:tcPr>
            <w:tcW w:w="3120"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Likely Track &amp; Service Line</w:t>
            </w:r>
          </w:p>
        </w:tc>
        <w:tc>
          <w:tcPr>
            <w:tcW w:w="3120"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Watch Out For</w:t>
            </w:r>
          </w:p>
        </w:tc>
      </w:tr>
      <w:tr w:rsidR="00A41CBA">
        <w:tc>
          <w:tcPr>
            <w:tcW w:w="312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"We need to train our teams on AI"</w:t>
            </w:r>
          </w:p>
        </w:tc>
        <w:tc>
          <w:tcPr>
            <w:tcW w:w="312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Track A — Training (€30K)</w:t>
            </w:r>
          </w:p>
        </w:tc>
        <w:tc>
          <w:tcPr>
            <w:tcW w:w="312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May also need a Discovery first if workflows not yet mapped</w:t>
            </w:r>
          </w:p>
        </w:tc>
      </w:tr>
      <w:tr w:rsidR="00A41CBA">
        <w:tc>
          <w:tcPr>
            <w:tcW w:w="312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"We don't know where AI fits for us"</w:t>
            </w:r>
          </w:p>
        </w:tc>
        <w:tc>
          <w:tcPr>
            <w:tcW w:w="312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Track A — Discovery Workshop (€30K)</w:t>
            </w:r>
          </w:p>
        </w:tc>
        <w:tc>
          <w:tcPr>
            <w:tcW w:w="312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Perfect entry point. Do not oversell at this stage.</w:t>
            </w:r>
          </w:p>
        </w:tc>
      </w:tr>
      <w:tr w:rsidR="00A41CBA">
        <w:tc>
          <w:tcPr>
            <w:tcW w:w="312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"We want to test AI on a specific problem"</w:t>
            </w:r>
          </w:p>
        </w:tc>
        <w:tc>
          <w:tcPr>
            <w:tcW w:w="312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Track B — POC Factory (~€200K)</w:t>
            </w:r>
          </w:p>
        </w:tc>
        <w:tc>
          <w:tcPr>
            <w:tcW w:w="312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Qualify the technical environment (Azure vs Google vs on-prem)</w:t>
            </w:r>
          </w:p>
        </w:tc>
      </w:tr>
      <w:tr w:rsidR="00A41CBA">
        <w:tc>
          <w:tcPr>
            <w:tcW w:w="312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"We need a full AI programme"</w:t>
            </w:r>
          </w:p>
        </w:tc>
        <w:tc>
          <w:tcPr>
            <w:tcW w:w="312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Track B — Partner Implementation (€200–300K)</w:t>
            </w:r>
          </w:p>
        </w:tc>
        <w:tc>
          <w:tcPr>
            <w:tcW w:w="312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GxP requirements, validated outputs, CSV obligations — qualify carefully</w:t>
            </w:r>
          </w:p>
        </w:tc>
      </w:tr>
      <w:tr w:rsidR="00A41CBA">
        <w:tc>
          <w:tcPr>
            <w:tcW w:w="312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"People aren't using the tools we built"</w:t>
            </w:r>
          </w:p>
        </w:tc>
        <w:tc>
          <w:tcPr>
            <w:tcW w:w="312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Track A/B — Adoption Management (€30K/tranche)</w:t>
            </w:r>
          </w:p>
        </w:tc>
        <w:tc>
          <w:tcPr>
            <w:tcW w:w="312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Assess what was built and why adoption failed before scoping</w:t>
            </w:r>
          </w:p>
        </w:tc>
      </w:tr>
    </w:tbl>
    <w:p w:rsidR="00A41CBA" w:rsidRDefault="00A41CBA">
      <w:pPr>
        <w:spacing w:before="20" w:after="20"/>
      </w:pPr>
    </w:p>
    <w:p w:rsidR="00A41CBA" w:rsidRDefault="00000000">
      <w:pPr>
        <w:spacing w:before="200" w:after="60"/>
      </w:pPr>
      <w:r>
        <w:rPr>
          <w:rFonts w:ascii="Arial" w:hAnsi="Arial"/>
          <w:b/>
          <w:color w:val="2E75B6"/>
        </w:rPr>
        <w:t>2.3  Analogies &amp; Proof Points</w:t>
      </w:r>
    </w:p>
    <w:p w:rsidR="00A41CBA" w:rsidRDefault="00000000">
      <w:pPr>
        <w:spacing w:before="40" w:after="80"/>
      </w:pPr>
      <w:r>
        <w:rPr>
          <w:rFonts w:ascii="Arial" w:hAnsi="Arial"/>
          <w:color w:val="1A1A1A"/>
          <w:sz w:val="20"/>
        </w:rPr>
        <w:t>During scoping, match the client's need to an established Trinzo reference model. Never reference named clients — use the Synthetic Device Universe or anonymised engagement descriptions only.</w:t>
      </w:r>
    </w:p>
    <w:p w:rsidR="00A41CBA" w:rsidRDefault="00000000">
      <w:pPr>
        <w:pStyle w:val="ListBullet"/>
        <w:spacing w:before="20" w:after="40"/>
      </w:pPr>
      <w:r>
        <w:rPr>
          <w:rFonts w:ascii="Arial" w:hAnsi="Arial"/>
          <w:color w:val="1A1A1A"/>
          <w:sz w:val="20"/>
        </w:rPr>
        <w:t>Document Generation Architecture: For clients with the "blank page problem" on DHF, DIS, FMEA, V&amp;V Protocols, or CAPA reports. Demonstrate the Extract → Draft → Audit engine model.</w:t>
      </w:r>
    </w:p>
    <w:p w:rsidR="00A41CBA" w:rsidRDefault="00000000">
      <w:pPr>
        <w:pStyle w:val="ListBullet"/>
        <w:spacing w:before="20" w:after="40"/>
      </w:pPr>
      <w:r>
        <w:rPr>
          <w:rFonts w:ascii="Arial" w:hAnsi="Arial"/>
          <w:color w:val="1A1A1A"/>
          <w:sz w:val="20"/>
        </w:rPr>
        <w:t>QARA Analytics &amp; Dashboard Model: For clients missing KPI targets due to poor CAPA / non-conformance visibility across sites. Demonstrate automated Power BI drill-down on ERP/QMS data.</w:t>
      </w:r>
    </w:p>
    <w:p w:rsidR="00A41CBA" w:rsidRDefault="00000000">
      <w:pPr>
        <w:pStyle w:val="ListBullet"/>
        <w:spacing w:before="20" w:after="40"/>
      </w:pPr>
      <w:r>
        <w:rPr>
          <w:rFonts w:ascii="Arial" w:hAnsi="Arial"/>
          <w:color w:val="1A1A1A"/>
          <w:sz w:val="20"/>
        </w:rPr>
        <w:t>Compliance Readiness Training Model: For clients with GxP concerns around Microsoft 365 Copilot or Google Workspace usage. Demonstrate the INSPIRE programme structure.</w:t>
      </w:r>
    </w:p>
    <w:tbl>
      <w:tblPr>
        <w:tblStyle w:val="TableGrid"/>
        <w:tblW w:w="0" w:type="auto"/>
        <w:tblLook w:val="04A0" w:firstRow="1" w:lastRow="0" w:firstColumn="1" w:lastColumn="0" w:noHBand="0" w:noVBand="1"/>
      </w:tblPr>
      <w:tblGrid>
        <w:gridCol w:w="4680"/>
        <w:gridCol w:w="4680"/>
      </w:tblGrid>
      <w:tr w:rsidR="00A41CBA">
        <w:tc>
          <w:tcPr>
            <w:tcW w:w="4680" w:type="dxa"/>
            <w:tcBorders>
              <w:top w:val="nil"/>
              <w:left w:val="nil"/>
              <w:bottom w:val="nil"/>
              <w:right w:val="nil"/>
            </w:tcBorders>
            <w:shd w:val="clear" w:color="auto" w:fill="1A3C6E"/>
            <w:vAlign w:val="center"/>
          </w:tcPr>
          <w:p w:rsidR="00A41CBA" w:rsidRDefault="00000000">
            <w:pPr>
              <w:spacing w:before="40" w:after="40"/>
              <w:jc w:val="center"/>
            </w:pPr>
            <w:r>
              <w:rPr>
                <w:rFonts w:ascii="Arial" w:hAnsi="Arial"/>
                <w:b/>
                <w:color w:val="FFFFFF"/>
                <w:sz w:val="36"/>
              </w:rPr>
              <w:t>03</w:t>
            </w:r>
          </w:p>
        </w:tc>
        <w:tc>
          <w:tcPr>
            <w:tcW w:w="4680" w:type="dxa"/>
            <w:tcBorders>
              <w:top w:val="nil"/>
              <w:left w:val="nil"/>
              <w:bottom w:val="nil"/>
              <w:right w:val="nil"/>
            </w:tcBorders>
            <w:shd w:val="clear" w:color="auto" w:fill="2E75B6"/>
            <w:vAlign w:val="center"/>
          </w:tcPr>
          <w:p w:rsidR="00A41CBA" w:rsidRDefault="00000000">
            <w:pPr>
              <w:spacing w:before="80" w:after="80"/>
            </w:pPr>
            <w:r>
              <w:rPr>
                <w:rFonts w:ascii="Arial" w:hAnsi="Arial"/>
                <w:b/>
                <w:color w:val="FFFFFF"/>
                <w:sz w:val="24"/>
              </w:rPr>
              <w:t xml:space="preserve">Discovery Call   </w:t>
            </w:r>
            <w:r>
              <w:rPr>
                <w:rFonts w:ascii="Arial" w:hAnsi="Arial"/>
                <w:color w:val="AABBCC"/>
                <w:sz w:val="18"/>
              </w:rPr>
              <w:t>Trigger: Qualification complete, team briefed, call confirmed</w:t>
            </w:r>
          </w:p>
        </w:tc>
      </w:tr>
    </w:tbl>
    <w:p w:rsidR="00A41CBA" w:rsidRDefault="00A41CBA">
      <w:pPr>
        <w:spacing w:before="20" w:after="20"/>
      </w:pPr>
    </w:p>
    <w:p w:rsidR="00A41CBA" w:rsidRDefault="00000000">
      <w:pPr>
        <w:spacing w:before="200" w:after="60"/>
      </w:pPr>
      <w:r>
        <w:rPr>
          <w:rFonts w:ascii="Arial" w:hAnsi="Arial"/>
          <w:b/>
          <w:color w:val="2E75B6"/>
        </w:rPr>
        <w:t>3.1  Call Structure (60–90 minutes)</w:t>
      </w:r>
    </w:p>
    <w:p w:rsidR="00A41CBA" w:rsidRDefault="00000000">
      <w:pPr>
        <w:spacing w:before="40" w:after="80"/>
      </w:pPr>
      <w:r>
        <w:rPr>
          <w:rFonts w:ascii="Arial" w:hAnsi="Arial"/>
          <w:color w:val="1A1A1A"/>
          <w:sz w:val="20"/>
        </w:rPr>
        <w:lastRenderedPageBreak/>
        <w:t>The Discovery Call is the single most important client-facing activity before a proposal. It is a listening exercise, not a pitch. The goal is to understand the client's world in enough detail to write a proposal that feels written for them.</w:t>
      </w:r>
    </w:p>
    <w:p w:rsidR="00A41CBA" w:rsidRDefault="00000000">
      <w:pPr>
        <w:pStyle w:val="ListNumber"/>
        <w:spacing w:before="20" w:after="60"/>
      </w:pPr>
      <w:r>
        <w:rPr>
          <w:rFonts w:ascii="Arial" w:hAnsi="Arial"/>
          <w:b/>
          <w:color w:val="1A1A1A"/>
          <w:sz w:val="20"/>
        </w:rPr>
        <w:t xml:space="preserve">Open: </w:t>
      </w:r>
      <w:r>
        <w:rPr>
          <w:rFonts w:ascii="Arial" w:hAnsi="Arial"/>
          <w:color w:val="1A1A1A"/>
          <w:sz w:val="20"/>
        </w:rPr>
        <w:t>"We want to understand your situation before recommending anything."</w:t>
      </w:r>
    </w:p>
    <w:p w:rsidR="00A41CBA" w:rsidRDefault="00000000">
      <w:pPr>
        <w:pStyle w:val="ListNumber"/>
        <w:spacing w:before="20" w:after="60"/>
      </w:pPr>
      <w:r>
        <w:rPr>
          <w:rFonts w:ascii="Arial" w:hAnsi="Arial"/>
          <w:b/>
          <w:color w:val="1A1A1A"/>
          <w:sz w:val="20"/>
        </w:rPr>
        <w:t xml:space="preserve">Current state: </w:t>
      </w:r>
      <w:r>
        <w:rPr>
          <w:rFonts w:ascii="Arial" w:hAnsi="Arial"/>
          <w:color w:val="1A1A1A"/>
          <w:sz w:val="20"/>
        </w:rPr>
        <w:t>What does the team actually do, step by step, in practice — not what the SOP says?</w:t>
      </w:r>
    </w:p>
    <w:p w:rsidR="00A41CBA" w:rsidRDefault="00000000">
      <w:pPr>
        <w:pStyle w:val="ListNumber"/>
        <w:spacing w:before="20" w:after="60"/>
      </w:pPr>
      <w:r>
        <w:rPr>
          <w:rFonts w:ascii="Arial" w:hAnsi="Arial"/>
          <w:b/>
          <w:color w:val="1A1A1A"/>
          <w:sz w:val="20"/>
        </w:rPr>
        <w:t xml:space="preserve">Pain: </w:t>
      </w:r>
      <w:r>
        <w:rPr>
          <w:rFonts w:ascii="Arial" w:hAnsi="Arial"/>
          <w:color w:val="1A1A1A"/>
          <w:sz w:val="20"/>
        </w:rPr>
        <w:t>Where is the friction, the risk, the rework, the wasted time?</w:t>
      </w:r>
    </w:p>
    <w:p w:rsidR="00A41CBA" w:rsidRDefault="00000000">
      <w:pPr>
        <w:pStyle w:val="ListNumber"/>
        <w:spacing w:before="20" w:after="60"/>
      </w:pPr>
      <w:r>
        <w:rPr>
          <w:rFonts w:ascii="Arial" w:hAnsi="Arial"/>
          <w:b/>
          <w:color w:val="1A1A1A"/>
          <w:sz w:val="20"/>
        </w:rPr>
        <w:t xml:space="preserve">AI landscape: </w:t>
      </w:r>
      <w:r>
        <w:rPr>
          <w:rFonts w:ascii="Arial" w:hAnsi="Arial"/>
          <w:color w:val="1A1A1A"/>
          <w:sz w:val="20"/>
        </w:rPr>
        <w:t>What tools exist? What has been tried? What does "AI" mean to them day-to-day?</w:t>
      </w:r>
    </w:p>
    <w:p w:rsidR="00A41CBA" w:rsidRDefault="00000000">
      <w:pPr>
        <w:pStyle w:val="ListNumber"/>
        <w:spacing w:before="20" w:after="60"/>
      </w:pPr>
      <w:r>
        <w:rPr>
          <w:rFonts w:ascii="Arial" w:hAnsi="Arial"/>
          <w:b/>
          <w:color w:val="1A1A1A"/>
          <w:sz w:val="20"/>
        </w:rPr>
        <w:t xml:space="preserve">GxP / regulated context: </w:t>
      </w:r>
      <w:r>
        <w:rPr>
          <w:rFonts w:ascii="Arial" w:hAnsi="Arial"/>
          <w:color w:val="1A1A1A"/>
          <w:sz w:val="20"/>
        </w:rPr>
        <w:t>What are the compliance boundaries? What outputs are regulated? What cannot be automated?</w:t>
      </w:r>
    </w:p>
    <w:p w:rsidR="00A41CBA" w:rsidRDefault="00000000">
      <w:pPr>
        <w:pStyle w:val="ListNumber"/>
        <w:spacing w:before="20" w:after="60"/>
      </w:pPr>
      <w:r>
        <w:rPr>
          <w:rFonts w:ascii="Arial" w:hAnsi="Arial"/>
          <w:b/>
          <w:color w:val="1A1A1A"/>
          <w:sz w:val="20"/>
        </w:rPr>
        <w:t xml:space="preserve">Definition of success: </w:t>
      </w:r>
      <w:r>
        <w:rPr>
          <w:rFonts w:ascii="Arial" w:hAnsi="Arial"/>
          <w:color w:val="1A1A1A"/>
          <w:sz w:val="20"/>
        </w:rPr>
        <w:t>If this works, what does it look like in 6 months — in measurable terms?</w:t>
      </w:r>
    </w:p>
    <w:p w:rsidR="00A41CBA" w:rsidRDefault="00000000">
      <w:pPr>
        <w:pStyle w:val="ListNumber"/>
        <w:spacing w:before="20" w:after="60"/>
      </w:pPr>
      <w:r>
        <w:rPr>
          <w:rFonts w:ascii="Arial" w:hAnsi="Arial"/>
          <w:b/>
          <w:color w:val="1A1A1A"/>
          <w:sz w:val="20"/>
        </w:rPr>
        <w:t xml:space="preserve">Timeline and budget: </w:t>
      </w:r>
      <w:r>
        <w:rPr>
          <w:rFonts w:ascii="Arial" w:hAnsi="Arial"/>
          <w:color w:val="1A1A1A"/>
          <w:sz w:val="20"/>
        </w:rPr>
        <w:t>Is there a forcing function? Has budget been approved or is this exploratory?</w:t>
      </w:r>
    </w:p>
    <w:p w:rsidR="00A41CBA" w:rsidRDefault="00A41CBA">
      <w:pPr>
        <w:spacing w:before="20" w:after="20"/>
      </w:pPr>
    </w:p>
    <w:p w:rsidR="00A41CBA" w:rsidRDefault="00000000">
      <w:pPr>
        <w:spacing w:before="200" w:after="60"/>
      </w:pPr>
      <w:r>
        <w:rPr>
          <w:rFonts w:ascii="Arial" w:hAnsi="Arial"/>
          <w:b/>
          <w:color w:val="2E75B6"/>
        </w:rPr>
        <w:t>3.2  Discovery Notes Template</w:t>
      </w:r>
    </w:p>
    <w:tbl>
      <w:tblPr>
        <w:tblStyle w:val="TableGrid"/>
        <w:tblW w:w="0" w:type="auto"/>
        <w:tblLook w:val="04A0" w:firstRow="1" w:lastRow="0" w:firstColumn="1" w:lastColumn="0" w:noHBand="0" w:noVBand="1"/>
      </w:tblPr>
      <w:tblGrid>
        <w:gridCol w:w="9360"/>
      </w:tblGrid>
      <w:tr w:rsidR="00A41CBA">
        <w:tc>
          <w:tcPr>
            <w:tcW w:w="9360" w:type="dxa"/>
            <w:tcBorders>
              <w:top w:val="single" w:sz="4" w:space="0" w:color="C57D00"/>
              <w:left w:val="single" w:sz="12" w:space="0" w:color="C57D00"/>
              <w:bottom w:val="single" w:sz="4" w:space="0" w:color="C57D00"/>
              <w:right w:val="single" w:sz="4" w:space="0" w:color="C57D00"/>
            </w:tcBorders>
            <w:shd w:val="clear" w:color="auto" w:fill="FFF3CD"/>
          </w:tcPr>
          <w:p w:rsidR="00A41CBA" w:rsidRDefault="00000000">
            <w:pPr>
              <w:spacing w:before="60" w:after="60"/>
            </w:pPr>
            <w:r>
              <w:rPr>
                <w:rFonts w:ascii="Arial" w:hAnsi="Arial"/>
                <w:color w:val="1A1A1A"/>
                <w:sz w:val="19"/>
              </w:rPr>
              <w:t>Notes must be recorded in real-time against these headings. Distribute internally within 24 hours. Never share with the client. Use verbatim client quotes wherever possible — these anchor the proposal and differentiate Trinzo from a templated response.</w:t>
            </w:r>
          </w:p>
        </w:tc>
      </w:tr>
    </w:tbl>
    <w:p w:rsidR="00A41CBA" w:rsidRDefault="00A41CBA">
      <w:pPr>
        <w:spacing w:before="20" w:after="20"/>
      </w:pPr>
    </w:p>
    <w:tbl>
      <w:tblPr>
        <w:tblStyle w:val="TableGrid"/>
        <w:tblW w:w="0" w:type="auto"/>
        <w:tblLook w:val="04A0" w:firstRow="1" w:lastRow="0" w:firstColumn="1" w:lastColumn="0" w:noHBand="0" w:noVBand="1"/>
      </w:tblPr>
      <w:tblGrid>
        <w:gridCol w:w="4680"/>
        <w:gridCol w:w="4680"/>
      </w:tblGrid>
      <w:tr w:rsidR="00A41CBA">
        <w:tc>
          <w:tcPr>
            <w:tcW w:w="4680" w:type="dxa"/>
            <w:tcBorders>
              <w:top w:val="nil"/>
              <w:left w:val="nil"/>
              <w:bottom w:val="nil"/>
              <w:right w:val="nil"/>
            </w:tcBorders>
            <w:shd w:val="clear" w:color="auto" w:fill="2E75B6"/>
            <w:vAlign w:val="center"/>
          </w:tcPr>
          <w:p w:rsidR="00A41CBA" w:rsidRDefault="00000000">
            <w:pPr>
              <w:spacing w:before="40" w:after="40"/>
            </w:pPr>
            <w:r>
              <w:rPr>
                <w:rFonts w:ascii="Arial" w:hAnsi="Arial"/>
                <w:b/>
                <w:color w:val="FFFFFF"/>
                <w:sz w:val="19"/>
              </w:rPr>
              <w:t>Topic</w:t>
            </w:r>
          </w:p>
        </w:tc>
        <w:tc>
          <w:tcPr>
            <w:tcW w:w="4680" w:type="dxa"/>
            <w:tcBorders>
              <w:top w:val="nil"/>
              <w:left w:val="nil"/>
              <w:bottom w:val="nil"/>
              <w:right w:val="nil"/>
            </w:tcBorders>
            <w:shd w:val="clear" w:color="auto" w:fill="2E75B6"/>
            <w:vAlign w:val="center"/>
          </w:tcPr>
          <w:p w:rsidR="00A41CBA" w:rsidRDefault="00000000">
            <w:pPr>
              <w:spacing w:before="40" w:after="40"/>
            </w:pPr>
            <w:r>
              <w:rPr>
                <w:rFonts w:ascii="Arial" w:hAnsi="Arial"/>
                <w:b/>
                <w:color w:val="FFFFFF"/>
                <w:sz w:val="19"/>
              </w:rPr>
              <w:t>Verbatim / Notes</w:t>
            </w:r>
          </w:p>
        </w:tc>
      </w:tr>
      <w:tr w:rsidR="00A41CBA">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Current state (what they actually do)</w:t>
            </w:r>
          </w:p>
        </w:tc>
        <w:tc>
          <w:tcPr>
            <w:tcW w:w="4680" w:type="dxa"/>
            <w:tcBorders>
              <w:top w:val="nil"/>
              <w:left w:val="nil"/>
              <w:bottom w:val="nil"/>
              <w:right w:val="nil"/>
            </w:tcBorders>
            <w:shd w:val="clear" w:color="auto" w:fill="F5F7FA"/>
          </w:tcPr>
          <w:p w:rsidR="00A41CBA" w:rsidRDefault="00A41CBA">
            <w:pPr>
              <w:spacing w:before="40" w:after="40"/>
            </w:pPr>
          </w:p>
        </w:tc>
      </w:tr>
      <w:tr w:rsidR="00A41CBA">
        <w:tc>
          <w:tcPr>
            <w:tcW w:w="468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Pain points (in their own words)</w:t>
            </w:r>
          </w:p>
        </w:tc>
        <w:tc>
          <w:tcPr>
            <w:tcW w:w="4680" w:type="dxa"/>
            <w:tcBorders>
              <w:top w:val="nil"/>
              <w:left w:val="nil"/>
              <w:bottom w:val="nil"/>
              <w:right w:val="nil"/>
            </w:tcBorders>
            <w:shd w:val="clear" w:color="auto" w:fill="FFFFFF"/>
          </w:tcPr>
          <w:p w:rsidR="00A41CBA" w:rsidRDefault="00A41CBA">
            <w:pPr>
              <w:spacing w:before="40" w:after="40"/>
            </w:pPr>
          </w:p>
        </w:tc>
      </w:tr>
      <w:tr w:rsidR="00A41CBA">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AI tools already in use</w:t>
            </w:r>
          </w:p>
        </w:tc>
        <w:tc>
          <w:tcPr>
            <w:tcW w:w="4680" w:type="dxa"/>
            <w:tcBorders>
              <w:top w:val="nil"/>
              <w:left w:val="nil"/>
              <w:bottom w:val="nil"/>
              <w:right w:val="nil"/>
            </w:tcBorders>
            <w:shd w:val="clear" w:color="auto" w:fill="F5F7FA"/>
          </w:tcPr>
          <w:p w:rsidR="00A41CBA" w:rsidRDefault="00A41CBA">
            <w:pPr>
              <w:spacing w:before="40" w:after="40"/>
            </w:pPr>
          </w:p>
        </w:tc>
      </w:tr>
      <w:tr w:rsidR="00A41CBA">
        <w:tc>
          <w:tcPr>
            <w:tcW w:w="468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GxP / regulated outputs in scope</w:t>
            </w:r>
          </w:p>
        </w:tc>
        <w:tc>
          <w:tcPr>
            <w:tcW w:w="4680" w:type="dxa"/>
            <w:tcBorders>
              <w:top w:val="nil"/>
              <w:left w:val="nil"/>
              <w:bottom w:val="nil"/>
              <w:right w:val="nil"/>
            </w:tcBorders>
            <w:shd w:val="clear" w:color="auto" w:fill="FFFFFF"/>
          </w:tcPr>
          <w:p w:rsidR="00A41CBA" w:rsidRDefault="00A41CBA">
            <w:pPr>
              <w:spacing w:before="40" w:after="40"/>
            </w:pPr>
          </w:p>
        </w:tc>
      </w:tr>
      <w:tr w:rsidR="00A41CBA">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Success definition (measurable)</w:t>
            </w:r>
          </w:p>
        </w:tc>
        <w:tc>
          <w:tcPr>
            <w:tcW w:w="4680" w:type="dxa"/>
            <w:tcBorders>
              <w:top w:val="nil"/>
              <w:left w:val="nil"/>
              <w:bottom w:val="nil"/>
              <w:right w:val="nil"/>
            </w:tcBorders>
            <w:shd w:val="clear" w:color="auto" w:fill="F5F7FA"/>
          </w:tcPr>
          <w:p w:rsidR="00A41CBA" w:rsidRDefault="00A41CBA">
            <w:pPr>
              <w:spacing w:before="40" w:after="40"/>
            </w:pPr>
          </w:p>
        </w:tc>
      </w:tr>
      <w:tr w:rsidR="00A41CBA">
        <w:tc>
          <w:tcPr>
            <w:tcW w:w="468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Timeline drivers</w:t>
            </w:r>
          </w:p>
        </w:tc>
        <w:tc>
          <w:tcPr>
            <w:tcW w:w="4680" w:type="dxa"/>
            <w:tcBorders>
              <w:top w:val="nil"/>
              <w:left w:val="nil"/>
              <w:bottom w:val="nil"/>
              <w:right w:val="nil"/>
            </w:tcBorders>
            <w:shd w:val="clear" w:color="auto" w:fill="FFFFFF"/>
          </w:tcPr>
          <w:p w:rsidR="00A41CBA" w:rsidRDefault="00A41CBA">
            <w:pPr>
              <w:spacing w:before="40" w:after="40"/>
            </w:pPr>
          </w:p>
        </w:tc>
      </w:tr>
      <w:tr w:rsidR="00A41CBA">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Budget signal</w:t>
            </w:r>
          </w:p>
        </w:tc>
        <w:tc>
          <w:tcPr>
            <w:tcW w:w="4680" w:type="dxa"/>
            <w:tcBorders>
              <w:top w:val="nil"/>
              <w:left w:val="nil"/>
              <w:bottom w:val="nil"/>
              <w:right w:val="nil"/>
            </w:tcBorders>
            <w:shd w:val="clear" w:color="auto" w:fill="F5F7FA"/>
          </w:tcPr>
          <w:p w:rsidR="00A41CBA" w:rsidRDefault="00A41CBA">
            <w:pPr>
              <w:spacing w:before="40" w:after="40"/>
            </w:pPr>
          </w:p>
        </w:tc>
      </w:tr>
      <w:tr w:rsidR="00A41CBA">
        <w:tc>
          <w:tcPr>
            <w:tcW w:w="468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Stakeholders in the room and who is missing</w:t>
            </w:r>
          </w:p>
        </w:tc>
        <w:tc>
          <w:tcPr>
            <w:tcW w:w="4680" w:type="dxa"/>
            <w:tcBorders>
              <w:top w:val="nil"/>
              <w:left w:val="nil"/>
              <w:bottom w:val="nil"/>
              <w:right w:val="nil"/>
            </w:tcBorders>
            <w:shd w:val="clear" w:color="auto" w:fill="FFFFFF"/>
          </w:tcPr>
          <w:p w:rsidR="00A41CBA" w:rsidRDefault="00A41CBA">
            <w:pPr>
              <w:spacing w:before="40" w:after="40"/>
            </w:pPr>
          </w:p>
        </w:tc>
      </w:tr>
    </w:tbl>
    <w:p w:rsidR="00A41CBA" w:rsidRDefault="00A41CBA">
      <w:pPr>
        <w:spacing w:before="20" w:after="20"/>
      </w:pPr>
    </w:p>
    <w:p w:rsidR="00A41CBA" w:rsidRDefault="00000000">
      <w:pPr>
        <w:spacing w:before="200" w:after="60"/>
      </w:pPr>
      <w:r>
        <w:rPr>
          <w:rFonts w:ascii="Arial" w:hAnsi="Arial"/>
          <w:b/>
          <w:color w:val="2E75B6"/>
        </w:rPr>
        <w:t>3.3  After the Call</w:t>
      </w:r>
    </w:p>
    <w:p w:rsidR="00A41CBA" w:rsidRDefault="00000000">
      <w:pPr>
        <w:pStyle w:val="ListBullet"/>
        <w:spacing w:before="20" w:after="40"/>
      </w:pPr>
      <w:r>
        <w:rPr>
          <w:rFonts w:ascii="Arial" w:hAnsi="Arial"/>
          <w:color w:val="1A1A1A"/>
          <w:sz w:val="20"/>
        </w:rPr>
        <w:t>Write a 1-paragraph "what we heard" summary — this becomes the opening of the proposal</w:t>
      </w:r>
    </w:p>
    <w:p w:rsidR="00A41CBA" w:rsidRDefault="00000000">
      <w:pPr>
        <w:pStyle w:val="ListBullet"/>
        <w:spacing w:before="20" w:after="40"/>
      </w:pPr>
      <w:r>
        <w:rPr>
          <w:rFonts w:ascii="Arial" w:hAnsi="Arial"/>
          <w:color w:val="1A1A1A"/>
          <w:sz w:val="20"/>
        </w:rPr>
        <w:t>Confirm track assignment (A or B) and specific service line(s)</w:t>
      </w:r>
    </w:p>
    <w:p w:rsidR="00A41CBA" w:rsidRDefault="00000000">
      <w:pPr>
        <w:pStyle w:val="ListBullet"/>
        <w:spacing w:before="20" w:after="40"/>
      </w:pPr>
      <w:r>
        <w:rPr>
          <w:rFonts w:ascii="Arial" w:hAnsi="Arial"/>
          <w:color w:val="1A1A1A"/>
          <w:sz w:val="20"/>
        </w:rPr>
        <w:t>Identify 2–3 named use cases to anchor the proposal</w:t>
      </w:r>
    </w:p>
    <w:p w:rsidR="00A41CBA" w:rsidRDefault="00000000">
      <w:pPr>
        <w:pStyle w:val="ListBullet"/>
        <w:spacing w:before="20" w:after="40"/>
      </w:pPr>
      <w:r>
        <w:rPr>
          <w:rFonts w:ascii="Arial" w:hAnsi="Arial"/>
          <w:color w:val="1A1A1A"/>
          <w:sz w:val="20"/>
        </w:rPr>
        <w:t>Flag red lights: GxP complexity under-estimated, no budget signal, wrong stakeholder, prior failed AI project not disclosed</w:t>
      </w:r>
    </w:p>
    <w:tbl>
      <w:tblPr>
        <w:tblStyle w:val="TableGrid"/>
        <w:tblW w:w="0" w:type="auto"/>
        <w:tblLook w:val="04A0" w:firstRow="1" w:lastRow="0" w:firstColumn="1" w:lastColumn="0" w:noHBand="0" w:noVBand="1"/>
      </w:tblPr>
      <w:tblGrid>
        <w:gridCol w:w="9360"/>
      </w:tblGrid>
      <w:tr w:rsidR="00A41CBA">
        <w:tc>
          <w:tcPr>
            <w:tcW w:w="9360" w:type="dxa"/>
            <w:tcBorders>
              <w:top w:val="single" w:sz="4" w:space="0" w:color="1A3C6E"/>
              <w:left w:val="single" w:sz="12" w:space="0" w:color="1A3C6E"/>
              <w:bottom w:val="single" w:sz="4" w:space="0" w:color="1A3C6E"/>
              <w:right w:val="single" w:sz="4" w:space="0" w:color="1A3C6E"/>
            </w:tcBorders>
            <w:shd w:val="clear" w:color="auto" w:fill="E8F4FD"/>
          </w:tcPr>
          <w:p w:rsidR="00A41CBA" w:rsidRDefault="00000000">
            <w:pPr>
              <w:spacing w:before="60" w:after="60"/>
            </w:pPr>
            <w:r>
              <w:rPr>
                <w:rFonts w:ascii="Arial" w:hAnsi="Arial"/>
                <w:color w:val="1A1A1A"/>
                <w:sz w:val="19"/>
              </w:rPr>
              <w:t>Gate — Stage 3 → Stage 4: Proceed to proposal only if the picture is clear enough to write a credible, specific proposal. If not, schedule a second discovery session before investing proposal time.</w:t>
            </w:r>
          </w:p>
        </w:tc>
      </w:tr>
    </w:tbl>
    <w:p w:rsidR="00A41CBA" w:rsidRDefault="00A41CBA">
      <w:pPr>
        <w:spacing w:before="20" w:after="20"/>
      </w:pPr>
    </w:p>
    <w:p w:rsidR="00A41CBA" w:rsidRDefault="00000000">
      <w:r>
        <w:br w:type="page"/>
      </w:r>
    </w:p>
    <w:tbl>
      <w:tblPr>
        <w:tblStyle w:val="TableGrid"/>
        <w:tblW w:w="0" w:type="auto"/>
        <w:tblLook w:val="04A0" w:firstRow="1" w:lastRow="0" w:firstColumn="1" w:lastColumn="0" w:noHBand="0" w:noVBand="1"/>
      </w:tblPr>
      <w:tblGrid>
        <w:gridCol w:w="4680"/>
        <w:gridCol w:w="4680"/>
      </w:tblGrid>
      <w:tr w:rsidR="00A41CBA">
        <w:tc>
          <w:tcPr>
            <w:tcW w:w="4680" w:type="dxa"/>
            <w:tcBorders>
              <w:top w:val="nil"/>
              <w:left w:val="nil"/>
              <w:bottom w:val="nil"/>
              <w:right w:val="nil"/>
            </w:tcBorders>
            <w:shd w:val="clear" w:color="auto" w:fill="1A3C6E"/>
            <w:vAlign w:val="center"/>
          </w:tcPr>
          <w:p w:rsidR="00A41CBA" w:rsidRDefault="00000000">
            <w:pPr>
              <w:spacing w:before="40" w:after="40"/>
              <w:jc w:val="center"/>
            </w:pPr>
            <w:r>
              <w:rPr>
                <w:rFonts w:ascii="Arial" w:hAnsi="Arial"/>
                <w:b/>
                <w:color w:val="FFFFFF"/>
                <w:sz w:val="36"/>
              </w:rPr>
              <w:lastRenderedPageBreak/>
              <w:t>04</w:t>
            </w:r>
          </w:p>
        </w:tc>
        <w:tc>
          <w:tcPr>
            <w:tcW w:w="4680" w:type="dxa"/>
            <w:tcBorders>
              <w:top w:val="nil"/>
              <w:left w:val="nil"/>
              <w:bottom w:val="nil"/>
              <w:right w:val="nil"/>
            </w:tcBorders>
            <w:shd w:val="clear" w:color="auto" w:fill="2E75B6"/>
            <w:vAlign w:val="center"/>
          </w:tcPr>
          <w:p w:rsidR="00A41CBA" w:rsidRDefault="00000000">
            <w:pPr>
              <w:spacing w:before="80" w:after="80"/>
            </w:pPr>
            <w:r>
              <w:rPr>
                <w:rFonts w:ascii="Arial" w:hAnsi="Arial"/>
                <w:b/>
                <w:color w:val="FFFFFF"/>
                <w:sz w:val="24"/>
              </w:rPr>
              <w:t xml:space="preserve">Proposal &amp; SOW   </w:t>
            </w:r>
            <w:r>
              <w:rPr>
                <w:rFonts w:ascii="Arial" w:hAnsi="Arial"/>
                <w:color w:val="AABBCC"/>
                <w:sz w:val="18"/>
              </w:rPr>
              <w:t>Trigger: Discovery complete, green light to propose</w:t>
            </w:r>
          </w:p>
        </w:tc>
      </w:tr>
    </w:tbl>
    <w:p w:rsidR="00A41CBA" w:rsidRDefault="00A41CBA">
      <w:pPr>
        <w:spacing w:before="20" w:after="20"/>
      </w:pPr>
    </w:p>
    <w:p w:rsidR="00A41CBA" w:rsidRDefault="00000000">
      <w:pPr>
        <w:spacing w:before="200" w:after="60"/>
      </w:pPr>
      <w:r>
        <w:rPr>
          <w:rFonts w:ascii="Arial" w:hAnsi="Arial"/>
          <w:b/>
          <w:color w:val="2E75B6"/>
        </w:rPr>
        <w:t>4.1  Proposal Structure</w:t>
      </w:r>
    </w:p>
    <w:p w:rsidR="00A41CBA" w:rsidRDefault="00000000">
      <w:pPr>
        <w:spacing w:before="40" w:after="80"/>
      </w:pPr>
      <w:r>
        <w:rPr>
          <w:rFonts w:ascii="Arial" w:hAnsi="Arial"/>
          <w:color w:val="1A1A1A"/>
          <w:sz w:val="20"/>
        </w:rPr>
        <w:t>All proposals follow the same structure regardless of service line. The content changes; the logic does not.</w:t>
      </w:r>
    </w:p>
    <w:p w:rsidR="00A41CBA" w:rsidRDefault="00000000">
      <w:pPr>
        <w:pStyle w:val="ListNumber"/>
        <w:spacing w:before="20" w:after="60"/>
      </w:pPr>
      <w:r>
        <w:rPr>
          <w:rFonts w:ascii="Arial" w:hAnsi="Arial"/>
          <w:b/>
          <w:color w:val="1A1A1A"/>
          <w:sz w:val="20"/>
        </w:rPr>
        <w:t xml:space="preserve">Executive Summary: </w:t>
      </w:r>
      <w:r>
        <w:rPr>
          <w:rFonts w:ascii="Arial" w:hAnsi="Arial"/>
          <w:color w:val="1A1A1A"/>
          <w:sz w:val="20"/>
        </w:rPr>
        <w:t>What we heard, why it matters, what we are proposing. Maximum 1 page. Opens with the client's own words.</w:t>
      </w:r>
    </w:p>
    <w:p w:rsidR="00A41CBA" w:rsidRDefault="00000000">
      <w:pPr>
        <w:pStyle w:val="ListNumber"/>
        <w:spacing w:before="20" w:after="60"/>
      </w:pPr>
      <w:r>
        <w:rPr>
          <w:rFonts w:ascii="Arial" w:hAnsi="Arial"/>
          <w:b/>
          <w:color w:val="1A1A1A"/>
          <w:sz w:val="20"/>
        </w:rPr>
        <w:t xml:space="preserve">Background &amp; Context: </w:t>
      </w:r>
      <w:r>
        <w:rPr>
          <w:rFonts w:ascii="Arial" w:hAnsi="Arial"/>
          <w:color w:val="1A1A1A"/>
          <w:sz w:val="20"/>
        </w:rPr>
        <w:t>Their situation, in their language, demonstrating genuine understanding</w:t>
      </w:r>
    </w:p>
    <w:p w:rsidR="00A41CBA" w:rsidRDefault="00000000">
      <w:pPr>
        <w:pStyle w:val="ListNumber"/>
        <w:spacing w:before="20" w:after="60"/>
      </w:pPr>
      <w:r>
        <w:rPr>
          <w:rFonts w:ascii="Arial" w:hAnsi="Arial"/>
          <w:b/>
          <w:color w:val="1A1A1A"/>
          <w:sz w:val="20"/>
        </w:rPr>
        <w:t xml:space="preserve">Our Approach: </w:t>
      </w:r>
      <w:r>
        <w:rPr>
          <w:rFonts w:ascii="Arial" w:hAnsi="Arial"/>
          <w:color w:val="1A1A1A"/>
          <w:sz w:val="20"/>
        </w:rPr>
        <w:t>The 80/10/10 model, DMAIC methodology where applicable, system-agnostic design principle</w:t>
      </w:r>
    </w:p>
    <w:p w:rsidR="00A41CBA" w:rsidRDefault="00000000">
      <w:pPr>
        <w:pStyle w:val="ListNumber"/>
        <w:spacing w:before="20" w:after="60"/>
      </w:pPr>
      <w:r>
        <w:rPr>
          <w:rFonts w:ascii="Arial" w:hAnsi="Arial"/>
          <w:b/>
          <w:color w:val="1A1A1A"/>
          <w:sz w:val="20"/>
        </w:rPr>
        <w:t xml:space="preserve">What We Will Deliver: </w:t>
      </w:r>
      <w:r>
        <w:rPr>
          <w:rFonts w:ascii="Arial" w:hAnsi="Arial"/>
          <w:color w:val="1A1A1A"/>
          <w:sz w:val="20"/>
        </w:rPr>
        <w:t>Phased plan, specific deliverables, named role responsibilities</w:t>
      </w:r>
    </w:p>
    <w:p w:rsidR="00A41CBA" w:rsidRDefault="00000000">
      <w:pPr>
        <w:pStyle w:val="ListNumber"/>
        <w:spacing w:before="20" w:after="60"/>
      </w:pPr>
      <w:r>
        <w:rPr>
          <w:rFonts w:ascii="Arial" w:hAnsi="Arial"/>
          <w:b/>
          <w:color w:val="1A1A1A"/>
          <w:sz w:val="20"/>
        </w:rPr>
        <w:t xml:space="preserve">Pricing &amp; Commercial Terms: </w:t>
      </w:r>
      <w:r>
        <w:rPr>
          <w:rFonts w:ascii="Arial" w:hAnsi="Arial"/>
          <w:color w:val="1A1A1A"/>
          <w:sz w:val="20"/>
        </w:rPr>
        <w:t>Fees by phase, milestone payment schedule, what is explicitly included and excluded</w:t>
      </w:r>
    </w:p>
    <w:p w:rsidR="00A41CBA" w:rsidRDefault="00000000">
      <w:pPr>
        <w:pStyle w:val="ListNumber"/>
        <w:spacing w:before="20" w:after="60"/>
      </w:pPr>
      <w:r>
        <w:rPr>
          <w:rFonts w:ascii="Arial" w:hAnsi="Arial"/>
          <w:b/>
          <w:color w:val="1A1A1A"/>
          <w:sz w:val="20"/>
        </w:rPr>
        <w:t xml:space="preserve">Why Trinzo: </w:t>
      </w:r>
      <w:r>
        <w:rPr>
          <w:rFonts w:ascii="Arial" w:hAnsi="Arial"/>
          <w:color w:val="1A1A1A"/>
          <w:sz w:val="20"/>
        </w:rPr>
        <w:t>Relevant experience, analogous engagement types, team capability overview</w:t>
      </w:r>
    </w:p>
    <w:p w:rsidR="00A41CBA" w:rsidRDefault="00000000">
      <w:pPr>
        <w:pStyle w:val="ListNumber"/>
        <w:spacing w:before="20" w:after="60"/>
      </w:pPr>
      <w:r>
        <w:rPr>
          <w:rFonts w:ascii="Arial" w:hAnsi="Arial"/>
          <w:b/>
          <w:color w:val="1A1A1A"/>
          <w:sz w:val="20"/>
        </w:rPr>
        <w:t xml:space="preserve">Next Steps: </w:t>
      </w:r>
      <w:r>
        <w:rPr>
          <w:rFonts w:ascii="Arial" w:hAnsi="Arial"/>
          <w:color w:val="1A1A1A"/>
          <w:sz w:val="20"/>
        </w:rPr>
        <w:t>Clear call to action with a proposed decision date</w:t>
      </w:r>
    </w:p>
    <w:p w:rsidR="00A41CBA" w:rsidRDefault="00A41CBA">
      <w:pPr>
        <w:spacing w:before="20" w:after="20"/>
      </w:pPr>
    </w:p>
    <w:p w:rsidR="00A41CBA" w:rsidRDefault="00000000">
      <w:pPr>
        <w:spacing w:before="200" w:after="60"/>
      </w:pPr>
      <w:r>
        <w:rPr>
          <w:rFonts w:ascii="Arial" w:hAnsi="Arial"/>
          <w:b/>
          <w:color w:val="2E75B6"/>
        </w:rPr>
        <w:t>4.2  SOW Bifurcation</w:t>
      </w:r>
    </w:p>
    <w:tbl>
      <w:tblPr>
        <w:tblStyle w:val="TableGrid"/>
        <w:tblW w:w="0" w:type="auto"/>
        <w:tblLook w:val="04A0" w:firstRow="1" w:lastRow="0" w:firstColumn="1" w:lastColumn="0" w:noHBand="0" w:noVBand="1"/>
      </w:tblPr>
      <w:tblGrid>
        <w:gridCol w:w="9360"/>
      </w:tblGrid>
      <w:tr w:rsidR="00A41CBA">
        <w:tc>
          <w:tcPr>
            <w:tcW w:w="9360" w:type="dxa"/>
            <w:tcBorders>
              <w:top w:val="nil"/>
              <w:left w:val="nil"/>
              <w:bottom w:val="nil"/>
              <w:right w:val="nil"/>
            </w:tcBorders>
            <w:shd w:val="clear" w:color="auto" w:fill="107C10"/>
            <w:vAlign w:val="center"/>
          </w:tcPr>
          <w:p w:rsidR="00A41CBA" w:rsidRDefault="00000000">
            <w:pPr>
              <w:spacing w:before="80" w:after="80"/>
            </w:pPr>
            <w:r>
              <w:rPr>
                <w:rFonts w:ascii="Arial" w:hAnsi="Arial"/>
                <w:b/>
                <w:color w:val="FFFFFF"/>
              </w:rPr>
              <w:t xml:space="preserve">TRACK A  </w:t>
            </w:r>
            <w:r>
              <w:rPr>
                <w:rFonts w:ascii="Arial" w:hAnsi="Arial"/>
                <w:color w:val="FFFFFF"/>
                <w:sz w:val="20"/>
              </w:rPr>
              <w:t>Fast-Track SOW — Training &amp; Discovery  |  Target: issued within 24 hours of proposal agreement</w:t>
            </w:r>
          </w:p>
        </w:tc>
      </w:tr>
    </w:tbl>
    <w:p w:rsidR="00A41CBA" w:rsidRDefault="00A41CBA">
      <w:pPr>
        <w:spacing w:before="20" w:after="20"/>
      </w:pPr>
    </w:p>
    <w:p w:rsidR="00A41CBA" w:rsidRDefault="00000000">
      <w:pPr>
        <w:spacing w:before="40" w:after="80"/>
      </w:pPr>
      <w:r>
        <w:rPr>
          <w:rFonts w:ascii="Arial" w:hAnsi="Arial"/>
          <w:color w:val="1A1A1A"/>
          <w:sz w:val="20"/>
        </w:rPr>
        <w:t>Track A SOWs use a pre-approved fixed-price template. No technical architecture review required.</w:t>
      </w:r>
    </w:p>
    <w:p w:rsidR="00A41CBA" w:rsidRDefault="00000000">
      <w:pPr>
        <w:pStyle w:val="ListBullet"/>
        <w:spacing w:before="20" w:after="40"/>
      </w:pPr>
      <w:r>
        <w:rPr>
          <w:rFonts w:ascii="Arial" w:hAnsi="Arial"/>
          <w:color w:val="1A1A1A"/>
          <w:sz w:val="20"/>
        </w:rPr>
        <w:t>Fixed price: €30K</w:t>
      </w:r>
    </w:p>
    <w:p w:rsidR="00A41CBA" w:rsidRDefault="00000000">
      <w:pPr>
        <w:pStyle w:val="ListBullet"/>
        <w:spacing w:before="20" w:after="40"/>
      </w:pPr>
      <w:r>
        <w:rPr>
          <w:rFonts w:ascii="Arial" w:hAnsi="Arial"/>
          <w:color w:val="1A1A1A"/>
          <w:sz w:val="20"/>
        </w:rPr>
        <w:t>ARIA Agent (Pillar 3) generates the first draft from the pre-approved Track A template</w:t>
      </w:r>
    </w:p>
    <w:p w:rsidR="00A41CBA" w:rsidRDefault="00000000">
      <w:pPr>
        <w:pStyle w:val="ListBullet"/>
        <w:spacing w:before="20" w:after="40"/>
      </w:pPr>
      <w:r>
        <w:rPr>
          <w:rFonts w:ascii="Arial" w:hAnsi="Arial"/>
          <w:color w:val="1A1A1A"/>
          <w:sz w:val="20"/>
        </w:rPr>
        <w:t>Head of Sales reviews and issues — no Head of Innovation sign-off required for standard scope</w:t>
      </w:r>
    </w:p>
    <w:p w:rsidR="00A41CBA" w:rsidRDefault="00000000">
      <w:pPr>
        <w:pStyle w:val="ListBullet"/>
        <w:spacing w:before="20" w:after="40"/>
      </w:pPr>
      <w:r>
        <w:rPr>
          <w:rFonts w:ascii="Arial" w:hAnsi="Arial"/>
          <w:color w:val="1A1A1A"/>
          <w:sz w:val="20"/>
        </w:rPr>
        <w:t>If GxP outputs are in scope for a training engagement, escalate to Track B process</w:t>
      </w:r>
    </w:p>
    <w:p w:rsidR="00A41CBA" w:rsidRDefault="00A41CBA">
      <w:pPr>
        <w:spacing w:before="20" w:after="20"/>
      </w:pPr>
    </w:p>
    <w:tbl>
      <w:tblPr>
        <w:tblStyle w:val="TableGrid"/>
        <w:tblW w:w="0" w:type="auto"/>
        <w:tblLook w:val="04A0" w:firstRow="1" w:lastRow="0" w:firstColumn="1" w:lastColumn="0" w:noHBand="0" w:noVBand="1"/>
      </w:tblPr>
      <w:tblGrid>
        <w:gridCol w:w="9360"/>
      </w:tblGrid>
      <w:tr w:rsidR="00A41CBA">
        <w:tc>
          <w:tcPr>
            <w:tcW w:w="9360" w:type="dxa"/>
            <w:tcBorders>
              <w:top w:val="nil"/>
              <w:left w:val="nil"/>
              <w:bottom w:val="nil"/>
              <w:right w:val="nil"/>
            </w:tcBorders>
            <w:shd w:val="clear" w:color="auto" w:fill="10548A"/>
            <w:vAlign w:val="center"/>
          </w:tcPr>
          <w:p w:rsidR="00A41CBA" w:rsidRDefault="00000000">
            <w:pPr>
              <w:spacing w:before="80" w:after="80"/>
            </w:pPr>
            <w:r>
              <w:rPr>
                <w:rFonts w:ascii="Arial" w:hAnsi="Arial"/>
                <w:b/>
                <w:color w:val="FFFFFF"/>
              </w:rPr>
              <w:t xml:space="preserve">TRACK B  </w:t>
            </w:r>
            <w:r>
              <w:rPr>
                <w:rFonts w:ascii="Arial" w:hAnsi="Arial"/>
                <w:color w:val="FFFFFF"/>
                <w:sz w:val="20"/>
              </w:rPr>
              <w:t>Deep-Regulated SOW — POC Factory &amp; Partner Implementation</w:t>
            </w:r>
          </w:p>
        </w:tc>
      </w:tr>
    </w:tbl>
    <w:p w:rsidR="00A41CBA" w:rsidRDefault="00A41CBA">
      <w:pPr>
        <w:spacing w:before="20" w:after="20"/>
      </w:pPr>
    </w:p>
    <w:p w:rsidR="00A41CBA" w:rsidRDefault="00000000">
      <w:pPr>
        <w:spacing w:before="40" w:after="80"/>
      </w:pPr>
      <w:r>
        <w:rPr>
          <w:rFonts w:ascii="Arial" w:hAnsi="Arial"/>
          <w:color w:val="1A1A1A"/>
          <w:sz w:val="20"/>
        </w:rPr>
        <w:t>Track B SOWs require a full technical architecture review before issue.</w:t>
      </w:r>
    </w:p>
    <w:p w:rsidR="00A41CBA" w:rsidRDefault="00000000">
      <w:pPr>
        <w:pStyle w:val="ListBullet"/>
        <w:spacing w:before="20" w:after="40"/>
      </w:pPr>
      <w:r>
        <w:rPr>
          <w:rFonts w:ascii="Arial" w:hAnsi="Arial"/>
          <w:color w:val="1A1A1A"/>
          <w:sz w:val="20"/>
        </w:rPr>
        <w:t>Head of Innovation drafts the Technical Solution Architecture</w:t>
      </w:r>
    </w:p>
    <w:p w:rsidR="00A41CBA" w:rsidRDefault="00000000">
      <w:pPr>
        <w:pStyle w:val="ListBullet"/>
        <w:spacing w:before="20" w:after="40"/>
      </w:pPr>
      <w:r>
        <w:rPr>
          <w:rFonts w:ascii="Arial" w:hAnsi="Arial"/>
          <w:color w:val="1A1A1A"/>
          <w:sz w:val="20"/>
        </w:rPr>
        <w:t>System-Agnostic Design Principle explicitly stated (see Section 8.1)</w:t>
      </w:r>
    </w:p>
    <w:p w:rsidR="00A41CBA" w:rsidRDefault="00000000">
      <w:pPr>
        <w:pStyle w:val="ListBullet"/>
        <w:spacing w:before="20" w:after="40"/>
      </w:pPr>
      <w:r>
        <w:rPr>
          <w:rFonts w:ascii="Arial" w:hAnsi="Arial"/>
          <w:color w:val="1A1A1A"/>
          <w:sz w:val="20"/>
        </w:rPr>
        <w:t>GAMP 5 categorisation declared where applicable: Category 4 (Configured Product) to avoid Category 5 (Custom Code) validation obligations</w:t>
      </w:r>
    </w:p>
    <w:p w:rsidR="00A41CBA" w:rsidRDefault="00000000">
      <w:pPr>
        <w:pStyle w:val="ListBullet"/>
        <w:spacing w:before="20" w:after="40"/>
      </w:pPr>
      <w:r>
        <w:rPr>
          <w:rFonts w:ascii="Arial" w:hAnsi="Arial"/>
          <w:color w:val="1A1A1A"/>
          <w:sz w:val="20"/>
        </w:rPr>
        <w:t>Milestone-based payment structure: 25% on signature, 25% on Phase 0 approval, 25% on Phase 1 approval, 25% on final handover</w:t>
      </w:r>
    </w:p>
    <w:p w:rsidR="00A41CBA" w:rsidRDefault="00000000">
      <w:pPr>
        <w:pStyle w:val="ListBullet"/>
        <w:spacing w:before="20" w:after="40"/>
      </w:pPr>
      <w:r>
        <w:rPr>
          <w:rFonts w:ascii="Arial" w:hAnsi="Arial"/>
          <w:color w:val="1A1A1A"/>
          <w:sz w:val="20"/>
        </w:rPr>
        <w:t>Time-and-materials billing is prohibited for Track B engagements</w:t>
      </w:r>
    </w:p>
    <w:p w:rsidR="00A41CBA" w:rsidRDefault="00000000">
      <w:pPr>
        <w:pStyle w:val="ListBullet"/>
        <w:spacing w:before="20" w:after="40"/>
      </w:pPr>
      <w:r>
        <w:rPr>
          <w:rFonts w:ascii="Arial" w:hAnsi="Arial"/>
          <w:color w:val="1A1A1A"/>
          <w:sz w:val="20"/>
        </w:rPr>
        <w:t>Adoption Management retainer (€30K/tranche) included as optional Phase 3 add-on</w:t>
      </w:r>
    </w:p>
    <w:p w:rsidR="00A41CBA" w:rsidRDefault="00000000">
      <w:pPr>
        <w:pStyle w:val="ListBullet"/>
        <w:spacing w:before="20" w:after="40"/>
      </w:pPr>
      <w:r>
        <w:rPr>
          <w:rFonts w:ascii="Arial" w:hAnsi="Arial"/>
          <w:color w:val="1A1A1A"/>
          <w:sz w:val="20"/>
        </w:rPr>
        <w:t>IP Protection Clause included (see Section 8.2)</w:t>
      </w:r>
    </w:p>
    <w:p w:rsidR="00A41CBA" w:rsidRDefault="00000000">
      <w:pPr>
        <w:pStyle w:val="ListBullet"/>
        <w:spacing w:before="20" w:after="40"/>
      </w:pPr>
      <w:r>
        <w:rPr>
          <w:rFonts w:ascii="Arial" w:hAnsi="Arial"/>
          <w:color w:val="1A1A1A"/>
          <w:sz w:val="20"/>
        </w:rPr>
        <w:t>Data Handling Agreement reference included (see Section 8.3)</w:t>
      </w:r>
    </w:p>
    <w:p w:rsidR="00A41CBA" w:rsidRDefault="00A41CBA">
      <w:pPr>
        <w:spacing w:before="20" w:after="20"/>
      </w:pPr>
    </w:p>
    <w:p w:rsidR="00A41CBA" w:rsidRDefault="00000000">
      <w:pPr>
        <w:spacing w:before="200" w:after="60"/>
      </w:pPr>
      <w:r>
        <w:rPr>
          <w:rFonts w:ascii="Arial" w:hAnsi="Arial"/>
          <w:b/>
          <w:color w:val="2E75B6"/>
        </w:rPr>
        <w:t>4.3  Proposal Quality Checklist</w:t>
      </w:r>
    </w:p>
    <w:tbl>
      <w:tblPr>
        <w:tblStyle w:val="TableGrid"/>
        <w:tblW w:w="0" w:type="auto"/>
        <w:tblLook w:val="04A0" w:firstRow="1" w:lastRow="0" w:firstColumn="1" w:lastColumn="0" w:noHBand="0" w:noVBand="1"/>
      </w:tblPr>
      <w:tblGrid>
        <w:gridCol w:w="4680"/>
        <w:gridCol w:w="4680"/>
      </w:tblGrid>
      <w:tr w:rsidR="00A41CBA">
        <w:tc>
          <w:tcPr>
            <w:tcW w:w="4680"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Checklist Item</w:t>
            </w:r>
          </w:p>
        </w:tc>
        <w:tc>
          <w:tcPr>
            <w:tcW w:w="4680"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Notes / Guidance</w:t>
            </w:r>
          </w:p>
        </w:tc>
      </w:tr>
      <w:tr w:rsidR="00A41CBA">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  Executive summary opens with verbatim client language</w:t>
            </w:r>
          </w:p>
        </w:tc>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If you cannot do this, the discovery was not deep enough</w:t>
            </w:r>
          </w:p>
        </w:tc>
      </w:tr>
      <w:tr w:rsidR="00A41CBA">
        <w:tc>
          <w:tcPr>
            <w:tcW w:w="468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  Named use cases are specific, not generic</w:t>
            </w:r>
          </w:p>
        </w:tc>
        <w:tc>
          <w:tcPr>
            <w:tcW w:w="468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"DIS drafter for Class II DHF development" not "AI for documentation"</w:t>
            </w:r>
          </w:p>
        </w:tc>
      </w:tr>
      <w:tr w:rsidR="00A41CBA">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  Deliverables list is concrete with a named owner per item</w:t>
            </w:r>
          </w:p>
        </w:tc>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Client must be able to tell exactly what they receive at each gate</w:t>
            </w:r>
          </w:p>
        </w:tc>
      </w:tr>
      <w:tr w:rsidR="00A41CBA">
        <w:tc>
          <w:tcPr>
            <w:tcW w:w="468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  Phasing is realistic with a stated gate criterion at each transition</w:t>
            </w:r>
          </w:p>
        </w:tc>
        <w:tc>
          <w:tcPr>
            <w:tcW w:w="468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Gates protect scope — include them even if they slow the proposal</w:t>
            </w:r>
          </w:p>
        </w:tc>
      </w:tr>
      <w:tr w:rsidR="00A41CBA">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  GxP boundary and system-agnostic principle explicitly addressed</w:t>
            </w:r>
          </w:p>
        </w:tc>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Regulated clients will ask; answer it before they do</w:t>
            </w:r>
          </w:p>
        </w:tc>
      </w:tr>
      <w:tr w:rsidR="00A41CBA">
        <w:tc>
          <w:tcPr>
            <w:tcW w:w="468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  Pricing is clear and not buried</w:t>
            </w:r>
          </w:p>
        </w:tc>
        <w:tc>
          <w:tcPr>
            <w:tcW w:w="468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Milestone schedule stated upfront. Exclusions listed explicitly.</w:t>
            </w:r>
          </w:p>
        </w:tc>
      </w:tr>
      <w:tr w:rsidR="00A41CBA">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  Track B only: IP Protection Clause and Data Handling Agreement referenced</w:t>
            </w:r>
          </w:p>
        </w:tc>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Standard clauses — do not omit</w:t>
            </w:r>
          </w:p>
        </w:tc>
      </w:tr>
      <w:tr w:rsidR="00A41CBA">
        <w:tc>
          <w:tcPr>
            <w:tcW w:w="468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  Adoption Management retainer included as optional add-on (Track B)</w:t>
            </w:r>
          </w:p>
        </w:tc>
        <w:tc>
          <w:tcPr>
            <w:tcW w:w="468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Pre-sold at SOW stage, not after handover</w:t>
            </w:r>
          </w:p>
        </w:tc>
      </w:tr>
      <w:tr w:rsidR="00A41CBA">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  Next steps have a named owner and proposed date</w:t>
            </w:r>
          </w:p>
        </w:tc>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A proposal without a next step is a document, not a commercial tool</w:t>
            </w:r>
          </w:p>
        </w:tc>
      </w:tr>
      <w:tr w:rsidR="00A41CBA">
        <w:tc>
          <w:tcPr>
            <w:tcW w:w="468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  Reviewed and proofread before issue</w:t>
            </w:r>
          </w:p>
        </w:tc>
        <w:tc>
          <w:tcPr>
            <w:tcW w:w="468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No template language left in. No client name errors. Trinzo brand applied.</w:t>
            </w:r>
          </w:p>
        </w:tc>
      </w:tr>
    </w:tbl>
    <w:p w:rsidR="00A41CBA" w:rsidRDefault="00A41CBA">
      <w:pPr>
        <w:spacing w:before="20" w:after="20"/>
      </w:pPr>
    </w:p>
    <w:p w:rsidR="00A41CBA" w:rsidRDefault="00000000">
      <w:r>
        <w:br w:type="page"/>
      </w:r>
    </w:p>
    <w:tbl>
      <w:tblPr>
        <w:tblStyle w:val="TableGrid"/>
        <w:tblW w:w="0" w:type="auto"/>
        <w:tblLook w:val="04A0" w:firstRow="1" w:lastRow="0" w:firstColumn="1" w:lastColumn="0" w:noHBand="0" w:noVBand="1"/>
      </w:tblPr>
      <w:tblGrid>
        <w:gridCol w:w="4680"/>
        <w:gridCol w:w="4680"/>
      </w:tblGrid>
      <w:tr w:rsidR="00A41CBA">
        <w:tc>
          <w:tcPr>
            <w:tcW w:w="4680" w:type="dxa"/>
            <w:tcBorders>
              <w:top w:val="nil"/>
              <w:left w:val="nil"/>
              <w:bottom w:val="nil"/>
              <w:right w:val="nil"/>
            </w:tcBorders>
            <w:shd w:val="clear" w:color="auto" w:fill="1A3C6E"/>
            <w:vAlign w:val="center"/>
          </w:tcPr>
          <w:p w:rsidR="00A41CBA" w:rsidRDefault="00000000">
            <w:pPr>
              <w:spacing w:before="40" w:after="40"/>
              <w:jc w:val="center"/>
            </w:pPr>
            <w:r>
              <w:rPr>
                <w:rFonts w:ascii="Arial" w:hAnsi="Arial"/>
                <w:b/>
                <w:color w:val="FFFFFF"/>
                <w:sz w:val="36"/>
              </w:rPr>
              <w:lastRenderedPageBreak/>
              <w:t>05</w:t>
            </w:r>
          </w:p>
        </w:tc>
        <w:tc>
          <w:tcPr>
            <w:tcW w:w="4680" w:type="dxa"/>
            <w:tcBorders>
              <w:top w:val="nil"/>
              <w:left w:val="nil"/>
              <w:bottom w:val="nil"/>
              <w:right w:val="nil"/>
            </w:tcBorders>
            <w:shd w:val="clear" w:color="auto" w:fill="2E75B6"/>
            <w:vAlign w:val="center"/>
          </w:tcPr>
          <w:p w:rsidR="00A41CBA" w:rsidRDefault="00000000">
            <w:pPr>
              <w:spacing w:before="80" w:after="80"/>
            </w:pPr>
            <w:r>
              <w:rPr>
                <w:rFonts w:ascii="Arial" w:hAnsi="Arial"/>
                <w:b/>
                <w:color w:val="FFFFFF"/>
                <w:sz w:val="24"/>
              </w:rPr>
              <w:t xml:space="preserve">Contract &amp; Kick-off   </w:t>
            </w:r>
            <w:r>
              <w:rPr>
                <w:rFonts w:ascii="Arial" w:hAnsi="Arial"/>
                <w:color w:val="AABBCC"/>
                <w:sz w:val="18"/>
              </w:rPr>
              <w:t>Trigger: Proposal accepted, verbal or written go-ahead received</w:t>
            </w:r>
          </w:p>
        </w:tc>
      </w:tr>
    </w:tbl>
    <w:p w:rsidR="00A41CBA" w:rsidRDefault="00A41CBA">
      <w:pPr>
        <w:spacing w:before="20" w:after="20"/>
      </w:pPr>
    </w:p>
    <w:p w:rsidR="00A41CBA" w:rsidRDefault="00000000">
      <w:pPr>
        <w:spacing w:before="200" w:after="60"/>
      </w:pPr>
      <w:r>
        <w:rPr>
          <w:rFonts w:ascii="Arial" w:hAnsi="Arial"/>
          <w:b/>
          <w:color w:val="2E75B6"/>
        </w:rPr>
        <w:t>5.1  Commercial &amp; Legal</w:t>
      </w:r>
    </w:p>
    <w:p w:rsidR="00A41CBA" w:rsidRDefault="00000000">
      <w:pPr>
        <w:pStyle w:val="ListBullet"/>
        <w:spacing w:before="20" w:after="40"/>
      </w:pPr>
      <w:r>
        <w:rPr>
          <w:rFonts w:ascii="Arial" w:hAnsi="Arial"/>
          <w:color w:val="1A1A1A"/>
          <w:sz w:val="20"/>
        </w:rPr>
        <w:t>NDA in place before any client data is shared — PM to track and confirm before Stage 6</w:t>
      </w:r>
    </w:p>
    <w:p w:rsidR="00A41CBA" w:rsidRDefault="00000000">
      <w:pPr>
        <w:pStyle w:val="ListBullet"/>
        <w:spacing w:before="20" w:after="40"/>
      </w:pPr>
      <w:r>
        <w:rPr>
          <w:rFonts w:ascii="Arial" w:hAnsi="Arial"/>
          <w:color w:val="1A1A1A"/>
          <w:sz w:val="20"/>
        </w:rPr>
        <w:t>SOW signed and countersigned before any billable work begins</w:t>
      </w:r>
    </w:p>
    <w:p w:rsidR="00A41CBA" w:rsidRDefault="00000000">
      <w:pPr>
        <w:pStyle w:val="ListBullet"/>
        <w:spacing w:before="20" w:after="40"/>
      </w:pPr>
      <w:r>
        <w:rPr>
          <w:rFonts w:ascii="Arial" w:hAnsi="Arial"/>
          <w:color w:val="1A1A1A"/>
          <w:sz w:val="20"/>
        </w:rPr>
        <w:t>Procurement route confirmed: does the client require a PO, vendor onboarding, or framework agreement? Start immediately — procurement is always the critical path.</w:t>
      </w:r>
    </w:p>
    <w:p w:rsidR="00A41CBA" w:rsidRDefault="00000000">
      <w:pPr>
        <w:pStyle w:val="ListBullet"/>
        <w:spacing w:before="20" w:after="40"/>
      </w:pPr>
      <w:r>
        <w:rPr>
          <w:rFonts w:ascii="Arial" w:hAnsi="Arial"/>
          <w:color w:val="1A1A1A"/>
          <w:sz w:val="20"/>
        </w:rPr>
        <w:t>Invoice schedule confirmed and logged with Finance before kick-off</w:t>
      </w:r>
    </w:p>
    <w:p w:rsidR="00A41CBA" w:rsidRDefault="00000000">
      <w:pPr>
        <w:pStyle w:val="ListBullet"/>
        <w:spacing w:before="20" w:after="40"/>
      </w:pPr>
      <w:r>
        <w:rPr>
          <w:rFonts w:ascii="Arial" w:hAnsi="Arial"/>
          <w:color w:val="1A1A1A"/>
          <w:sz w:val="20"/>
        </w:rPr>
        <w:t>Data Handling Agreement signed (Track B required; Track A recommended)</w:t>
      </w:r>
    </w:p>
    <w:p w:rsidR="00A41CBA" w:rsidRDefault="00000000">
      <w:pPr>
        <w:spacing w:before="200" w:after="60"/>
      </w:pPr>
      <w:r>
        <w:rPr>
          <w:rFonts w:ascii="Arial" w:hAnsi="Arial"/>
          <w:b/>
          <w:color w:val="2E75B6"/>
        </w:rPr>
        <w:t>5.2  Internal Kick-off</w:t>
      </w:r>
    </w:p>
    <w:p w:rsidR="00A41CBA" w:rsidRDefault="00000000">
      <w:pPr>
        <w:spacing w:before="40" w:after="80"/>
      </w:pPr>
      <w:r>
        <w:rPr>
          <w:rFonts w:ascii="Arial" w:hAnsi="Arial"/>
          <w:color w:val="1A1A1A"/>
          <w:sz w:val="20"/>
        </w:rPr>
        <w:t>A 30-minute internal briefing is mandatory before the client kick-off. All delivery team members attend.</w:t>
      </w:r>
    </w:p>
    <w:tbl>
      <w:tblPr>
        <w:tblStyle w:val="TableGrid"/>
        <w:tblW w:w="0" w:type="auto"/>
        <w:tblLook w:val="04A0" w:firstRow="1" w:lastRow="0" w:firstColumn="1" w:lastColumn="0" w:noHBand="0" w:noVBand="1"/>
      </w:tblPr>
      <w:tblGrid>
        <w:gridCol w:w="4680"/>
        <w:gridCol w:w="4680"/>
      </w:tblGrid>
      <w:tr w:rsidR="00A41CBA">
        <w:tc>
          <w:tcPr>
            <w:tcW w:w="4680"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Checklist Item</w:t>
            </w:r>
          </w:p>
        </w:tc>
        <w:tc>
          <w:tcPr>
            <w:tcW w:w="4680"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Notes / Guidance</w:t>
            </w:r>
          </w:p>
        </w:tc>
      </w:tr>
      <w:tr w:rsidR="00A41CBA">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  Internal Team Briefing Pack distributed</w:t>
            </w:r>
          </w:p>
        </w:tc>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Scope, timeline, client context, roles, key sensitivities</w:t>
            </w:r>
          </w:p>
        </w:tc>
      </w:tr>
      <w:tr w:rsidR="00A41CBA">
        <w:tc>
          <w:tcPr>
            <w:tcW w:w="468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  Roles and deliverable ownership confirmed</w:t>
            </w:r>
          </w:p>
        </w:tc>
        <w:tc>
          <w:tcPr>
            <w:tcW w:w="468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Every deliverable has a named owner and a due date before the call ends</w:t>
            </w:r>
          </w:p>
        </w:tc>
      </w:tr>
      <w:tr w:rsidR="00A41CBA">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  GxP / CSV constraints understood by all team members</w:t>
            </w:r>
          </w:p>
        </w:tc>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If regulated: deliverables describe human behaviours and decisions, not system internals</w:t>
            </w:r>
          </w:p>
        </w:tc>
      </w:tr>
      <w:tr w:rsidR="00A41CBA">
        <w:tc>
          <w:tcPr>
            <w:tcW w:w="468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  Risk register opened with at minimum four standard risks</w:t>
            </w:r>
          </w:p>
        </w:tc>
        <w:tc>
          <w:tcPr>
            <w:tcW w:w="468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Scope creep; stakeholder availability; data access delays; regulated output complexity</w:t>
            </w:r>
          </w:p>
        </w:tc>
      </w:tr>
      <w:tr w:rsidR="00A41CBA">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  Client communication cadence agreed</w:t>
            </w:r>
          </w:p>
        </w:tc>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Weekly status call, day and time fixed. Fortnightly for Track A.</w:t>
            </w:r>
          </w:p>
        </w:tc>
      </w:tr>
      <w:tr w:rsidR="00A41CBA">
        <w:tc>
          <w:tcPr>
            <w:tcW w:w="468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  Deliverables tracker created and shared with client</w:t>
            </w:r>
          </w:p>
        </w:tc>
        <w:tc>
          <w:tcPr>
            <w:tcW w:w="468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Live document. PM updates weekly. Client can see it.</w:t>
            </w:r>
          </w:p>
        </w:tc>
      </w:tr>
      <w:tr w:rsidR="00A41CBA">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  Content Freeze dates set</w:t>
            </w:r>
          </w:p>
        </w:tc>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All training decks and playbooks must be locked 5 business days before delivery for GxP SME review</w:t>
            </w:r>
          </w:p>
        </w:tc>
      </w:tr>
    </w:tbl>
    <w:p w:rsidR="00A41CBA" w:rsidRDefault="00A41CBA">
      <w:pPr>
        <w:spacing w:before="20" w:after="20"/>
      </w:pPr>
    </w:p>
    <w:p w:rsidR="00A41CBA" w:rsidRDefault="00000000">
      <w:pPr>
        <w:spacing w:before="200" w:after="60"/>
      </w:pPr>
      <w:r>
        <w:rPr>
          <w:rFonts w:ascii="Arial" w:hAnsi="Arial"/>
          <w:b/>
          <w:color w:val="2E75B6"/>
        </w:rPr>
        <w:t>5.3  Client Kick-off</w:t>
      </w:r>
    </w:p>
    <w:p w:rsidR="00A41CBA" w:rsidRDefault="00000000">
      <w:pPr>
        <w:pStyle w:val="ListNumber"/>
        <w:spacing w:before="20" w:after="60"/>
      </w:pPr>
      <w:r>
        <w:rPr>
          <w:rFonts w:ascii="Arial" w:hAnsi="Arial"/>
          <w:b/>
          <w:color w:val="1A1A1A"/>
          <w:sz w:val="20"/>
        </w:rPr>
        <w:t xml:space="preserve">Introductions: </w:t>
      </w:r>
      <w:r>
        <w:rPr>
          <w:rFonts w:ascii="Arial" w:hAnsi="Arial"/>
          <w:color w:val="1A1A1A"/>
          <w:sz w:val="20"/>
        </w:rPr>
        <w:t>Names, titles, and what each person contributes to the programme</w:t>
      </w:r>
    </w:p>
    <w:p w:rsidR="00A41CBA" w:rsidRDefault="00000000">
      <w:pPr>
        <w:pStyle w:val="ListNumber"/>
        <w:spacing w:before="20" w:after="60"/>
      </w:pPr>
      <w:r>
        <w:rPr>
          <w:rFonts w:ascii="Arial" w:hAnsi="Arial"/>
          <w:b/>
          <w:color w:val="1A1A1A"/>
          <w:sz w:val="20"/>
        </w:rPr>
        <w:t xml:space="preserve">Programme overview: </w:t>
      </w:r>
      <w:r>
        <w:rPr>
          <w:rFonts w:ascii="Arial" w:hAnsi="Arial"/>
          <w:color w:val="1A1A1A"/>
          <w:sz w:val="20"/>
        </w:rPr>
        <w:t>Phases, gates, timeline, key milestones — walk through the SOW</w:t>
      </w:r>
    </w:p>
    <w:p w:rsidR="00A41CBA" w:rsidRDefault="00000000">
      <w:pPr>
        <w:pStyle w:val="ListNumber"/>
        <w:spacing w:before="20" w:after="60"/>
      </w:pPr>
      <w:r>
        <w:rPr>
          <w:rFonts w:ascii="Arial" w:hAnsi="Arial"/>
          <w:b/>
          <w:color w:val="1A1A1A"/>
          <w:sz w:val="20"/>
        </w:rPr>
        <w:t xml:space="preserve">Ways of working: </w:t>
      </w:r>
      <w:r>
        <w:rPr>
          <w:rFonts w:ascii="Arial" w:hAnsi="Arial"/>
          <w:color w:val="1A1A1A"/>
          <w:sz w:val="20"/>
        </w:rPr>
        <w:t>Communication channels, escalation path, PM's role vs. joint decisions</w:t>
      </w:r>
    </w:p>
    <w:p w:rsidR="00A41CBA" w:rsidRDefault="00000000">
      <w:pPr>
        <w:pStyle w:val="ListNumber"/>
        <w:spacing w:before="20" w:after="60"/>
      </w:pPr>
      <w:r>
        <w:rPr>
          <w:rFonts w:ascii="Arial" w:hAnsi="Arial"/>
          <w:b/>
          <w:color w:val="1A1A1A"/>
          <w:sz w:val="20"/>
        </w:rPr>
        <w:t xml:space="preserve">Client-side requirements: </w:t>
      </w:r>
      <w:r>
        <w:rPr>
          <w:rFonts w:ascii="Arial" w:hAnsi="Arial"/>
          <w:color w:val="1A1A1A"/>
          <w:sz w:val="20"/>
        </w:rPr>
        <w:t>Who is needed from the client, when, and for what — make this explicit</w:t>
      </w:r>
    </w:p>
    <w:p w:rsidR="00A41CBA" w:rsidRDefault="00000000">
      <w:pPr>
        <w:pStyle w:val="ListNumber"/>
        <w:spacing w:before="20" w:after="60"/>
      </w:pPr>
      <w:r>
        <w:rPr>
          <w:rFonts w:ascii="Arial" w:hAnsi="Arial"/>
          <w:b/>
          <w:color w:val="1A1A1A"/>
          <w:sz w:val="20"/>
        </w:rPr>
        <w:t xml:space="preserve">Data and access: </w:t>
      </w:r>
      <w:r>
        <w:rPr>
          <w:rFonts w:ascii="Arial" w:hAnsi="Arial"/>
          <w:color w:val="1A1A1A"/>
          <w:sz w:val="20"/>
        </w:rPr>
        <w:t>What Trinzo needs, by when, and from whom — IT contacts named</w:t>
      </w:r>
    </w:p>
    <w:p w:rsidR="00A41CBA" w:rsidRDefault="00000000">
      <w:pPr>
        <w:pStyle w:val="ListNumber"/>
        <w:spacing w:before="20" w:after="60"/>
      </w:pPr>
      <w:r>
        <w:rPr>
          <w:rFonts w:ascii="Arial" w:hAnsi="Arial"/>
          <w:b/>
          <w:color w:val="1A1A1A"/>
          <w:sz w:val="20"/>
        </w:rPr>
        <w:t xml:space="preserve">First deliverable: </w:t>
      </w:r>
      <w:r>
        <w:rPr>
          <w:rFonts w:ascii="Arial" w:hAnsi="Arial"/>
          <w:color w:val="1A1A1A"/>
          <w:sz w:val="20"/>
        </w:rPr>
        <w:t>What the client will see first and when — set the expectation immediately</w:t>
      </w:r>
    </w:p>
    <w:p w:rsidR="00A41CBA" w:rsidRDefault="00A41CBA">
      <w:pPr>
        <w:spacing w:before="20" w:after="20"/>
      </w:pPr>
    </w:p>
    <w:tbl>
      <w:tblPr>
        <w:tblStyle w:val="TableGrid"/>
        <w:tblW w:w="0" w:type="auto"/>
        <w:tblLook w:val="04A0" w:firstRow="1" w:lastRow="0" w:firstColumn="1" w:lastColumn="0" w:noHBand="0" w:noVBand="1"/>
      </w:tblPr>
      <w:tblGrid>
        <w:gridCol w:w="9360"/>
      </w:tblGrid>
      <w:tr w:rsidR="00A41CBA">
        <w:tc>
          <w:tcPr>
            <w:tcW w:w="9360" w:type="dxa"/>
            <w:tcBorders>
              <w:top w:val="single" w:sz="4" w:space="0" w:color="C57D00"/>
              <w:left w:val="single" w:sz="12" w:space="0" w:color="C57D00"/>
              <w:bottom w:val="single" w:sz="4" w:space="0" w:color="C57D00"/>
              <w:right w:val="single" w:sz="4" w:space="0" w:color="C57D00"/>
            </w:tcBorders>
            <w:shd w:val="clear" w:color="auto" w:fill="FFF3CD"/>
          </w:tcPr>
          <w:p w:rsidR="00A41CBA" w:rsidRDefault="00000000">
            <w:pPr>
              <w:spacing w:before="60" w:after="60"/>
            </w:pPr>
            <w:r>
              <w:rPr>
                <w:rFonts w:ascii="Arial" w:hAnsi="Arial"/>
                <w:color w:val="1A1A1A"/>
                <w:sz w:val="19"/>
              </w:rPr>
              <w:t>Medtronic Lesson: IT onboarding (SSO, Azure tenant permissions, data access) was the critical path item on every technical engagement — not the AI work. Confirm the IT and procurement contacts by name at the client kick-off and assign a Trinzo PM action to follow up within 48 hours.</w:t>
            </w:r>
          </w:p>
        </w:tc>
      </w:tr>
    </w:tbl>
    <w:p w:rsidR="00A41CBA" w:rsidRDefault="00A41CBA">
      <w:pPr>
        <w:spacing w:before="20" w:after="20"/>
      </w:pPr>
    </w:p>
    <w:p w:rsidR="00A41CBA" w:rsidRDefault="00000000">
      <w:r>
        <w:br w:type="page"/>
      </w:r>
    </w:p>
    <w:tbl>
      <w:tblPr>
        <w:tblStyle w:val="TableGrid"/>
        <w:tblW w:w="0" w:type="auto"/>
        <w:tblLook w:val="04A0" w:firstRow="1" w:lastRow="0" w:firstColumn="1" w:lastColumn="0" w:noHBand="0" w:noVBand="1"/>
      </w:tblPr>
      <w:tblGrid>
        <w:gridCol w:w="4680"/>
        <w:gridCol w:w="4680"/>
      </w:tblGrid>
      <w:tr w:rsidR="00A41CBA">
        <w:tc>
          <w:tcPr>
            <w:tcW w:w="4680" w:type="dxa"/>
            <w:tcBorders>
              <w:top w:val="nil"/>
              <w:left w:val="nil"/>
              <w:bottom w:val="nil"/>
              <w:right w:val="nil"/>
            </w:tcBorders>
            <w:shd w:val="clear" w:color="auto" w:fill="1A3C6E"/>
            <w:vAlign w:val="center"/>
          </w:tcPr>
          <w:p w:rsidR="00A41CBA" w:rsidRDefault="00000000">
            <w:pPr>
              <w:spacing w:before="40" w:after="40"/>
              <w:jc w:val="center"/>
            </w:pPr>
            <w:r>
              <w:rPr>
                <w:rFonts w:ascii="Arial" w:hAnsi="Arial"/>
                <w:b/>
                <w:color w:val="FFFFFF"/>
                <w:sz w:val="36"/>
              </w:rPr>
              <w:lastRenderedPageBreak/>
              <w:t>06</w:t>
            </w:r>
          </w:p>
        </w:tc>
        <w:tc>
          <w:tcPr>
            <w:tcW w:w="4680" w:type="dxa"/>
            <w:tcBorders>
              <w:top w:val="nil"/>
              <w:left w:val="nil"/>
              <w:bottom w:val="nil"/>
              <w:right w:val="nil"/>
            </w:tcBorders>
            <w:shd w:val="clear" w:color="auto" w:fill="2E75B6"/>
            <w:vAlign w:val="center"/>
          </w:tcPr>
          <w:p w:rsidR="00A41CBA" w:rsidRDefault="00000000">
            <w:pPr>
              <w:spacing w:before="80" w:after="80"/>
            </w:pPr>
            <w:r>
              <w:rPr>
                <w:rFonts w:ascii="Arial" w:hAnsi="Arial"/>
                <w:b/>
                <w:color w:val="FFFFFF"/>
                <w:sz w:val="24"/>
              </w:rPr>
              <w:t xml:space="preserve">Delivery   </w:t>
            </w:r>
            <w:r>
              <w:rPr>
                <w:rFonts w:ascii="Arial" w:hAnsi="Arial"/>
                <w:color w:val="AABBCC"/>
                <w:sz w:val="18"/>
              </w:rPr>
              <w:t>Trigger: Kick-off complete, SOW signed, work begins</w:t>
            </w:r>
          </w:p>
        </w:tc>
      </w:tr>
    </w:tbl>
    <w:p w:rsidR="00A41CBA" w:rsidRDefault="00A41CBA">
      <w:pPr>
        <w:spacing w:before="20" w:after="20"/>
      </w:pPr>
    </w:p>
    <w:p w:rsidR="00A41CBA" w:rsidRDefault="00000000">
      <w:pPr>
        <w:spacing w:before="200" w:after="60"/>
      </w:pPr>
      <w:r>
        <w:rPr>
          <w:rFonts w:ascii="Arial" w:hAnsi="Arial"/>
          <w:b/>
          <w:color w:val="2E75B6"/>
        </w:rPr>
        <w:t>6.1  Non-Negotiable Delivery Principles</w:t>
      </w:r>
    </w:p>
    <w:tbl>
      <w:tblPr>
        <w:tblStyle w:val="TableGrid"/>
        <w:tblW w:w="0" w:type="auto"/>
        <w:tblLook w:val="04A0" w:firstRow="1" w:lastRow="0" w:firstColumn="1" w:lastColumn="0" w:noHBand="0" w:noVBand="1"/>
      </w:tblPr>
      <w:tblGrid>
        <w:gridCol w:w="9360"/>
      </w:tblGrid>
      <w:tr w:rsidR="00A41CBA">
        <w:tc>
          <w:tcPr>
            <w:tcW w:w="9360" w:type="dxa"/>
            <w:tcBorders>
              <w:top w:val="single" w:sz="4" w:space="0" w:color="1A3C6E"/>
              <w:left w:val="single" w:sz="12" w:space="0" w:color="1A3C6E"/>
              <w:bottom w:val="single" w:sz="4" w:space="0" w:color="1A3C6E"/>
              <w:right w:val="single" w:sz="4" w:space="0" w:color="1A3C6E"/>
            </w:tcBorders>
            <w:shd w:val="clear" w:color="auto" w:fill="E8F4FD"/>
          </w:tcPr>
          <w:p w:rsidR="00A41CBA" w:rsidRDefault="00000000">
            <w:pPr>
              <w:spacing w:before="60" w:after="60"/>
            </w:pPr>
            <w:r>
              <w:rPr>
                <w:rFonts w:ascii="Arial" w:hAnsi="Arial"/>
                <w:color w:val="1A1A1A"/>
                <w:sz w:val="19"/>
              </w:rPr>
              <w:t>System-Agnostic Design (The GSK Principle): Every Trinzo deliverable describes human behaviours, decisions, and AI-assistance boundaries. Nothing Trinzo produces describes, prescribes, or depends on the internal operations of any client system subject to Computer Systems Validation (CSV). Deliverables remain valid regardless of client system changes. This is both a regulatory protection and a commercial protection for Trinzo.</w:t>
            </w:r>
          </w:p>
        </w:tc>
      </w:tr>
    </w:tbl>
    <w:p w:rsidR="00A41CBA" w:rsidRDefault="00A41CBA">
      <w:pPr>
        <w:spacing w:before="20" w:after="20"/>
      </w:pPr>
    </w:p>
    <w:tbl>
      <w:tblPr>
        <w:tblStyle w:val="TableGrid"/>
        <w:tblW w:w="0" w:type="auto"/>
        <w:tblLook w:val="04A0" w:firstRow="1" w:lastRow="0" w:firstColumn="1" w:lastColumn="0" w:noHBand="0" w:noVBand="1"/>
      </w:tblPr>
      <w:tblGrid>
        <w:gridCol w:w="9360"/>
      </w:tblGrid>
      <w:tr w:rsidR="00A41CBA">
        <w:tc>
          <w:tcPr>
            <w:tcW w:w="9360" w:type="dxa"/>
            <w:tcBorders>
              <w:top w:val="single" w:sz="4" w:space="0" w:color="C57D00"/>
              <w:left w:val="single" w:sz="12" w:space="0" w:color="C57D00"/>
              <w:bottom w:val="single" w:sz="4" w:space="0" w:color="C57D00"/>
              <w:right w:val="single" w:sz="4" w:space="0" w:color="C57D00"/>
            </w:tcBorders>
            <w:shd w:val="clear" w:color="auto" w:fill="FFF3CD"/>
          </w:tcPr>
          <w:p w:rsidR="00A41CBA" w:rsidRDefault="00000000">
            <w:pPr>
              <w:spacing w:before="60" w:after="60"/>
            </w:pPr>
            <w:r>
              <w:rPr>
                <w:rFonts w:ascii="Arial" w:hAnsi="Arial"/>
                <w:color w:val="1A1A1A"/>
                <w:sz w:val="19"/>
              </w:rPr>
              <w:t>Content Freeze Rule: All training decks, playbooks, and prompt libraries must be locked 5 business days before delivery. This gives the GxP SME a non-negotiable review window. No unvalidated AI-generated content reaches a regulated client under deadline pressure.</w:t>
            </w:r>
          </w:p>
        </w:tc>
      </w:tr>
    </w:tbl>
    <w:p w:rsidR="00A41CBA" w:rsidRDefault="00A41CBA">
      <w:pPr>
        <w:spacing w:before="20" w:after="20"/>
      </w:pPr>
    </w:p>
    <w:p w:rsidR="00A41CBA" w:rsidRDefault="00000000">
      <w:pPr>
        <w:spacing w:before="200" w:after="60"/>
      </w:pPr>
      <w:r>
        <w:rPr>
          <w:rFonts w:ascii="Arial" w:hAnsi="Arial"/>
          <w:b/>
          <w:color w:val="2E75B6"/>
        </w:rPr>
        <w:t>6.2  Track A Delivery — Training &amp; Discovery Workshops</w:t>
      </w:r>
    </w:p>
    <w:tbl>
      <w:tblPr>
        <w:tblStyle w:val="TableGrid"/>
        <w:tblW w:w="0" w:type="auto"/>
        <w:tblLook w:val="04A0" w:firstRow="1" w:lastRow="0" w:firstColumn="1" w:lastColumn="0" w:noHBand="0" w:noVBand="1"/>
      </w:tblPr>
      <w:tblGrid>
        <w:gridCol w:w="9360"/>
      </w:tblGrid>
      <w:tr w:rsidR="00A41CBA">
        <w:tc>
          <w:tcPr>
            <w:tcW w:w="9360" w:type="dxa"/>
            <w:tcBorders>
              <w:top w:val="nil"/>
              <w:left w:val="nil"/>
              <w:bottom w:val="nil"/>
              <w:right w:val="nil"/>
            </w:tcBorders>
            <w:shd w:val="clear" w:color="auto" w:fill="107C10"/>
            <w:vAlign w:val="center"/>
          </w:tcPr>
          <w:p w:rsidR="00A41CBA" w:rsidRDefault="00000000">
            <w:pPr>
              <w:spacing w:before="80" w:after="80"/>
            </w:pPr>
            <w:r>
              <w:rPr>
                <w:rFonts w:ascii="Arial" w:hAnsi="Arial"/>
                <w:b/>
                <w:color w:val="FFFFFF"/>
              </w:rPr>
              <w:t xml:space="preserve">TRACK A  </w:t>
            </w:r>
            <w:r>
              <w:rPr>
                <w:rFonts w:ascii="Arial" w:hAnsi="Arial"/>
                <w:color w:val="FFFFFF"/>
                <w:sz w:val="20"/>
              </w:rPr>
              <w:t>Fast-Track Delivery  |  Target: 5 working days from kick-off to final handover</w:t>
            </w:r>
          </w:p>
        </w:tc>
      </w:tr>
    </w:tbl>
    <w:p w:rsidR="00A41CBA" w:rsidRDefault="00A41CBA">
      <w:pPr>
        <w:spacing w:before="20" w:after="20"/>
      </w:pPr>
    </w:p>
    <w:p w:rsidR="00A41CBA" w:rsidRDefault="00000000">
      <w:pPr>
        <w:pStyle w:val="ListNumber"/>
        <w:spacing w:before="20" w:after="60"/>
      </w:pPr>
      <w:r>
        <w:rPr>
          <w:rFonts w:ascii="Arial" w:hAnsi="Arial"/>
          <w:b/>
          <w:color w:val="1A1A1A"/>
          <w:sz w:val="20"/>
        </w:rPr>
        <w:t xml:space="preserve">Day 1 — Alignment: </w:t>
      </w:r>
      <w:r>
        <w:rPr>
          <w:rFonts w:ascii="Arial" w:hAnsi="Arial"/>
          <w:color w:val="1A1A1A"/>
          <w:sz w:val="20"/>
        </w:rPr>
        <w:t>1-hour prep call with client champion. Lock attendee list and collect process samples / prior audit findings.</w:t>
      </w:r>
    </w:p>
    <w:p w:rsidR="00A41CBA" w:rsidRDefault="00000000">
      <w:pPr>
        <w:pStyle w:val="ListNumber"/>
        <w:spacing w:before="20" w:after="60"/>
      </w:pPr>
      <w:r>
        <w:rPr>
          <w:rFonts w:ascii="Arial" w:hAnsi="Arial"/>
          <w:b/>
          <w:color w:val="1A1A1A"/>
          <w:sz w:val="20"/>
        </w:rPr>
        <w:t xml:space="preserve">Days 2–4 — Workshop: </w:t>
      </w:r>
      <w:r>
        <w:rPr>
          <w:rFonts w:ascii="Arial" w:hAnsi="Arial"/>
          <w:color w:val="1A1A1A"/>
          <w:sz w:val="20"/>
        </w:rPr>
        <w:t>3-day intensive. Map target workflows against 80/10/10 model. For training engagements: deliver Universal Foundation session and role-specific persona workshops.</w:t>
      </w:r>
    </w:p>
    <w:p w:rsidR="00A41CBA" w:rsidRDefault="00000000">
      <w:pPr>
        <w:pStyle w:val="ListNumber"/>
        <w:spacing w:before="20" w:after="60"/>
      </w:pPr>
      <w:r>
        <w:rPr>
          <w:rFonts w:ascii="Arial" w:hAnsi="Arial"/>
          <w:b/>
          <w:color w:val="1A1A1A"/>
          <w:sz w:val="20"/>
        </w:rPr>
        <w:t xml:space="preserve">Day 5 — Handover: </w:t>
      </w:r>
      <w:r>
        <w:rPr>
          <w:rFonts w:ascii="Arial" w:hAnsi="Arial"/>
          <w:color w:val="1A1A1A"/>
          <w:sz w:val="20"/>
        </w:rPr>
        <w:t>Deliver AI Opportunity Matrix, customised AI Literacy Playbook (for Discovery), or training completion records and competency assessments (for Training).</w:t>
      </w:r>
    </w:p>
    <w:p w:rsidR="00A41CBA" w:rsidRDefault="00A41CBA">
      <w:pPr>
        <w:spacing w:before="20" w:after="20"/>
      </w:pPr>
    </w:p>
    <w:p w:rsidR="00A41CBA" w:rsidRDefault="00000000">
      <w:pPr>
        <w:spacing w:before="40" w:after="80"/>
      </w:pPr>
      <w:r>
        <w:rPr>
          <w:rFonts w:ascii="Arial" w:hAnsi="Arial"/>
          <w:b/>
          <w:color w:val="1A1A1A"/>
          <w:sz w:val="20"/>
        </w:rPr>
        <w:t>Track A GxP note:</w:t>
      </w:r>
    </w:p>
    <w:p w:rsidR="00A41CBA" w:rsidRDefault="00000000">
      <w:pPr>
        <w:pStyle w:val="ListBullet"/>
        <w:spacing w:before="20" w:after="40"/>
      </w:pPr>
      <w:r>
        <w:rPr>
          <w:rFonts w:ascii="Arial" w:hAnsi="Arial"/>
          <w:color w:val="1A1A1A"/>
          <w:sz w:val="20"/>
        </w:rPr>
        <w:t>If a training engagement includes GxP-regulated content (e.g. inspection readiness, audit trail standards, prompt library for regulated workflows), all materials must be reviewed by the GxP SME before delivery — the 5-day content freeze applies.</w:t>
      </w:r>
    </w:p>
    <w:p w:rsidR="00A41CBA" w:rsidRDefault="00000000">
      <w:pPr>
        <w:spacing w:before="200" w:after="60"/>
      </w:pPr>
      <w:r>
        <w:rPr>
          <w:rFonts w:ascii="Arial" w:hAnsi="Arial"/>
          <w:b/>
          <w:color w:val="2E75B6"/>
        </w:rPr>
        <w:t>6.3  Track B Delivery — POC Factory &amp; Partner Implementation</w:t>
      </w:r>
    </w:p>
    <w:tbl>
      <w:tblPr>
        <w:tblStyle w:val="TableGrid"/>
        <w:tblW w:w="0" w:type="auto"/>
        <w:tblLook w:val="04A0" w:firstRow="1" w:lastRow="0" w:firstColumn="1" w:lastColumn="0" w:noHBand="0" w:noVBand="1"/>
      </w:tblPr>
      <w:tblGrid>
        <w:gridCol w:w="9360"/>
      </w:tblGrid>
      <w:tr w:rsidR="00A41CBA">
        <w:tc>
          <w:tcPr>
            <w:tcW w:w="9360" w:type="dxa"/>
            <w:tcBorders>
              <w:top w:val="nil"/>
              <w:left w:val="nil"/>
              <w:bottom w:val="nil"/>
              <w:right w:val="nil"/>
            </w:tcBorders>
            <w:shd w:val="clear" w:color="auto" w:fill="10548A"/>
            <w:vAlign w:val="center"/>
          </w:tcPr>
          <w:p w:rsidR="00A41CBA" w:rsidRDefault="00000000">
            <w:pPr>
              <w:spacing w:before="80" w:after="80"/>
            </w:pPr>
            <w:r>
              <w:rPr>
                <w:rFonts w:ascii="Arial" w:hAnsi="Arial"/>
                <w:b/>
                <w:color w:val="FFFFFF"/>
              </w:rPr>
              <w:t xml:space="preserve">TRACK B  </w:t>
            </w:r>
            <w:r>
              <w:rPr>
                <w:rFonts w:ascii="Arial" w:hAnsi="Arial"/>
                <w:color w:val="FFFFFF"/>
                <w:sz w:val="20"/>
              </w:rPr>
              <w:t>Three-Phase Regulated Delivery  |  Weeks 1–11 standard; 9–12 months for Partner Implementation</w:t>
            </w:r>
          </w:p>
        </w:tc>
      </w:tr>
    </w:tbl>
    <w:p w:rsidR="00A41CBA" w:rsidRDefault="00A41CBA">
      <w:pPr>
        <w:spacing w:before="20" w:after="20"/>
      </w:pPr>
    </w:p>
    <w:p w:rsidR="00A41CBA" w:rsidRDefault="00000000">
      <w:pPr>
        <w:spacing w:before="140" w:after="40"/>
      </w:pPr>
      <w:r>
        <w:rPr>
          <w:rFonts w:ascii="Arial" w:hAnsi="Arial"/>
          <w:b/>
          <w:color w:val="1A3C6E"/>
          <w:sz w:val="20"/>
        </w:rPr>
        <w:t>Phase 0 — Discovery &amp; Mapping  (Weeks 1–3)</w:t>
      </w:r>
    </w:p>
    <w:p w:rsidR="00A41CBA" w:rsidRDefault="00000000">
      <w:pPr>
        <w:pStyle w:val="ListBullet"/>
        <w:spacing w:before="20" w:after="40"/>
      </w:pPr>
      <w:r>
        <w:rPr>
          <w:rFonts w:ascii="Arial" w:hAnsi="Arial"/>
          <w:color w:val="1A1A1A"/>
          <w:sz w:val="20"/>
        </w:rPr>
        <w:t>Leadership Alignment Session: establish qualitative and quantitative measurement framework (Adoption Confidence, Usage Coverage, Process Efficiency)</w:t>
      </w:r>
    </w:p>
    <w:p w:rsidR="00A41CBA" w:rsidRDefault="00000000">
      <w:pPr>
        <w:pStyle w:val="ListBullet"/>
        <w:spacing w:before="20" w:after="40"/>
      </w:pPr>
      <w:r>
        <w:rPr>
          <w:rFonts w:ascii="Arial" w:hAnsi="Arial"/>
          <w:color w:val="1A1A1A"/>
          <w:sz w:val="20"/>
        </w:rPr>
        <w:t>Stakeholder interviews: separate question tracks for QA, RA, Lab Operations, and Engineering</w:t>
      </w:r>
    </w:p>
    <w:p w:rsidR="00A41CBA" w:rsidRDefault="00000000">
      <w:pPr>
        <w:pStyle w:val="ListBullet"/>
        <w:spacing w:before="20" w:after="40"/>
      </w:pPr>
      <w:r>
        <w:rPr>
          <w:rFonts w:ascii="Arial" w:hAnsi="Arial"/>
          <w:color w:val="1A1A1A"/>
          <w:sz w:val="20"/>
        </w:rPr>
        <w:t>Data intake: retrieve prior audit reports, 483s, warning letters, and current SOPs from client</w:t>
      </w:r>
    </w:p>
    <w:p w:rsidR="00A41CBA" w:rsidRDefault="00000000">
      <w:pPr>
        <w:pStyle w:val="ListBullet"/>
        <w:spacing w:before="20" w:after="40"/>
      </w:pPr>
      <w:r>
        <w:rPr>
          <w:rFonts w:ascii="Arial" w:hAnsi="Arial"/>
          <w:color w:val="1A1A1A"/>
          <w:sz w:val="20"/>
        </w:rPr>
        <w:t>Process mapping workshops: facilitated at the role-and-decision level. Mark where human activity occurs, where AI accelerates (the 80%), and where mandatory human review checkpoints must be enforced</w:t>
      </w:r>
    </w:p>
    <w:p w:rsidR="00A41CBA" w:rsidRDefault="00000000">
      <w:pPr>
        <w:pStyle w:val="ListBullet"/>
        <w:spacing w:before="20" w:after="40"/>
      </w:pPr>
      <w:r>
        <w:rPr>
          <w:rFonts w:ascii="Arial" w:hAnsi="Arial"/>
          <w:color w:val="1A1A1A"/>
          <w:sz w:val="20"/>
        </w:rPr>
        <w:t>Deliverables: AI Opportunity Matrix, Audit Findings Action Plan, Risk-Ranked Process Map</w:t>
      </w:r>
    </w:p>
    <w:p w:rsidR="00A41CBA" w:rsidRDefault="00A41CBA">
      <w:pPr>
        <w:spacing w:before="20" w:after="20"/>
      </w:pPr>
    </w:p>
    <w:p w:rsidR="00A41CBA" w:rsidRDefault="00000000">
      <w:pPr>
        <w:spacing w:before="140" w:after="40"/>
      </w:pPr>
      <w:r>
        <w:rPr>
          <w:rFonts w:ascii="Arial" w:hAnsi="Arial"/>
          <w:b/>
          <w:color w:val="1A3C6E"/>
          <w:sz w:val="20"/>
        </w:rPr>
        <w:t>Phase 1 — Boundary &amp; Standards  (Weeks 4–7)</w:t>
      </w:r>
    </w:p>
    <w:p w:rsidR="00A41CBA" w:rsidRDefault="00000000">
      <w:pPr>
        <w:pStyle w:val="ListBullet"/>
        <w:spacing w:before="20" w:after="40"/>
      </w:pPr>
      <w:r>
        <w:rPr>
          <w:rFonts w:ascii="Arial" w:hAnsi="Arial"/>
          <w:color w:val="1A1A1A"/>
          <w:sz w:val="20"/>
        </w:rPr>
        <w:t>Redesign workflows: transition current-state maps into AI-enabled future-state workflows, marking the GenAI Validation Boundary clearly</w:t>
      </w:r>
    </w:p>
    <w:p w:rsidR="00A41CBA" w:rsidRDefault="00000000">
      <w:pPr>
        <w:pStyle w:val="ListBullet"/>
        <w:spacing w:before="20" w:after="40"/>
      </w:pPr>
      <w:r>
        <w:rPr>
          <w:rFonts w:ascii="Arial" w:hAnsi="Arial"/>
          <w:color w:val="1A1A1A"/>
          <w:sz w:val="20"/>
        </w:rPr>
        <w:t>Define GxP Boundary Guide: role-specific limits of AI usage (what can be AI-drafted vs. what requires human sign-off and documented review)</w:t>
      </w:r>
    </w:p>
    <w:p w:rsidR="00A41CBA" w:rsidRDefault="00000000">
      <w:pPr>
        <w:pStyle w:val="ListBullet"/>
        <w:spacing w:before="20" w:after="40"/>
      </w:pPr>
      <w:r>
        <w:rPr>
          <w:rFonts w:ascii="Arial" w:hAnsi="Arial"/>
          <w:color w:val="1A1A1A"/>
          <w:sz w:val="20"/>
        </w:rPr>
        <w:t>Establish GxP Metadata &amp; Traceability Standards: capture what the AI input was, the human review action, who authorised it, and when — system-agnostic, storage medium is a client decision</w:t>
      </w:r>
    </w:p>
    <w:p w:rsidR="00A41CBA" w:rsidRDefault="00000000">
      <w:pPr>
        <w:pStyle w:val="ListBullet"/>
        <w:spacing w:before="20" w:after="40"/>
      </w:pPr>
      <w:r>
        <w:rPr>
          <w:rFonts w:ascii="Arial" w:hAnsi="Arial"/>
          <w:color w:val="1A1A1A"/>
          <w:sz w:val="20"/>
        </w:rPr>
        <w:t>For Partner Implementations: Technical Build phases (Programme Setup → POC → Internal Build → Pilot → Adoption) run in parallel — see Section 6.4</w:t>
      </w:r>
    </w:p>
    <w:p w:rsidR="00A41CBA" w:rsidRDefault="00000000">
      <w:pPr>
        <w:pStyle w:val="ListBullet"/>
        <w:spacing w:before="20" w:after="40"/>
      </w:pPr>
      <w:r>
        <w:rPr>
          <w:rFonts w:ascii="Arial" w:hAnsi="Arial"/>
          <w:color w:val="1A1A1A"/>
          <w:sz w:val="20"/>
        </w:rPr>
        <w:t>Deliverables: Validated Workflow Maps, GxP Boundary Guide, GxP Metadata &amp; Traceability Standards</w:t>
      </w:r>
    </w:p>
    <w:p w:rsidR="00A41CBA" w:rsidRDefault="00A41CBA">
      <w:pPr>
        <w:spacing w:before="20" w:after="20"/>
      </w:pPr>
    </w:p>
    <w:p w:rsidR="00A41CBA" w:rsidRDefault="00000000">
      <w:pPr>
        <w:spacing w:before="140" w:after="40"/>
      </w:pPr>
      <w:r>
        <w:rPr>
          <w:rFonts w:ascii="Arial" w:hAnsi="Arial"/>
          <w:b/>
          <w:color w:val="1A3C6E"/>
          <w:sz w:val="20"/>
        </w:rPr>
        <w:t>Phase 2 — Training &amp; Adoption  (Weeks 8–11)</w:t>
      </w:r>
    </w:p>
    <w:p w:rsidR="00A41CBA" w:rsidRDefault="00000000">
      <w:pPr>
        <w:pStyle w:val="ListBullet"/>
        <w:spacing w:before="20" w:after="40"/>
      </w:pPr>
      <w:r>
        <w:rPr>
          <w:rFonts w:ascii="Arial" w:hAnsi="Arial"/>
          <w:color w:val="1A1A1A"/>
          <w:sz w:val="20"/>
        </w:rPr>
        <w:t>Universal Foundation Session: HITL principles, data integrity, and compliance guidelines for all staff. Delivered using Trinzo master decks; GxP SME must sign off before delivery.</w:t>
      </w:r>
    </w:p>
    <w:p w:rsidR="00A41CBA" w:rsidRDefault="00000000">
      <w:pPr>
        <w:pStyle w:val="ListBullet"/>
        <w:spacing w:before="20" w:after="40"/>
      </w:pPr>
      <w:r>
        <w:rPr>
          <w:rFonts w:ascii="Arial" w:hAnsi="Arial"/>
          <w:color w:val="1A1A1A"/>
          <w:sz w:val="20"/>
        </w:rPr>
        <w:t>Role-specific Persona Workshops (4 tracks):</w:t>
      </w:r>
    </w:p>
    <w:p w:rsidR="00A41CBA" w:rsidRDefault="00000000">
      <w:pPr>
        <w:pStyle w:val="ListBullet"/>
        <w:spacing w:before="20" w:after="40"/>
        <w:ind w:left="864"/>
      </w:pPr>
      <w:r>
        <w:rPr>
          <w:rFonts w:ascii="Arial" w:hAnsi="Arial"/>
          <w:color w:val="1A1A1A"/>
          <w:sz w:val="20"/>
        </w:rPr>
        <w:t>Engineers / R&amp;D: prompt engineering for compliant DHF, FMEA, risk plan, and V&amp;V documentation</w:t>
      </w:r>
    </w:p>
    <w:p w:rsidR="00A41CBA" w:rsidRDefault="00000000">
      <w:pPr>
        <w:pStyle w:val="ListBullet"/>
        <w:spacing w:before="20" w:after="40"/>
        <w:ind w:left="864"/>
      </w:pPr>
      <w:r>
        <w:rPr>
          <w:rFonts w:ascii="Arial" w:hAnsi="Arial"/>
          <w:color w:val="1A1A1A"/>
          <w:sz w:val="20"/>
        </w:rPr>
        <w:t>QA / Compliance: verification procedures, audit trails, CAPA risk tracking</w:t>
      </w:r>
    </w:p>
    <w:p w:rsidR="00A41CBA" w:rsidRDefault="00000000">
      <w:pPr>
        <w:pStyle w:val="ListBullet"/>
        <w:spacing w:before="20" w:after="40"/>
        <w:ind w:left="864"/>
      </w:pPr>
      <w:r>
        <w:rPr>
          <w:rFonts w:ascii="Arial" w:hAnsi="Arial"/>
          <w:color w:val="1A1A1A"/>
          <w:sz w:val="20"/>
        </w:rPr>
        <w:t>Lab Analysts: deterministic vs generative AI selection; when not to use generative AI</w:t>
      </w:r>
    </w:p>
    <w:p w:rsidR="00A41CBA" w:rsidRDefault="00000000">
      <w:pPr>
        <w:pStyle w:val="ListBullet"/>
        <w:spacing w:before="20" w:after="40"/>
        <w:ind w:left="864"/>
      </w:pPr>
      <w:r>
        <w:rPr>
          <w:rFonts w:ascii="Arial" w:hAnsi="Arial"/>
          <w:color w:val="1A1A1A"/>
          <w:sz w:val="20"/>
        </w:rPr>
        <w:t>Frontline Leaders: performance oversight, usage monitoring, inspection readiness</w:t>
      </w:r>
    </w:p>
    <w:p w:rsidR="00A41CBA" w:rsidRDefault="00000000">
      <w:pPr>
        <w:pStyle w:val="ListBullet"/>
        <w:spacing w:before="20" w:after="40"/>
      </w:pPr>
      <w:r>
        <w:rPr>
          <w:rFonts w:ascii="Arial" w:hAnsi="Arial"/>
          <w:color w:val="1A1A1A"/>
          <w:sz w:val="20"/>
        </w:rPr>
        <w:t>Train-the-Auditor: dedicated session for internal auditors on how to inspect AI-assisted outputs and verify documented human review steps</w:t>
      </w:r>
    </w:p>
    <w:p w:rsidR="00A41CBA" w:rsidRDefault="00000000">
      <w:pPr>
        <w:pStyle w:val="ListBullet"/>
        <w:spacing w:before="20" w:after="40"/>
      </w:pPr>
      <w:r>
        <w:rPr>
          <w:rFonts w:ascii="Arial" w:hAnsi="Arial"/>
          <w:color w:val="1A1A1A"/>
          <w:sz w:val="20"/>
        </w:rPr>
        <w:t>Post-Training Competency Assessments: pass threshold 70%. Participants below threshold undergo targeted remediation before handover.</w:t>
      </w:r>
    </w:p>
    <w:p w:rsidR="00A41CBA" w:rsidRDefault="00000000">
      <w:pPr>
        <w:pStyle w:val="ListBullet"/>
        <w:spacing w:before="20" w:after="40"/>
      </w:pPr>
      <w:r>
        <w:rPr>
          <w:rFonts w:ascii="Arial" w:hAnsi="Arial"/>
          <w:color w:val="1A1A1A"/>
          <w:sz w:val="20"/>
        </w:rPr>
        <w:t>Deliverables: Adoption &amp; GxP Compliance Playbook, Role-Specific Prompt Libraries, Inspection Language Reference Cards, Post-Training Competency Records</w:t>
      </w:r>
    </w:p>
    <w:p w:rsidR="00A41CBA" w:rsidRDefault="00A41CBA">
      <w:pPr>
        <w:spacing w:before="20" w:after="20"/>
      </w:pPr>
    </w:p>
    <w:p w:rsidR="00A41CBA" w:rsidRDefault="00000000">
      <w:pPr>
        <w:spacing w:before="200" w:after="60"/>
      </w:pPr>
      <w:r>
        <w:rPr>
          <w:rFonts w:ascii="Arial" w:hAnsi="Arial"/>
          <w:b/>
          <w:color w:val="2E75B6"/>
        </w:rPr>
        <w:t>6.4  Technical Implementation Model (Partner Implementation Only)</w:t>
      </w:r>
    </w:p>
    <w:p w:rsidR="00A41CBA" w:rsidRDefault="00000000">
      <w:pPr>
        <w:spacing w:before="40" w:after="80"/>
      </w:pPr>
      <w:r>
        <w:rPr>
          <w:rFonts w:ascii="Arial" w:hAnsi="Arial"/>
          <w:color w:val="1A1A1A"/>
          <w:sz w:val="20"/>
        </w:rPr>
        <w:t>For full-scale technical implementations, the five-phase build sequence runs in parallel with the Track B delivery phases above:</w:t>
      </w:r>
    </w:p>
    <w:tbl>
      <w:tblPr>
        <w:tblStyle w:val="TableGrid"/>
        <w:tblW w:w="0" w:type="auto"/>
        <w:tblLook w:val="04A0" w:firstRow="1" w:lastRow="0" w:firstColumn="1" w:lastColumn="0" w:noHBand="0" w:noVBand="1"/>
      </w:tblPr>
      <w:tblGrid>
        <w:gridCol w:w="2340"/>
        <w:gridCol w:w="2340"/>
        <w:gridCol w:w="2340"/>
        <w:gridCol w:w="2340"/>
      </w:tblGrid>
      <w:tr w:rsidR="00A41CBA">
        <w:tc>
          <w:tcPr>
            <w:tcW w:w="2340"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Phase</w:t>
            </w:r>
          </w:p>
        </w:tc>
        <w:tc>
          <w:tcPr>
            <w:tcW w:w="2340"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Duration</w:t>
            </w:r>
          </w:p>
        </w:tc>
        <w:tc>
          <w:tcPr>
            <w:tcW w:w="2340"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What it involves</w:t>
            </w:r>
          </w:p>
        </w:tc>
        <w:tc>
          <w:tcPr>
            <w:tcW w:w="2340"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Gate to proceed</w:t>
            </w:r>
          </w:p>
        </w:tc>
      </w:tr>
      <w:tr w:rsidR="00A41CBA">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Programme Setup</w:t>
            </w:r>
          </w:p>
        </w:tc>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One-time upfront</w:t>
            </w:r>
          </w:p>
        </w:tc>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Azure architecture, OpenAI baseline, regression pipeline, security review pack, IT onboarding (SSO, tenant permissions).</w:t>
            </w:r>
          </w:p>
        </w:tc>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IT sign-off on security pack and data processing agreement</w:t>
            </w:r>
          </w:p>
        </w:tc>
      </w:tr>
      <w:tr w:rsidR="00A41CBA">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POC</w:t>
            </w:r>
          </w:p>
        </w:tc>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~2 months</w:t>
            </w:r>
          </w:p>
        </w:tc>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Synthetic data only. AI and prompt engineering intensive. Demonstrates core engine behaviour, dual output format, interaction model.</w:t>
            </w:r>
          </w:p>
        </w:tc>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Stakeholder sign-off on output schema before internal engineering resource committed</w:t>
            </w:r>
          </w:p>
        </w:tc>
      </w:tr>
      <w:tr w:rsidR="00A41CBA">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lastRenderedPageBreak/>
              <w:t>Internal Build</w:t>
            </w:r>
          </w:p>
        </w:tc>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~2–3 months</w:t>
            </w:r>
          </w:p>
        </w:tc>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Rebuilt in client's Azure / Microsoft tenant. Teams / SharePoint development, GxP consultant grounding, SOP RAG integration.</w:t>
            </w:r>
          </w:p>
        </w:tc>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End-to-end test with real client data; engineer and PM sign-off on output quality</w:t>
            </w:r>
          </w:p>
        </w:tc>
      </w:tr>
      <w:tr w:rsidR="00A41CBA">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Pilot</w:t>
            </w:r>
          </w:p>
        </w:tc>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~2 months</w:t>
            </w:r>
          </w:p>
        </w:tc>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3–5 named users on real work. One enthusiast, one sceptic, one average user. Prompt tuning from structured feedback.</w:t>
            </w:r>
          </w:p>
        </w:tc>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Pilot users confirm meaningful time saving and reliable, consistent output</w:t>
            </w:r>
          </w:p>
        </w:tc>
      </w:tr>
      <w:tr w:rsidR="00A41CBA">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Adoption</w:t>
            </w:r>
          </w:p>
        </w:tc>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~2–3 months</w:t>
            </w:r>
          </w:p>
        </w:tc>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SOP amendment, training delivery, rollout, named owner handover. Tool embedded as mandatory inception step in at least one SOP.</w:t>
            </w:r>
          </w:p>
        </w:tc>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Named internal owner confirmed; tool referenced in a live, active SOP</w:t>
            </w:r>
          </w:p>
        </w:tc>
      </w:tr>
    </w:tbl>
    <w:p w:rsidR="00A41CBA" w:rsidRDefault="00A41CBA">
      <w:pPr>
        <w:spacing w:before="20" w:after="20"/>
      </w:pPr>
    </w:p>
    <w:tbl>
      <w:tblPr>
        <w:tblStyle w:val="TableGrid"/>
        <w:tblW w:w="0" w:type="auto"/>
        <w:tblLook w:val="04A0" w:firstRow="1" w:lastRow="0" w:firstColumn="1" w:lastColumn="0" w:noHBand="0" w:noVBand="1"/>
      </w:tblPr>
      <w:tblGrid>
        <w:gridCol w:w="9360"/>
      </w:tblGrid>
      <w:tr w:rsidR="00A41CBA">
        <w:tc>
          <w:tcPr>
            <w:tcW w:w="9360" w:type="dxa"/>
            <w:tcBorders>
              <w:top w:val="single" w:sz="4" w:space="0" w:color="C57D00"/>
              <w:left w:val="single" w:sz="12" w:space="0" w:color="C57D00"/>
              <w:bottom w:val="single" w:sz="4" w:space="0" w:color="C57D00"/>
              <w:right w:val="single" w:sz="4" w:space="0" w:color="C57D00"/>
            </w:tcBorders>
            <w:shd w:val="clear" w:color="auto" w:fill="FFF3CD"/>
          </w:tcPr>
          <w:p w:rsidR="00A41CBA" w:rsidRDefault="00000000">
            <w:pPr>
              <w:spacing w:before="60" w:after="60"/>
            </w:pPr>
            <w:r>
              <w:rPr>
                <w:rFonts w:ascii="Arial" w:hAnsi="Arial"/>
                <w:color w:val="1A1A1A"/>
                <w:sz w:val="19"/>
              </w:rPr>
              <w:t>Rolling Batch Economics: Batch 1 (5 configurations) builds all shared infrastructure and costs ~1,752h. Batch 2 reuses that infrastructure and costs ~1,350h. Batch 3+ reaches steady state at ~1,200h. Price and pitch the rolling model in every Partner Implementation proposal — it is the strongest argument for a multi-year commercial relationship.</w:t>
            </w:r>
          </w:p>
        </w:tc>
      </w:tr>
    </w:tbl>
    <w:p w:rsidR="00A41CBA" w:rsidRDefault="00A41CBA">
      <w:pPr>
        <w:spacing w:before="20" w:after="20"/>
      </w:pPr>
    </w:p>
    <w:p w:rsidR="00A41CBA" w:rsidRDefault="00000000">
      <w:pPr>
        <w:spacing w:before="200" w:after="60"/>
      </w:pPr>
      <w:r>
        <w:rPr>
          <w:rFonts w:ascii="Arial" w:hAnsi="Arial"/>
          <w:b/>
          <w:color w:val="2E75B6"/>
        </w:rPr>
        <w:t>6.5  Weekly Delivery Rhythm (All Tracks)</w:t>
      </w:r>
    </w:p>
    <w:p w:rsidR="00A41CBA" w:rsidRDefault="00000000">
      <w:pPr>
        <w:pStyle w:val="ListBullet"/>
        <w:spacing w:before="20" w:after="40"/>
      </w:pPr>
      <w:r>
        <w:rPr>
          <w:rFonts w:ascii="Arial" w:hAnsi="Arial"/>
          <w:color w:val="1A1A1A"/>
          <w:sz w:val="20"/>
        </w:rPr>
        <w:t>Weekly internal status: PM updates deliverables tracker; Head of Innovation reviews AI-specific tasks; flag risks same day identified</w:t>
      </w:r>
    </w:p>
    <w:p w:rsidR="00A41CBA" w:rsidRDefault="00000000">
      <w:pPr>
        <w:pStyle w:val="ListBullet"/>
        <w:spacing w:before="20" w:after="40"/>
      </w:pPr>
      <w:r>
        <w:rPr>
          <w:rFonts w:ascii="Arial" w:hAnsi="Arial"/>
          <w:color w:val="1A1A1A"/>
          <w:sz w:val="20"/>
        </w:rPr>
        <w:t>Client status call: fixed day each week. PM leads. Never cancel — send written update if it must move.</w:t>
      </w:r>
    </w:p>
    <w:p w:rsidR="00A41CBA" w:rsidRDefault="00000000">
      <w:pPr>
        <w:pStyle w:val="ListBullet"/>
        <w:spacing w:before="20" w:after="40"/>
      </w:pPr>
      <w:r>
        <w:rPr>
          <w:rFonts w:ascii="Arial" w:hAnsi="Arial"/>
          <w:color w:val="1A1A1A"/>
          <w:sz w:val="20"/>
        </w:rPr>
        <w:t>Phase gate reviews: formal client meeting at each gate. Written summary circulated within 24 hours.</w:t>
      </w:r>
    </w:p>
    <w:p w:rsidR="00A41CBA" w:rsidRDefault="00000000">
      <w:pPr>
        <w:pStyle w:val="ListBullet"/>
        <w:spacing w:before="20" w:after="40"/>
      </w:pPr>
      <w:r>
        <w:rPr>
          <w:rFonts w:ascii="Arial" w:hAnsi="Arial"/>
          <w:color w:val="1A1A1A"/>
          <w:sz w:val="20"/>
        </w:rPr>
        <w:t>Scope change trigger: any scope change, stakeholder change, or missed gate criterion → PM and Head of Innovation review same day, escalate to Head of Sales and CEO if commercial impact</w:t>
      </w:r>
    </w:p>
    <w:p w:rsidR="00A41CBA" w:rsidRDefault="00000000">
      <w:pPr>
        <w:pStyle w:val="ListBullet"/>
        <w:spacing w:before="20" w:after="40"/>
      </w:pPr>
      <w:r>
        <w:rPr>
          <w:rFonts w:ascii="Arial" w:hAnsi="Arial"/>
          <w:color w:val="1A1A1A"/>
          <w:sz w:val="20"/>
        </w:rPr>
        <w:t>Extensions: any work performed beyond the agreed SOW scope must be flagged to the PM on the day it is identified and invoiced before the next phase gate</w:t>
      </w:r>
    </w:p>
    <w:p w:rsidR="00A41CBA" w:rsidRDefault="00000000">
      <w:r>
        <w:br w:type="page"/>
      </w:r>
    </w:p>
    <w:tbl>
      <w:tblPr>
        <w:tblStyle w:val="TableGrid"/>
        <w:tblW w:w="0" w:type="auto"/>
        <w:tblLook w:val="04A0" w:firstRow="1" w:lastRow="0" w:firstColumn="1" w:lastColumn="0" w:noHBand="0" w:noVBand="1"/>
      </w:tblPr>
      <w:tblGrid>
        <w:gridCol w:w="4680"/>
        <w:gridCol w:w="4680"/>
      </w:tblGrid>
      <w:tr w:rsidR="00A41CBA">
        <w:tc>
          <w:tcPr>
            <w:tcW w:w="4680" w:type="dxa"/>
            <w:tcBorders>
              <w:top w:val="nil"/>
              <w:left w:val="nil"/>
              <w:bottom w:val="nil"/>
              <w:right w:val="nil"/>
            </w:tcBorders>
            <w:shd w:val="clear" w:color="auto" w:fill="1A3C6E"/>
            <w:vAlign w:val="center"/>
          </w:tcPr>
          <w:p w:rsidR="00A41CBA" w:rsidRDefault="00000000">
            <w:pPr>
              <w:spacing w:before="40" w:after="40"/>
              <w:jc w:val="center"/>
            </w:pPr>
            <w:r>
              <w:rPr>
                <w:rFonts w:ascii="Arial" w:hAnsi="Arial"/>
                <w:b/>
                <w:color w:val="FFFFFF"/>
                <w:sz w:val="36"/>
              </w:rPr>
              <w:lastRenderedPageBreak/>
              <w:t>07</w:t>
            </w:r>
          </w:p>
        </w:tc>
        <w:tc>
          <w:tcPr>
            <w:tcW w:w="4680" w:type="dxa"/>
            <w:tcBorders>
              <w:top w:val="nil"/>
              <w:left w:val="nil"/>
              <w:bottom w:val="nil"/>
              <w:right w:val="nil"/>
            </w:tcBorders>
            <w:shd w:val="clear" w:color="auto" w:fill="2E75B6"/>
            <w:vAlign w:val="center"/>
          </w:tcPr>
          <w:p w:rsidR="00A41CBA" w:rsidRDefault="00000000">
            <w:pPr>
              <w:spacing w:before="80" w:after="80"/>
            </w:pPr>
            <w:r>
              <w:rPr>
                <w:rFonts w:ascii="Arial" w:hAnsi="Arial"/>
                <w:b/>
                <w:color w:val="FFFFFF"/>
                <w:sz w:val="24"/>
              </w:rPr>
              <w:t xml:space="preserve">Close &amp; Handover   </w:t>
            </w:r>
            <w:r>
              <w:rPr>
                <w:rFonts w:ascii="Arial" w:hAnsi="Arial"/>
                <w:color w:val="AABBCC"/>
                <w:sz w:val="18"/>
              </w:rPr>
              <w:t>Trigger: Final deliverable accepted, programme end approaching</w:t>
            </w:r>
          </w:p>
        </w:tc>
      </w:tr>
    </w:tbl>
    <w:p w:rsidR="00A41CBA" w:rsidRDefault="00A41CBA">
      <w:pPr>
        <w:spacing w:before="20" w:after="20"/>
      </w:pPr>
    </w:p>
    <w:p w:rsidR="00A41CBA" w:rsidRDefault="00000000">
      <w:pPr>
        <w:spacing w:before="200" w:after="60"/>
      </w:pPr>
      <w:r>
        <w:rPr>
          <w:rFonts w:ascii="Arial" w:hAnsi="Arial"/>
          <w:b/>
          <w:color w:val="2E75B6"/>
        </w:rPr>
        <w:t>7.1  Pre-Handover: Content Audit</w:t>
      </w:r>
    </w:p>
    <w:p w:rsidR="00A41CBA" w:rsidRDefault="00000000">
      <w:pPr>
        <w:spacing w:before="40" w:after="80"/>
      </w:pPr>
      <w:r>
        <w:rPr>
          <w:rFonts w:ascii="Arial" w:hAnsi="Arial"/>
          <w:color w:val="1A1A1A"/>
          <w:sz w:val="20"/>
        </w:rPr>
        <w:t>Before the final delivery meeting, the PM must run a Pre-Flight Bracket Scan on all client-facing files to confirm all placeholder text (e.g. [Client System Name], [Date], [Contact Name]) is resolved or documented in a Client Action Required Log passed to the client.</w:t>
      </w:r>
    </w:p>
    <w:p w:rsidR="00A41CBA" w:rsidRDefault="00000000">
      <w:pPr>
        <w:spacing w:before="200" w:after="60"/>
      </w:pPr>
      <w:r>
        <w:rPr>
          <w:rFonts w:ascii="Arial" w:hAnsi="Arial"/>
          <w:b/>
          <w:color w:val="2E75B6"/>
        </w:rPr>
        <w:t>7.2  Handover Checklist</w:t>
      </w:r>
    </w:p>
    <w:tbl>
      <w:tblPr>
        <w:tblStyle w:val="TableGrid"/>
        <w:tblW w:w="0" w:type="auto"/>
        <w:tblLook w:val="04A0" w:firstRow="1" w:lastRow="0" w:firstColumn="1" w:lastColumn="0" w:noHBand="0" w:noVBand="1"/>
      </w:tblPr>
      <w:tblGrid>
        <w:gridCol w:w="4680"/>
        <w:gridCol w:w="4680"/>
      </w:tblGrid>
      <w:tr w:rsidR="00A41CBA">
        <w:tc>
          <w:tcPr>
            <w:tcW w:w="4680"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Checklist Item</w:t>
            </w:r>
          </w:p>
        </w:tc>
        <w:tc>
          <w:tcPr>
            <w:tcW w:w="4680"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Notes / Guidance</w:t>
            </w:r>
          </w:p>
        </w:tc>
      </w:tr>
      <w:tr w:rsidR="00A41CBA">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  All deliverables formally accepted by client in writing</w:t>
            </w:r>
          </w:p>
        </w:tc>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PM to obtain written sign-off — not verbal</w:t>
            </w:r>
          </w:p>
        </w:tc>
      </w:tr>
      <w:tr w:rsidR="00A41CBA">
        <w:tc>
          <w:tcPr>
            <w:tcW w:w="468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  Named internal owner confirmed at client side</w:t>
            </w:r>
          </w:p>
        </w:tc>
        <w:tc>
          <w:tcPr>
            <w:tcW w:w="468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Who owns this after Trinzo leaves? Confirm explicitly.</w:t>
            </w:r>
          </w:p>
        </w:tc>
      </w:tr>
      <w:tr w:rsidR="00A41CBA">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  Pre-Flight Bracket Scan completed on all client files</w:t>
            </w:r>
          </w:p>
        </w:tc>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No placeholder text in any delivered document</w:t>
            </w:r>
          </w:p>
        </w:tc>
      </w:tr>
      <w:tr w:rsidR="00A41CBA">
        <w:tc>
          <w:tcPr>
            <w:tcW w:w="468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  AI Usage Disclosure Statement included in deliverables pack</w:t>
            </w:r>
          </w:p>
        </w:tc>
        <w:tc>
          <w:tcPr>
            <w:tcW w:w="468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Transparent record of how materials were generated and validated</w:t>
            </w:r>
          </w:p>
        </w:tc>
      </w:tr>
      <w:tr w:rsidR="00A41CBA">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  Handover documentation complete and in client hands</w:t>
            </w:r>
          </w:p>
        </w:tc>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All prompt libraries, playbooks, training records in final versions</w:t>
            </w:r>
          </w:p>
        </w:tc>
      </w:tr>
      <w:tr w:rsidR="00A41CBA">
        <w:tc>
          <w:tcPr>
            <w:tcW w:w="468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  Usage monitoring plan agreed (Track B)</w:t>
            </w:r>
          </w:p>
        </w:tc>
        <w:tc>
          <w:tcPr>
            <w:tcW w:w="468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Who checks adoption metrics, how often, and what triggers a support call</w:t>
            </w:r>
          </w:p>
        </w:tc>
      </w:tr>
      <w:tr w:rsidR="00A41CBA">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  All invoices issued and confirmed received by Finance</w:t>
            </w:r>
          </w:p>
        </w:tc>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All milestones billed before final sign-off. No uninvoiced extensions.</w:t>
            </w:r>
          </w:p>
        </w:tc>
      </w:tr>
      <w:tr w:rsidR="00A41CBA">
        <w:tc>
          <w:tcPr>
            <w:tcW w:w="468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  CSAT / feedback session completed</w:t>
            </w:r>
          </w:p>
        </w:tc>
        <w:tc>
          <w:tcPr>
            <w:tcW w:w="468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Short structured session: what worked, what would be better, net promoter score</w:t>
            </w:r>
          </w:p>
        </w:tc>
      </w:tr>
      <w:tr w:rsidR="00A41CBA">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  Case study permission requested</w:t>
            </w:r>
          </w:p>
        </w:tc>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Explicitly ask — the client is most receptive at programme close</w:t>
            </w:r>
          </w:p>
        </w:tc>
      </w:tr>
      <w:tr w:rsidR="00A41CBA">
        <w:tc>
          <w:tcPr>
            <w:tcW w:w="468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  Reference customer agreement requested</w:t>
            </w:r>
          </w:p>
        </w:tc>
        <w:tc>
          <w:tcPr>
            <w:tcW w:w="468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Warm peer-to-peer reference call is the highest-converting sales tool Trinzo has</w:t>
            </w:r>
          </w:p>
        </w:tc>
      </w:tr>
      <w:tr w:rsidR="00A41CBA">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  Lessons learned captured in Trinzo internal record</w:t>
            </w:r>
          </w:p>
        </w:tc>
        <w:tc>
          <w:tcPr>
            <w:tcW w:w="468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What would we do differently? Update this SOP.</w:t>
            </w:r>
          </w:p>
        </w:tc>
      </w:tr>
    </w:tbl>
    <w:p w:rsidR="00A41CBA" w:rsidRDefault="00A41CBA">
      <w:pPr>
        <w:spacing w:before="20" w:after="20"/>
      </w:pPr>
    </w:p>
    <w:p w:rsidR="00A41CBA" w:rsidRDefault="00000000">
      <w:pPr>
        <w:spacing w:before="200" w:after="60"/>
      </w:pPr>
      <w:r>
        <w:rPr>
          <w:rFonts w:ascii="Arial" w:hAnsi="Arial"/>
          <w:b/>
          <w:color w:val="2E75B6"/>
        </w:rPr>
        <w:t>7.3  Value Realisation Summary</w:t>
      </w:r>
    </w:p>
    <w:p w:rsidR="00A41CBA" w:rsidRDefault="00000000">
      <w:pPr>
        <w:spacing w:before="40" w:after="80"/>
      </w:pPr>
      <w:r>
        <w:rPr>
          <w:rFonts w:ascii="Arial" w:hAnsi="Arial"/>
          <w:color w:val="1A1A1A"/>
          <w:sz w:val="20"/>
        </w:rPr>
        <w:t>Before the final handover meeting, build a Value Realisation Summary: what did the client get, and how does it map to the success criteria defined in Stage 3? This becomes the opening slide for the Stage 8 expansion conversation.</w:t>
      </w:r>
    </w:p>
    <w:p w:rsidR="00A41CBA" w:rsidRDefault="00000000">
      <w:pPr>
        <w:pStyle w:val="ListBullet"/>
        <w:spacing w:before="20" w:after="40"/>
      </w:pPr>
      <w:r>
        <w:rPr>
          <w:rFonts w:ascii="Arial" w:hAnsi="Arial"/>
          <w:color w:val="1A1A1A"/>
          <w:sz w:val="20"/>
        </w:rPr>
        <w:t>State the original problem statement (verbatim from discovery notes)</w:t>
      </w:r>
    </w:p>
    <w:p w:rsidR="00A41CBA" w:rsidRDefault="00000000">
      <w:pPr>
        <w:pStyle w:val="ListBullet"/>
        <w:spacing w:before="20" w:after="40"/>
      </w:pPr>
      <w:r>
        <w:rPr>
          <w:rFonts w:ascii="Arial" w:hAnsi="Arial"/>
          <w:color w:val="1A1A1A"/>
          <w:sz w:val="20"/>
        </w:rPr>
        <w:t>Map each deliverable to the success criteria the client stated</w:t>
      </w:r>
    </w:p>
    <w:p w:rsidR="00A41CBA" w:rsidRDefault="00000000">
      <w:pPr>
        <w:pStyle w:val="ListBullet"/>
        <w:spacing w:before="20" w:after="40"/>
      </w:pPr>
      <w:r>
        <w:rPr>
          <w:rFonts w:ascii="Arial" w:hAnsi="Arial"/>
          <w:color w:val="1A1A1A"/>
          <w:sz w:val="20"/>
        </w:rPr>
        <w:t>Quantify impact where possible: time saved per role, risk reduction, audit-readiness improvement</w:t>
      </w:r>
    </w:p>
    <w:p w:rsidR="00A41CBA" w:rsidRDefault="00000000">
      <w:pPr>
        <w:pStyle w:val="ListBullet"/>
        <w:spacing w:before="20" w:after="40"/>
      </w:pPr>
      <w:r>
        <w:rPr>
          <w:rFonts w:ascii="Arial" w:hAnsi="Arial"/>
          <w:color w:val="1A1A1A"/>
          <w:sz w:val="20"/>
        </w:rPr>
        <w:t>Name the AI use cases now embedded vs. identified but not yet built — this is the expansion pipeline</w:t>
      </w:r>
    </w:p>
    <w:p w:rsidR="00A41CBA" w:rsidRDefault="00000000">
      <w:r>
        <w:br w:type="page"/>
      </w:r>
    </w:p>
    <w:tbl>
      <w:tblPr>
        <w:tblStyle w:val="TableGrid"/>
        <w:tblW w:w="0" w:type="auto"/>
        <w:tblLook w:val="04A0" w:firstRow="1" w:lastRow="0" w:firstColumn="1" w:lastColumn="0" w:noHBand="0" w:noVBand="1"/>
      </w:tblPr>
      <w:tblGrid>
        <w:gridCol w:w="4680"/>
        <w:gridCol w:w="4680"/>
      </w:tblGrid>
      <w:tr w:rsidR="00A41CBA">
        <w:tc>
          <w:tcPr>
            <w:tcW w:w="4680" w:type="dxa"/>
            <w:tcBorders>
              <w:top w:val="nil"/>
              <w:left w:val="nil"/>
              <w:bottom w:val="nil"/>
              <w:right w:val="nil"/>
            </w:tcBorders>
            <w:shd w:val="clear" w:color="auto" w:fill="1A3C6E"/>
            <w:vAlign w:val="center"/>
          </w:tcPr>
          <w:p w:rsidR="00A41CBA" w:rsidRDefault="00000000">
            <w:pPr>
              <w:spacing w:before="40" w:after="40"/>
              <w:jc w:val="center"/>
            </w:pPr>
            <w:r>
              <w:rPr>
                <w:rFonts w:ascii="Arial" w:hAnsi="Arial"/>
                <w:b/>
                <w:color w:val="FFFFFF"/>
                <w:sz w:val="36"/>
              </w:rPr>
              <w:lastRenderedPageBreak/>
              <w:t>08</w:t>
            </w:r>
          </w:p>
        </w:tc>
        <w:tc>
          <w:tcPr>
            <w:tcW w:w="4680" w:type="dxa"/>
            <w:tcBorders>
              <w:top w:val="nil"/>
              <w:left w:val="nil"/>
              <w:bottom w:val="nil"/>
              <w:right w:val="nil"/>
            </w:tcBorders>
            <w:shd w:val="clear" w:color="auto" w:fill="2E75B6"/>
            <w:vAlign w:val="center"/>
          </w:tcPr>
          <w:p w:rsidR="00A41CBA" w:rsidRDefault="00000000">
            <w:pPr>
              <w:spacing w:before="80" w:after="80"/>
            </w:pPr>
            <w:r>
              <w:rPr>
                <w:rFonts w:ascii="Arial" w:hAnsi="Arial"/>
                <w:b/>
                <w:color w:val="FFFFFF"/>
                <w:sz w:val="24"/>
              </w:rPr>
              <w:t xml:space="preserve">Post-Delivery &amp; Account Expansion   </w:t>
            </w:r>
            <w:r>
              <w:rPr>
                <w:rFonts w:ascii="Arial" w:hAnsi="Arial"/>
                <w:color w:val="AABBCC"/>
                <w:sz w:val="18"/>
              </w:rPr>
              <w:t>Trigger: Programme closed, client in production / adoption phase</w:t>
            </w:r>
          </w:p>
        </w:tc>
      </w:tr>
    </w:tbl>
    <w:p w:rsidR="00A41CBA" w:rsidRDefault="00A41CBA">
      <w:pPr>
        <w:spacing w:before="20" w:after="20"/>
      </w:pPr>
    </w:p>
    <w:p w:rsidR="00A41CBA" w:rsidRDefault="00000000">
      <w:pPr>
        <w:spacing w:before="200" w:after="60"/>
      </w:pPr>
      <w:r>
        <w:rPr>
          <w:rFonts w:ascii="Arial" w:hAnsi="Arial"/>
          <w:b/>
          <w:color w:val="2E75B6"/>
        </w:rPr>
        <w:t>8.1  The 30-60-90 Day Plan</w:t>
      </w:r>
    </w:p>
    <w:tbl>
      <w:tblPr>
        <w:tblStyle w:val="TableGrid"/>
        <w:tblW w:w="0" w:type="auto"/>
        <w:tblLook w:val="04A0" w:firstRow="1" w:lastRow="0" w:firstColumn="1" w:lastColumn="0" w:noHBand="0" w:noVBand="1"/>
      </w:tblPr>
      <w:tblGrid>
        <w:gridCol w:w="2340"/>
        <w:gridCol w:w="2340"/>
        <w:gridCol w:w="2340"/>
        <w:gridCol w:w="2340"/>
      </w:tblGrid>
      <w:tr w:rsidR="00A41CBA">
        <w:tc>
          <w:tcPr>
            <w:tcW w:w="2340"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Timing</w:t>
            </w:r>
          </w:p>
        </w:tc>
        <w:tc>
          <w:tcPr>
            <w:tcW w:w="2340"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Activity</w:t>
            </w:r>
          </w:p>
        </w:tc>
        <w:tc>
          <w:tcPr>
            <w:tcW w:w="2340"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Owner</w:t>
            </w:r>
          </w:p>
        </w:tc>
        <w:tc>
          <w:tcPr>
            <w:tcW w:w="2340"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Output</w:t>
            </w:r>
          </w:p>
        </w:tc>
      </w:tr>
      <w:tr w:rsidR="00A41CBA">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Day 30</w:t>
            </w:r>
          </w:p>
        </w:tc>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Check-in call: adoption progress, prompt library gaps, early friction points</w:t>
            </w:r>
          </w:p>
        </w:tc>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Head of Innovation</w:t>
            </w:r>
          </w:p>
        </w:tc>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Issue log; potential trigger for Adoption Management tranche</w:t>
            </w:r>
          </w:p>
        </w:tc>
      </w:tr>
      <w:tr w:rsidR="00A41CBA">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Day 60</w:t>
            </w:r>
          </w:p>
        </w:tc>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Value measurement review: are the KPIs moving? Use data to anchor the expansion conversation.</w:t>
            </w:r>
          </w:p>
        </w:tc>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PM + Head of Innovation</w:t>
            </w:r>
          </w:p>
        </w:tc>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Value Realisation update; expansion proposal trigger if warranted</w:t>
            </w:r>
          </w:p>
        </w:tc>
      </w:tr>
      <w:tr w:rsidR="00A41CBA">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Day 90</w:t>
            </w:r>
          </w:p>
        </w:tc>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Account review: what has been built, what hasn't, what is next. Case study interview if permitted.</w:t>
            </w:r>
          </w:p>
        </w:tc>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Head of Innovation + Head of Sales</w:t>
            </w:r>
          </w:p>
        </w:tc>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Case study draft; expansion roadmap; reference agreement</w:t>
            </w:r>
          </w:p>
        </w:tc>
      </w:tr>
    </w:tbl>
    <w:p w:rsidR="00A41CBA" w:rsidRDefault="00A41CBA">
      <w:pPr>
        <w:spacing w:before="20" w:after="20"/>
      </w:pPr>
    </w:p>
    <w:p w:rsidR="00A41CBA" w:rsidRDefault="00000000">
      <w:pPr>
        <w:spacing w:before="200" w:after="60"/>
      </w:pPr>
      <w:r>
        <w:rPr>
          <w:rFonts w:ascii="Arial" w:hAnsi="Arial"/>
          <w:b/>
          <w:color w:val="2E75B6"/>
        </w:rPr>
        <w:t>8.2  Expansion Playbook — Four Plays</w:t>
      </w:r>
    </w:p>
    <w:p w:rsidR="00A41CBA" w:rsidRDefault="00000000">
      <w:pPr>
        <w:spacing w:before="40" w:after="80"/>
      </w:pPr>
      <w:r>
        <w:rPr>
          <w:rFonts w:ascii="Arial" w:hAnsi="Arial"/>
          <w:color w:val="1A1A1A"/>
          <w:sz w:val="20"/>
        </w:rPr>
        <w:t>Use these structured plays to move a point engagement into a multi-year partnership.</w:t>
      </w:r>
    </w:p>
    <w:tbl>
      <w:tblPr>
        <w:tblStyle w:val="TableGrid"/>
        <w:tblW w:w="0" w:type="auto"/>
        <w:tblLook w:val="04A0" w:firstRow="1" w:lastRow="0" w:firstColumn="1" w:lastColumn="0" w:noHBand="0" w:noVBand="1"/>
      </w:tblPr>
      <w:tblGrid>
        <w:gridCol w:w="2340"/>
        <w:gridCol w:w="2340"/>
        <w:gridCol w:w="2340"/>
        <w:gridCol w:w="2340"/>
      </w:tblGrid>
      <w:tr w:rsidR="00A41CBA">
        <w:tc>
          <w:tcPr>
            <w:tcW w:w="2340"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Play</w:t>
            </w:r>
          </w:p>
        </w:tc>
        <w:tc>
          <w:tcPr>
            <w:tcW w:w="2340"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Approach</w:t>
            </w:r>
          </w:p>
        </w:tc>
        <w:tc>
          <w:tcPr>
            <w:tcW w:w="2340"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Timing</w:t>
            </w:r>
          </w:p>
        </w:tc>
        <w:tc>
          <w:tcPr>
            <w:tcW w:w="2340"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Revenue Signal</w:t>
            </w:r>
          </w:p>
        </w:tc>
      </w:tr>
      <w:tr w:rsidR="00A41CBA">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Play 1: The 6-Month Health Check</w:t>
            </w:r>
          </w:p>
        </w:tc>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Pre-sold at handover as a 1-day engagement. Return to audit champion network performance, analyse usage metrics, and refresh prompt libraries against any regulatory changes.</w:t>
            </w:r>
          </w:p>
        </w:tc>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Month 6</w:t>
            </w:r>
          </w:p>
        </w:tc>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€15–20K</w:t>
            </w:r>
          </w:p>
        </w:tc>
      </w:tr>
      <w:tr w:rsidR="00A41CBA">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Play 2: Annual AI Governance Review</w:t>
            </w:r>
          </w:p>
        </w:tc>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Recurring annual audit of the client's AI practices against evolving FDA/EMA frameworks (e.g. EMA Annex 22, FDA Risk-Based Credibility Guidelines). Positions Trinzo as ongoing regulatory intelligence partner.</w:t>
            </w:r>
          </w:p>
        </w:tc>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Annual</w:t>
            </w:r>
          </w:p>
        </w:tc>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€25–40K / year</w:t>
            </w:r>
          </w:p>
        </w:tc>
      </w:tr>
      <w:tr w:rsidR="00A41CBA">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Play 3: Functional Expansion</w:t>
            </w:r>
          </w:p>
        </w:tc>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Use the Opportunity Matrix from Phase 0 to pitch AI adoption to adjacent functions. If QA documentation was automated, pitch Lab Operations or Regulatory Affairs next.</w:t>
            </w:r>
          </w:p>
        </w:tc>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Months 4–9</w:t>
            </w:r>
          </w:p>
        </w:tc>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New service line: €30K–€200K</w:t>
            </w:r>
          </w:p>
        </w:tc>
      </w:tr>
      <w:tr w:rsidR="00A41CBA">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 xml:space="preserve">Play 4: Additional </w:t>
            </w:r>
            <w:r>
              <w:rPr>
                <w:rFonts w:ascii="Arial" w:hAnsi="Arial"/>
                <w:color w:val="1A1A1A"/>
                <w:sz w:val="19"/>
              </w:rPr>
              <w:lastRenderedPageBreak/>
              <w:t>Configurations (Implementation only)</w:t>
            </w:r>
          </w:p>
        </w:tc>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lastRenderedPageBreak/>
              <w:t xml:space="preserve">Rolling batch model: </w:t>
            </w:r>
            <w:r>
              <w:rPr>
                <w:rFonts w:ascii="Arial" w:hAnsi="Arial"/>
                <w:color w:val="1A1A1A"/>
                <w:sz w:val="19"/>
              </w:rPr>
              <w:lastRenderedPageBreak/>
              <w:t>Batch 2 reuses Batch 1 infrastructure at lower cost. Price and pitch the next 5 configurations using the batch economics argument.</w:t>
            </w:r>
          </w:p>
        </w:tc>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lastRenderedPageBreak/>
              <w:t>Month 9 onwards</w:t>
            </w:r>
          </w:p>
        </w:tc>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€1.2–1.4M per batch</w:t>
            </w:r>
          </w:p>
        </w:tc>
      </w:tr>
    </w:tbl>
    <w:p w:rsidR="00A41CBA" w:rsidRDefault="00A41CBA">
      <w:pPr>
        <w:spacing w:before="20" w:after="20"/>
      </w:pPr>
    </w:p>
    <w:p w:rsidR="00A41CBA" w:rsidRDefault="00000000">
      <w:pPr>
        <w:spacing w:before="200" w:after="60"/>
      </w:pPr>
      <w:r>
        <w:rPr>
          <w:rFonts w:ascii="Arial" w:hAnsi="Arial"/>
          <w:b/>
          <w:color w:val="2E75B6"/>
        </w:rPr>
        <w:t>8.3  Case Study &amp; Reference Conversion</w:t>
      </w:r>
    </w:p>
    <w:p w:rsidR="00A41CBA" w:rsidRDefault="00000000">
      <w:pPr>
        <w:pStyle w:val="ListBullet"/>
        <w:spacing w:before="20" w:after="40"/>
      </w:pPr>
      <w:r>
        <w:rPr>
          <w:rFonts w:ascii="Arial" w:hAnsi="Arial"/>
          <w:color w:val="1A1A1A"/>
          <w:sz w:val="20"/>
        </w:rPr>
        <w:t>Every completed engagement is a potential case study for Pillar 1 (Marketing Engine) and a sales asset for future proposals</w:t>
      </w:r>
    </w:p>
    <w:p w:rsidR="00A41CBA" w:rsidRDefault="00000000">
      <w:pPr>
        <w:pStyle w:val="ListBullet"/>
        <w:spacing w:before="20" w:after="40"/>
      </w:pPr>
      <w:r>
        <w:rPr>
          <w:rFonts w:ascii="Arial" w:hAnsi="Arial"/>
          <w:color w:val="1A1A1A"/>
          <w:sz w:val="20"/>
        </w:rPr>
        <w:t>Case study format: Problem → Approach → Deliverables → Measurable Outcome → Direct quote from a named (or role-titled) stakeholder</w:t>
      </w:r>
    </w:p>
    <w:p w:rsidR="00A41CBA" w:rsidRDefault="00000000">
      <w:pPr>
        <w:pStyle w:val="ListBullet"/>
        <w:spacing w:before="20" w:after="40"/>
      </w:pPr>
      <w:r>
        <w:rPr>
          <w:rFonts w:ascii="Arial" w:hAnsi="Arial"/>
          <w:color w:val="1A1A1A"/>
          <w:sz w:val="20"/>
        </w:rPr>
        <w:t>Even without a named case study, obtain: (a) reference call consent, (b) anonymised sector/use case story, (c) LinkedIn endorsement from the primary stakeholder</w:t>
      </w:r>
    </w:p>
    <w:p w:rsidR="00A41CBA" w:rsidRDefault="00000000">
      <w:pPr>
        <w:pStyle w:val="ListBullet"/>
        <w:spacing w:before="20" w:after="40"/>
      </w:pPr>
      <w:r>
        <w:rPr>
          <w:rFonts w:ascii="Arial" w:hAnsi="Arial"/>
          <w:color w:val="1A1A1A"/>
          <w:sz w:val="20"/>
        </w:rPr>
        <w:t>Head of Innovation writes the first draft of every case study; PM coordinates client review and approval</w:t>
      </w:r>
    </w:p>
    <w:p w:rsidR="00A41CBA" w:rsidRDefault="00000000">
      <w:r>
        <w:br w:type="page"/>
      </w:r>
    </w:p>
    <w:p w:rsidR="00A41CBA" w:rsidRDefault="00000000">
      <w:pPr>
        <w:pBdr>
          <w:bottom w:val="single" w:sz="6" w:space="1" w:color="1A3C6E"/>
        </w:pBdr>
        <w:spacing w:before="320" w:after="80"/>
      </w:pPr>
      <w:r>
        <w:rPr>
          <w:rFonts w:ascii="Arial" w:hAnsi="Arial"/>
          <w:b/>
          <w:color w:val="1A3C6E"/>
          <w:sz w:val="28"/>
        </w:rPr>
        <w:lastRenderedPageBreak/>
        <w:t>5. RACI Matrix</w:t>
      </w:r>
    </w:p>
    <w:p w:rsidR="00A41CBA" w:rsidRDefault="00000000">
      <w:pPr>
        <w:spacing w:before="40" w:after="80"/>
      </w:pPr>
      <w:r>
        <w:rPr>
          <w:rFonts w:ascii="Arial" w:hAnsi="Arial"/>
          <w:color w:val="1A1A1A"/>
          <w:sz w:val="20"/>
        </w:rPr>
        <w:t>Job titles are used throughout so the RACI remains valid regardless of team changes. R = Responsible | A = Accountable | C = Consulted | I = Informed | S = Supports | — = Not involved</w:t>
      </w:r>
    </w:p>
    <w:p w:rsidR="00A41CBA" w:rsidRDefault="00000000">
      <w:pPr>
        <w:spacing w:before="40" w:after="80"/>
      </w:pPr>
      <w:r>
        <w:rPr>
          <w:rFonts w:ascii="Arial" w:hAnsi="Arial"/>
          <w:i/>
          <w:color w:val="1A1A1A"/>
          <w:sz w:val="20"/>
        </w:rPr>
        <w:t>Roles: HoI = Head of Innovation | HoS = Head of Sales | SS = Sales Support | PM = Project Manager/Client Delivery Lead | GxP = GxP/RA SME | DMAIC = DMAIC Facilitator | Eng = Sr AI/ML Engineer | CEO = Chief Executive Officer</w:t>
      </w:r>
    </w:p>
    <w:p w:rsidR="00A41CBA" w:rsidRDefault="00A41CBA">
      <w:pPr>
        <w:spacing w:before="20" w:after="20"/>
      </w:pPr>
    </w:p>
    <w:tbl>
      <w:tblPr>
        <w:tblStyle w:val="TableGrid"/>
        <w:tblW w:w="0" w:type="auto"/>
        <w:tblLook w:val="04A0" w:firstRow="1" w:lastRow="0" w:firstColumn="1" w:lastColumn="0" w:noHBand="0" w:noVBand="1"/>
      </w:tblPr>
      <w:tblGrid>
        <w:gridCol w:w="1051"/>
        <w:gridCol w:w="1040"/>
        <w:gridCol w:w="1040"/>
        <w:gridCol w:w="1040"/>
        <w:gridCol w:w="1040"/>
        <w:gridCol w:w="1040"/>
        <w:gridCol w:w="1040"/>
        <w:gridCol w:w="1040"/>
        <w:gridCol w:w="1040"/>
      </w:tblGrid>
      <w:tr w:rsidR="00A41CBA">
        <w:tc>
          <w:tcPr>
            <w:tcW w:w="1040"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Stage</w:t>
            </w:r>
          </w:p>
        </w:tc>
        <w:tc>
          <w:tcPr>
            <w:tcW w:w="1040"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HoI</w:t>
            </w:r>
          </w:p>
        </w:tc>
        <w:tc>
          <w:tcPr>
            <w:tcW w:w="1040"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HoS</w:t>
            </w:r>
          </w:p>
        </w:tc>
        <w:tc>
          <w:tcPr>
            <w:tcW w:w="1040"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SS</w:t>
            </w:r>
          </w:p>
        </w:tc>
        <w:tc>
          <w:tcPr>
            <w:tcW w:w="1040"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PM</w:t>
            </w:r>
          </w:p>
        </w:tc>
        <w:tc>
          <w:tcPr>
            <w:tcW w:w="1040"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GxP SME</w:t>
            </w:r>
          </w:p>
        </w:tc>
        <w:tc>
          <w:tcPr>
            <w:tcW w:w="1040"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DMAIC</w:t>
            </w:r>
          </w:p>
        </w:tc>
        <w:tc>
          <w:tcPr>
            <w:tcW w:w="1040"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Eng</w:t>
            </w:r>
          </w:p>
        </w:tc>
        <w:tc>
          <w:tcPr>
            <w:tcW w:w="1040"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CEO</w:t>
            </w:r>
          </w:p>
        </w:tc>
      </w:tr>
      <w:tr w:rsidR="00A41CBA">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01  Lead Intake</w:t>
            </w:r>
          </w:p>
        </w:tc>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A/R</w:t>
            </w:r>
          </w:p>
        </w:tc>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R</w:t>
            </w:r>
          </w:p>
        </w:tc>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S</w:t>
            </w:r>
          </w:p>
        </w:tc>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I</w:t>
            </w:r>
          </w:p>
        </w:tc>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I</w:t>
            </w:r>
          </w:p>
        </w:tc>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w:t>
            </w:r>
          </w:p>
        </w:tc>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w:t>
            </w:r>
          </w:p>
        </w:tc>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I</w:t>
            </w:r>
          </w:p>
        </w:tc>
      </w:tr>
      <w:tr w:rsidR="00A41CBA">
        <w:tc>
          <w:tcPr>
            <w:tcW w:w="10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02  Qualify &amp; Scope</w:t>
            </w:r>
          </w:p>
        </w:tc>
        <w:tc>
          <w:tcPr>
            <w:tcW w:w="10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A/R</w:t>
            </w:r>
          </w:p>
        </w:tc>
        <w:tc>
          <w:tcPr>
            <w:tcW w:w="10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C</w:t>
            </w:r>
          </w:p>
        </w:tc>
        <w:tc>
          <w:tcPr>
            <w:tcW w:w="10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I</w:t>
            </w:r>
          </w:p>
        </w:tc>
        <w:tc>
          <w:tcPr>
            <w:tcW w:w="10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I</w:t>
            </w:r>
          </w:p>
        </w:tc>
        <w:tc>
          <w:tcPr>
            <w:tcW w:w="10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C</w:t>
            </w:r>
          </w:p>
        </w:tc>
        <w:tc>
          <w:tcPr>
            <w:tcW w:w="10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C</w:t>
            </w:r>
          </w:p>
        </w:tc>
        <w:tc>
          <w:tcPr>
            <w:tcW w:w="10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w:t>
            </w:r>
          </w:p>
        </w:tc>
        <w:tc>
          <w:tcPr>
            <w:tcW w:w="10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I</w:t>
            </w:r>
          </w:p>
        </w:tc>
      </w:tr>
      <w:tr w:rsidR="00A41CBA">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03  Discovery Call</w:t>
            </w:r>
          </w:p>
        </w:tc>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R</w:t>
            </w:r>
          </w:p>
        </w:tc>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S</w:t>
            </w:r>
          </w:p>
        </w:tc>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w:t>
            </w:r>
          </w:p>
        </w:tc>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S</w:t>
            </w:r>
          </w:p>
        </w:tc>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C</w:t>
            </w:r>
          </w:p>
        </w:tc>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R</w:t>
            </w:r>
          </w:p>
        </w:tc>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w:t>
            </w:r>
          </w:p>
        </w:tc>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C</w:t>
            </w:r>
          </w:p>
        </w:tc>
      </w:tr>
      <w:tr w:rsidR="00A41CBA">
        <w:tc>
          <w:tcPr>
            <w:tcW w:w="10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04  Proposal &amp; SOW</w:t>
            </w:r>
          </w:p>
        </w:tc>
        <w:tc>
          <w:tcPr>
            <w:tcW w:w="10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A/R</w:t>
            </w:r>
          </w:p>
        </w:tc>
        <w:tc>
          <w:tcPr>
            <w:tcW w:w="10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C</w:t>
            </w:r>
          </w:p>
        </w:tc>
        <w:tc>
          <w:tcPr>
            <w:tcW w:w="10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S</w:t>
            </w:r>
          </w:p>
        </w:tc>
        <w:tc>
          <w:tcPr>
            <w:tcW w:w="10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R</w:t>
            </w:r>
          </w:p>
        </w:tc>
        <w:tc>
          <w:tcPr>
            <w:tcW w:w="10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C</w:t>
            </w:r>
          </w:p>
        </w:tc>
        <w:tc>
          <w:tcPr>
            <w:tcW w:w="10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C</w:t>
            </w:r>
          </w:p>
        </w:tc>
        <w:tc>
          <w:tcPr>
            <w:tcW w:w="10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C</w:t>
            </w:r>
          </w:p>
        </w:tc>
        <w:tc>
          <w:tcPr>
            <w:tcW w:w="10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A (&gt;€150K)</w:t>
            </w:r>
          </w:p>
        </w:tc>
      </w:tr>
      <w:tr w:rsidR="00A41CBA">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05  Contract &amp; Kick-off</w:t>
            </w:r>
          </w:p>
        </w:tc>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R</w:t>
            </w:r>
          </w:p>
        </w:tc>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R</w:t>
            </w:r>
          </w:p>
        </w:tc>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I</w:t>
            </w:r>
          </w:p>
        </w:tc>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A/R</w:t>
            </w:r>
          </w:p>
        </w:tc>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I</w:t>
            </w:r>
          </w:p>
        </w:tc>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I</w:t>
            </w:r>
          </w:p>
        </w:tc>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I</w:t>
            </w:r>
          </w:p>
        </w:tc>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A</w:t>
            </w:r>
          </w:p>
        </w:tc>
      </w:tr>
      <w:tr w:rsidR="00A41CBA">
        <w:tc>
          <w:tcPr>
            <w:tcW w:w="10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06A Delivery (Track A)</w:t>
            </w:r>
          </w:p>
        </w:tc>
        <w:tc>
          <w:tcPr>
            <w:tcW w:w="10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R</w:t>
            </w:r>
          </w:p>
        </w:tc>
        <w:tc>
          <w:tcPr>
            <w:tcW w:w="10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w:t>
            </w:r>
          </w:p>
        </w:tc>
        <w:tc>
          <w:tcPr>
            <w:tcW w:w="10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w:t>
            </w:r>
          </w:p>
        </w:tc>
        <w:tc>
          <w:tcPr>
            <w:tcW w:w="10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A/R</w:t>
            </w:r>
          </w:p>
        </w:tc>
        <w:tc>
          <w:tcPr>
            <w:tcW w:w="10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R</w:t>
            </w:r>
          </w:p>
        </w:tc>
        <w:tc>
          <w:tcPr>
            <w:tcW w:w="10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R</w:t>
            </w:r>
          </w:p>
        </w:tc>
        <w:tc>
          <w:tcPr>
            <w:tcW w:w="10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w:t>
            </w:r>
          </w:p>
        </w:tc>
        <w:tc>
          <w:tcPr>
            <w:tcW w:w="10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I</w:t>
            </w:r>
          </w:p>
        </w:tc>
      </w:tr>
      <w:tr w:rsidR="00A41CBA">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06B Delivery (Track B)</w:t>
            </w:r>
          </w:p>
        </w:tc>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R</w:t>
            </w:r>
          </w:p>
        </w:tc>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w:t>
            </w:r>
          </w:p>
        </w:tc>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w:t>
            </w:r>
          </w:p>
        </w:tc>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A/R</w:t>
            </w:r>
          </w:p>
        </w:tc>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R</w:t>
            </w:r>
          </w:p>
        </w:tc>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R</w:t>
            </w:r>
          </w:p>
        </w:tc>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R</w:t>
            </w:r>
          </w:p>
        </w:tc>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I</w:t>
            </w:r>
          </w:p>
        </w:tc>
      </w:tr>
      <w:tr w:rsidR="00A41CBA">
        <w:tc>
          <w:tcPr>
            <w:tcW w:w="10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07  Close &amp; Handover</w:t>
            </w:r>
          </w:p>
        </w:tc>
        <w:tc>
          <w:tcPr>
            <w:tcW w:w="10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R</w:t>
            </w:r>
          </w:p>
        </w:tc>
        <w:tc>
          <w:tcPr>
            <w:tcW w:w="10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I</w:t>
            </w:r>
          </w:p>
        </w:tc>
        <w:tc>
          <w:tcPr>
            <w:tcW w:w="10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I</w:t>
            </w:r>
          </w:p>
        </w:tc>
        <w:tc>
          <w:tcPr>
            <w:tcW w:w="10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A/R</w:t>
            </w:r>
          </w:p>
        </w:tc>
        <w:tc>
          <w:tcPr>
            <w:tcW w:w="10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C</w:t>
            </w:r>
          </w:p>
        </w:tc>
        <w:tc>
          <w:tcPr>
            <w:tcW w:w="10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I</w:t>
            </w:r>
          </w:p>
        </w:tc>
        <w:tc>
          <w:tcPr>
            <w:tcW w:w="10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I</w:t>
            </w:r>
          </w:p>
        </w:tc>
        <w:tc>
          <w:tcPr>
            <w:tcW w:w="10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I</w:t>
            </w:r>
          </w:p>
        </w:tc>
      </w:tr>
      <w:tr w:rsidR="00A41CBA">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08  Post-Delivery</w:t>
            </w:r>
          </w:p>
        </w:tc>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A/R</w:t>
            </w:r>
          </w:p>
        </w:tc>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R</w:t>
            </w:r>
          </w:p>
        </w:tc>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S</w:t>
            </w:r>
          </w:p>
        </w:tc>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S</w:t>
            </w:r>
          </w:p>
        </w:tc>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C</w:t>
            </w:r>
          </w:p>
        </w:tc>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w:t>
            </w:r>
          </w:p>
        </w:tc>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w:t>
            </w:r>
          </w:p>
        </w:tc>
        <w:tc>
          <w:tcPr>
            <w:tcW w:w="10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I</w:t>
            </w:r>
          </w:p>
        </w:tc>
      </w:tr>
    </w:tbl>
    <w:p w:rsidR="00A41CBA" w:rsidRDefault="00A41CBA">
      <w:pPr>
        <w:spacing w:before="20" w:after="20"/>
      </w:pPr>
    </w:p>
    <w:tbl>
      <w:tblPr>
        <w:tblStyle w:val="TableGrid"/>
        <w:tblW w:w="0" w:type="auto"/>
        <w:tblLook w:val="04A0" w:firstRow="1" w:lastRow="0" w:firstColumn="1" w:lastColumn="0" w:noHBand="0" w:noVBand="1"/>
      </w:tblPr>
      <w:tblGrid>
        <w:gridCol w:w="9360"/>
      </w:tblGrid>
      <w:tr w:rsidR="00A41CBA">
        <w:tc>
          <w:tcPr>
            <w:tcW w:w="9360" w:type="dxa"/>
            <w:tcBorders>
              <w:top w:val="single" w:sz="4" w:space="0" w:color="2E75B6"/>
              <w:left w:val="single" w:sz="12" w:space="0" w:color="2E75B6"/>
              <w:bottom w:val="single" w:sz="4" w:space="0" w:color="2E75B6"/>
              <w:right w:val="single" w:sz="4" w:space="0" w:color="2E75B6"/>
            </w:tcBorders>
            <w:shd w:val="clear" w:color="auto" w:fill="E8F4FD"/>
          </w:tcPr>
          <w:p w:rsidR="00A41CBA" w:rsidRDefault="00000000">
            <w:pPr>
              <w:spacing w:before="60" w:after="60"/>
            </w:pPr>
            <w:r>
              <w:rPr>
                <w:rFonts w:ascii="Arial" w:hAnsi="Arial"/>
                <w:color w:val="1A1A1A"/>
                <w:sz w:val="19"/>
              </w:rPr>
              <w:t>Digital Agents (LUCE &amp; ARIA): LUCE executes automated pre-sales research at Stage 1. ARIA generates Track A SOW drafts at Stage 4. Both operate under the oversight of the Head of Innovation and Head of Sales respectively. Neither agent takes a role in GxP-regulated deliverable production.</w:t>
            </w:r>
          </w:p>
        </w:tc>
      </w:tr>
    </w:tbl>
    <w:p w:rsidR="00A41CBA" w:rsidRDefault="00A41CBA">
      <w:pPr>
        <w:spacing w:before="20" w:after="20"/>
      </w:pPr>
    </w:p>
    <w:p w:rsidR="00A41CBA" w:rsidRDefault="00000000">
      <w:r>
        <w:br w:type="page"/>
      </w:r>
    </w:p>
    <w:p w:rsidR="00A41CBA" w:rsidRDefault="00000000">
      <w:pPr>
        <w:pBdr>
          <w:bottom w:val="single" w:sz="6" w:space="1" w:color="1A3C6E"/>
        </w:pBdr>
        <w:spacing w:before="320" w:after="80"/>
      </w:pPr>
      <w:r>
        <w:rPr>
          <w:rFonts w:ascii="Arial" w:hAnsi="Arial"/>
          <w:b/>
          <w:color w:val="1A3C6E"/>
          <w:sz w:val="28"/>
        </w:rPr>
        <w:lastRenderedPageBreak/>
        <w:t>6. Key Safeguards &amp; Contractual Controls</w:t>
      </w:r>
    </w:p>
    <w:p w:rsidR="00A41CBA" w:rsidRDefault="00000000">
      <w:pPr>
        <w:spacing w:before="200" w:after="60"/>
      </w:pPr>
      <w:r>
        <w:rPr>
          <w:rFonts w:ascii="Arial" w:hAnsi="Arial"/>
          <w:b/>
          <w:color w:val="2E75B6"/>
        </w:rPr>
        <w:t>6.1  System-Agnostic Design Principle</w:t>
      </w:r>
    </w:p>
    <w:p w:rsidR="00A41CBA" w:rsidRDefault="00000000">
      <w:pPr>
        <w:spacing w:before="40" w:after="80"/>
      </w:pPr>
      <w:r>
        <w:rPr>
          <w:rFonts w:ascii="Arial" w:hAnsi="Arial"/>
          <w:color w:val="1A1A1A"/>
          <w:sz w:val="20"/>
        </w:rPr>
        <w:t>Rule: Do not write, prescribe, or build dependencies on the internal operations, APIs, or database configuration of any client application subject to Computer Systems Validation (CSV).</w:t>
      </w:r>
    </w:p>
    <w:p w:rsidR="00A41CBA" w:rsidRDefault="00000000">
      <w:pPr>
        <w:spacing w:before="40" w:after="80"/>
      </w:pPr>
      <w:r>
        <w:rPr>
          <w:rFonts w:ascii="Arial" w:hAnsi="Arial"/>
          <w:color w:val="1A1A1A"/>
          <w:sz w:val="20"/>
        </w:rPr>
        <w:t>Why: If the client upgrades or replaces their eQMS (Veeva, TrackWise, MasterControl), any system-dependent deliverable Trinzo produced is instantly invalidated — creating rework liability and scope disputes. Mapping at the human decision-and-verification level keeps all Trinzo deliverables valid regardless of client IT changes.</w:t>
      </w:r>
    </w:p>
    <w:p w:rsidR="00A41CBA" w:rsidRDefault="00000000">
      <w:pPr>
        <w:pStyle w:val="ListBullet"/>
        <w:spacing w:before="20" w:after="40"/>
      </w:pPr>
      <w:r>
        <w:rPr>
          <w:rFonts w:ascii="Arial" w:hAnsi="Arial"/>
          <w:color w:val="1A1A1A"/>
          <w:sz w:val="20"/>
        </w:rPr>
        <w:t>Process maps: end at the human action before any validated system; do not describe what happens inside it</w:t>
      </w:r>
    </w:p>
    <w:p w:rsidR="00A41CBA" w:rsidRDefault="00000000">
      <w:pPr>
        <w:pStyle w:val="ListBullet"/>
        <w:spacing w:before="20" w:after="40"/>
      </w:pPr>
      <w:r>
        <w:rPr>
          <w:rFonts w:ascii="Arial" w:hAnsi="Arial"/>
          <w:color w:val="1A1A1A"/>
          <w:sz w:val="20"/>
        </w:rPr>
        <w:t>Training content: built around human judgment and AI tool use — no system navigation</w:t>
      </w:r>
    </w:p>
    <w:p w:rsidR="00A41CBA" w:rsidRDefault="00000000">
      <w:pPr>
        <w:pStyle w:val="ListBullet"/>
        <w:spacing w:before="20" w:after="40"/>
      </w:pPr>
      <w:r>
        <w:rPr>
          <w:rFonts w:ascii="Arial" w:hAnsi="Arial"/>
          <w:color w:val="1A1A1A"/>
          <w:sz w:val="20"/>
        </w:rPr>
        <w:t>Prompt libraries: reference only the licensed AI tool confirmed in scope (Copilot, Google Workspace, etc.)</w:t>
      </w:r>
    </w:p>
    <w:p w:rsidR="00A41CBA" w:rsidRDefault="00000000">
      <w:pPr>
        <w:pStyle w:val="ListBullet"/>
        <w:spacing w:before="20" w:after="40"/>
      </w:pPr>
      <w:r>
        <w:rPr>
          <w:rFonts w:ascii="Arial" w:hAnsi="Arial"/>
          <w:color w:val="1A1A1A"/>
          <w:sz w:val="20"/>
        </w:rPr>
        <w:t>The Playbook: explicitly states at the outset that it is system-agnostic</w:t>
      </w:r>
    </w:p>
    <w:p w:rsidR="00A41CBA" w:rsidRDefault="00000000">
      <w:pPr>
        <w:spacing w:before="200" w:after="60"/>
      </w:pPr>
      <w:r>
        <w:rPr>
          <w:rFonts w:ascii="Arial" w:hAnsi="Arial"/>
          <w:b/>
          <w:color w:val="2E75B6"/>
        </w:rPr>
        <w:t>6.2  IP Protection Clause (Track B SOWs)</w:t>
      </w:r>
    </w:p>
    <w:p w:rsidR="00A41CBA" w:rsidRDefault="00000000">
      <w:pPr>
        <w:spacing w:before="40" w:after="80"/>
      </w:pPr>
      <w:r>
        <w:rPr>
          <w:rFonts w:ascii="Arial" w:hAnsi="Arial"/>
          <w:color w:val="1A1A1A"/>
          <w:sz w:val="20"/>
        </w:rPr>
        <w:t>The following clause must be included in all Track B SOWs verbatim:</w:t>
      </w:r>
    </w:p>
    <w:tbl>
      <w:tblPr>
        <w:tblStyle w:val="TableGrid"/>
        <w:tblW w:w="0" w:type="auto"/>
        <w:tblLook w:val="04A0" w:firstRow="1" w:lastRow="0" w:firstColumn="1" w:lastColumn="0" w:noHBand="0" w:noVBand="1"/>
      </w:tblPr>
      <w:tblGrid>
        <w:gridCol w:w="9360"/>
      </w:tblGrid>
      <w:tr w:rsidR="00A41CBA">
        <w:tc>
          <w:tcPr>
            <w:tcW w:w="9360" w:type="dxa"/>
            <w:tcBorders>
              <w:top w:val="single" w:sz="4" w:space="0" w:color="1A3C6E"/>
              <w:left w:val="single" w:sz="12" w:space="0" w:color="1A3C6E"/>
              <w:bottom w:val="single" w:sz="4" w:space="0" w:color="1A3C6E"/>
              <w:right w:val="single" w:sz="4" w:space="0" w:color="1A3C6E"/>
            </w:tcBorders>
            <w:shd w:val="clear" w:color="auto" w:fill="F5F5F5"/>
          </w:tcPr>
          <w:p w:rsidR="00A41CBA" w:rsidRDefault="00000000">
            <w:pPr>
              <w:spacing w:before="60" w:after="60"/>
            </w:pPr>
            <w:r>
              <w:rPr>
                <w:rFonts w:ascii="Arial" w:hAnsi="Arial"/>
                <w:color w:val="1A1A1A"/>
                <w:sz w:val="19"/>
              </w:rPr>
              <w:t>"Trinzo retains all proprietary ownership of its delivery frameworks, methodologies, and pre-built architectures (including but not limited to INSPIRE, AAFR, prompt generation methodology, and agent architectures). The Client receives a perpetual, non-exclusive, non-transferable licence to use the delivered customised playbooks, prompt libraries, and training materials for internal purposes only."</w:t>
            </w:r>
          </w:p>
        </w:tc>
      </w:tr>
    </w:tbl>
    <w:p w:rsidR="00A41CBA" w:rsidRDefault="00A41CBA">
      <w:pPr>
        <w:spacing w:before="20" w:after="20"/>
      </w:pPr>
    </w:p>
    <w:p w:rsidR="00A41CBA" w:rsidRDefault="00000000">
      <w:pPr>
        <w:spacing w:before="200" w:after="60"/>
      </w:pPr>
      <w:r>
        <w:rPr>
          <w:rFonts w:ascii="Arial" w:hAnsi="Arial"/>
          <w:b/>
          <w:color w:val="2E75B6"/>
        </w:rPr>
        <w:t>6.3  Milestone Payment &amp; T&amp;M Prohibition</w:t>
      </w:r>
    </w:p>
    <w:p w:rsidR="00A41CBA" w:rsidRDefault="00000000">
      <w:pPr>
        <w:pStyle w:val="ListBullet"/>
        <w:spacing w:before="20" w:after="40"/>
      </w:pPr>
      <w:r>
        <w:rPr>
          <w:rFonts w:ascii="Arial" w:hAnsi="Arial"/>
          <w:color w:val="1A1A1A"/>
          <w:sz w:val="20"/>
        </w:rPr>
        <w:t>All Track B engagements are priced on a milestone basis: 25% on signature, 25% on Phase 0 approval, 25% on Phase 1 approval, 25% on final handover</w:t>
      </w:r>
    </w:p>
    <w:p w:rsidR="00A41CBA" w:rsidRDefault="00000000">
      <w:pPr>
        <w:pStyle w:val="ListBullet"/>
        <w:spacing w:before="20" w:after="40"/>
      </w:pPr>
      <w:r>
        <w:rPr>
          <w:rFonts w:ascii="Arial" w:hAnsi="Arial"/>
          <w:color w:val="1A1A1A"/>
          <w:sz w:val="20"/>
        </w:rPr>
        <w:t>Time-and-materials billing is prohibited for Track B engagements. It creates margin risk and misaligns incentives.</w:t>
      </w:r>
    </w:p>
    <w:p w:rsidR="00A41CBA" w:rsidRDefault="00000000">
      <w:pPr>
        <w:pStyle w:val="ListBullet"/>
        <w:spacing w:before="20" w:after="40"/>
      </w:pPr>
      <w:r>
        <w:rPr>
          <w:rFonts w:ascii="Arial" w:hAnsi="Arial"/>
          <w:color w:val="1A1A1A"/>
          <w:sz w:val="20"/>
        </w:rPr>
        <w:t>Track A engagements may be fixed-price or, in exceptional cases, daily rate — approved by Head of Innovation and Head of Sales before proposal issue</w:t>
      </w:r>
    </w:p>
    <w:p w:rsidR="00A41CBA" w:rsidRDefault="00000000">
      <w:pPr>
        <w:spacing w:before="200" w:after="60"/>
      </w:pPr>
      <w:r>
        <w:rPr>
          <w:rFonts w:ascii="Arial" w:hAnsi="Arial"/>
          <w:b/>
          <w:color w:val="2E75B6"/>
        </w:rPr>
        <w:t>6.4  Data Handling &amp; GDPR</w:t>
      </w:r>
    </w:p>
    <w:p w:rsidR="00A41CBA" w:rsidRDefault="00000000">
      <w:pPr>
        <w:pStyle w:val="ListBullet"/>
        <w:spacing w:before="20" w:after="40"/>
      </w:pPr>
      <w:r>
        <w:rPr>
          <w:rFonts w:ascii="Arial" w:hAnsi="Arial"/>
          <w:color w:val="1A1A1A"/>
          <w:sz w:val="20"/>
        </w:rPr>
        <w:t>AI-assisted analysis of client warning letters, audit records, and CAPA logs must occur in a dedicated, secure Trinzo tenancy with data retention policies defined in a signed Data Handling Agreement</w:t>
      </w:r>
    </w:p>
    <w:p w:rsidR="00A41CBA" w:rsidRDefault="00000000">
      <w:pPr>
        <w:pStyle w:val="ListBullet"/>
        <w:spacing w:before="20" w:after="40"/>
      </w:pPr>
      <w:r>
        <w:rPr>
          <w:rFonts w:ascii="Arial" w:hAnsi="Arial"/>
          <w:color w:val="1A1A1A"/>
          <w:sz w:val="20"/>
        </w:rPr>
        <w:t>Client-sensitive data must never be used to train public LLM models. All API calls are executed with zero-data-retention (ZDR) settings enabled.</w:t>
      </w:r>
    </w:p>
    <w:p w:rsidR="00A41CBA" w:rsidRDefault="00000000">
      <w:pPr>
        <w:pStyle w:val="ListBullet"/>
        <w:spacing w:before="20" w:after="40"/>
      </w:pPr>
      <w:r>
        <w:rPr>
          <w:rFonts w:ascii="Arial" w:hAnsi="Arial"/>
          <w:color w:val="1A1A1A"/>
          <w:sz w:val="20"/>
        </w:rPr>
        <w:t>Data Handling Agreement is required for Track B engagements; strongly recommended for Track A where client documents are reviewed</w:t>
      </w:r>
    </w:p>
    <w:p w:rsidR="00A41CBA" w:rsidRDefault="00000000">
      <w:pPr>
        <w:spacing w:before="200" w:after="60"/>
      </w:pPr>
      <w:r>
        <w:rPr>
          <w:rFonts w:ascii="Arial" w:hAnsi="Arial"/>
          <w:b/>
          <w:color w:val="2E75B6"/>
        </w:rPr>
        <w:t>6.5  Content Freeze Rule</w:t>
      </w:r>
    </w:p>
    <w:p w:rsidR="00A41CBA" w:rsidRDefault="00000000">
      <w:pPr>
        <w:pStyle w:val="ListBullet"/>
        <w:spacing w:before="20" w:after="40"/>
      </w:pPr>
      <w:r>
        <w:rPr>
          <w:rFonts w:ascii="Arial" w:hAnsi="Arial"/>
          <w:color w:val="1A1A1A"/>
          <w:sz w:val="20"/>
        </w:rPr>
        <w:t>All training decks, playbooks, and prompt libraries must be locked and frozen 5 business days before scheduled delivery</w:t>
      </w:r>
    </w:p>
    <w:p w:rsidR="00A41CBA" w:rsidRDefault="00000000">
      <w:pPr>
        <w:pStyle w:val="ListBullet"/>
        <w:spacing w:before="20" w:after="40"/>
      </w:pPr>
      <w:r>
        <w:rPr>
          <w:rFonts w:ascii="Arial" w:hAnsi="Arial"/>
          <w:color w:val="1A1A1A"/>
          <w:sz w:val="20"/>
        </w:rPr>
        <w:t>The GxP SME must sign off on all GxP-relevant content within this window</w:t>
      </w:r>
    </w:p>
    <w:p w:rsidR="00A41CBA" w:rsidRDefault="00000000">
      <w:pPr>
        <w:pStyle w:val="ListBullet"/>
        <w:spacing w:before="20" w:after="40"/>
      </w:pPr>
      <w:r>
        <w:rPr>
          <w:rFonts w:ascii="Arial" w:hAnsi="Arial"/>
          <w:color w:val="1A1A1A"/>
          <w:sz w:val="20"/>
        </w:rPr>
        <w:lastRenderedPageBreak/>
        <w:t>No material changes after content freeze without explicit approval from the Head of Innovation and GxP SME</w:t>
      </w:r>
    </w:p>
    <w:p w:rsidR="00A41CBA" w:rsidRDefault="00000000">
      <w:pPr>
        <w:pStyle w:val="ListBullet"/>
        <w:spacing w:before="20" w:after="40"/>
      </w:pPr>
      <w:r>
        <w:rPr>
          <w:rFonts w:ascii="Arial" w:hAnsi="Arial"/>
          <w:color w:val="1A1A1A"/>
          <w:sz w:val="20"/>
        </w:rPr>
        <w:t>This rule applies to both Track A and Track B where regulated content is included</w:t>
      </w:r>
    </w:p>
    <w:p w:rsidR="00A41CBA" w:rsidRDefault="00000000">
      <w:pPr>
        <w:pBdr>
          <w:bottom w:val="single" w:sz="6" w:space="1" w:color="1A3C6E"/>
        </w:pBdr>
        <w:spacing w:before="320" w:after="80"/>
      </w:pPr>
      <w:r>
        <w:rPr>
          <w:rFonts w:ascii="Arial" w:hAnsi="Arial"/>
          <w:b/>
          <w:color w:val="1A3C6E"/>
          <w:sz w:val="28"/>
        </w:rPr>
        <w:t>7. Document &amp; Template Library</w:t>
      </w:r>
    </w:p>
    <w:p w:rsidR="00A41CBA" w:rsidRDefault="00000000">
      <w:pPr>
        <w:spacing w:before="40" w:after="80"/>
      </w:pPr>
      <w:r>
        <w:rPr>
          <w:rFonts w:ascii="Arial" w:hAnsi="Arial"/>
          <w:color w:val="1A1A1A"/>
          <w:sz w:val="20"/>
        </w:rPr>
        <w:t>All templates are maintained in Trinzo Google Drive → AI Revenue / Templates. The PM is responsible for ensuring each engagement uses current template versions.</w:t>
      </w:r>
    </w:p>
    <w:tbl>
      <w:tblPr>
        <w:tblStyle w:val="TableGrid"/>
        <w:tblW w:w="0" w:type="auto"/>
        <w:tblLook w:val="04A0" w:firstRow="1" w:lastRow="0" w:firstColumn="1" w:lastColumn="0" w:noHBand="0" w:noVBand="1"/>
      </w:tblPr>
      <w:tblGrid>
        <w:gridCol w:w="2340"/>
        <w:gridCol w:w="2340"/>
        <w:gridCol w:w="2340"/>
        <w:gridCol w:w="2340"/>
      </w:tblGrid>
      <w:tr w:rsidR="00A41CBA">
        <w:tc>
          <w:tcPr>
            <w:tcW w:w="2340"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Template</w:t>
            </w:r>
          </w:p>
        </w:tc>
        <w:tc>
          <w:tcPr>
            <w:tcW w:w="2340"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Purpose</w:t>
            </w:r>
          </w:p>
        </w:tc>
        <w:tc>
          <w:tcPr>
            <w:tcW w:w="2340"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Used At</w:t>
            </w:r>
          </w:p>
        </w:tc>
        <w:tc>
          <w:tcPr>
            <w:tcW w:w="2340" w:type="dxa"/>
            <w:tcBorders>
              <w:top w:val="nil"/>
              <w:left w:val="nil"/>
              <w:bottom w:val="nil"/>
              <w:right w:val="nil"/>
            </w:tcBorders>
            <w:shd w:val="clear" w:color="auto" w:fill="1A3C6E"/>
            <w:vAlign w:val="center"/>
          </w:tcPr>
          <w:p w:rsidR="00A41CBA" w:rsidRDefault="00000000">
            <w:pPr>
              <w:spacing w:before="40" w:after="40"/>
            </w:pPr>
            <w:r>
              <w:rPr>
                <w:rFonts w:ascii="Arial" w:hAnsi="Arial"/>
                <w:b/>
                <w:color w:val="FFFFFF"/>
                <w:sz w:val="19"/>
              </w:rPr>
              <w:t>Owner</w:t>
            </w:r>
          </w:p>
        </w:tc>
      </w:tr>
      <w:tr w:rsidR="00A41CBA">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Client Pre-Sales Context Brief</w:t>
            </w:r>
          </w:p>
        </w:tc>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LUCE-generated brief: regulatory history, system landscape, pain point summary</w:t>
            </w:r>
          </w:p>
        </w:tc>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Stage 1</w:t>
            </w:r>
          </w:p>
        </w:tc>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Head of Innovation</w:t>
            </w:r>
          </w:p>
        </w:tc>
      </w:tr>
      <w:tr w:rsidR="00A41CBA">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Lead Intake Form</w:t>
            </w:r>
          </w:p>
        </w:tc>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Client details, trigger, GxP flag, provisional service line and track</w:t>
            </w:r>
          </w:p>
        </w:tc>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Stage 1</w:t>
            </w:r>
          </w:p>
        </w:tc>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Head of Sales</w:t>
            </w:r>
          </w:p>
        </w:tc>
      </w:tr>
      <w:tr w:rsidR="00A41CBA">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Qualification Note (1-pager)</w:t>
            </w:r>
          </w:p>
        </w:tc>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Internal brief before discovery call. Never shared with client.</w:t>
            </w:r>
          </w:p>
        </w:tc>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Stage 2</w:t>
            </w:r>
          </w:p>
        </w:tc>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Head of Innovation</w:t>
            </w:r>
          </w:p>
        </w:tc>
      </w:tr>
      <w:tr w:rsidR="00A41CBA">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Discovery Call Notes</w:t>
            </w:r>
          </w:p>
        </w:tc>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Structured notes template with topic headings and verbatim quote capture</w:t>
            </w:r>
          </w:p>
        </w:tc>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Stage 3</w:t>
            </w:r>
          </w:p>
        </w:tc>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Head of Innovation</w:t>
            </w:r>
          </w:p>
        </w:tc>
      </w:tr>
      <w:tr w:rsidR="00A41CBA">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Proposal Template</w:t>
            </w:r>
          </w:p>
        </w:tc>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Branded Trinzo proposal document following the 7-section structure</w:t>
            </w:r>
          </w:p>
        </w:tc>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Stage 4</w:t>
            </w:r>
          </w:p>
        </w:tc>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Head of Innovation</w:t>
            </w:r>
          </w:p>
        </w:tc>
      </w:tr>
      <w:tr w:rsidR="00A41CBA">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Track A SOW Template</w:t>
            </w:r>
          </w:p>
        </w:tc>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Pre-approved fixed-price SOW for Training and Discovery. ARIA-generated.</w:t>
            </w:r>
          </w:p>
        </w:tc>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Stage 4</w:t>
            </w:r>
          </w:p>
        </w:tc>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Head of Sales</w:t>
            </w:r>
          </w:p>
        </w:tc>
      </w:tr>
      <w:tr w:rsidR="00A41CBA">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Track B SOW Template</w:t>
            </w:r>
          </w:p>
        </w:tc>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Technical SOW with milestone payment schedule, IP clause, Data Handling ref.</w:t>
            </w:r>
          </w:p>
        </w:tc>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Stage 4</w:t>
            </w:r>
          </w:p>
        </w:tc>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Head of Innovation</w:t>
            </w:r>
          </w:p>
        </w:tc>
      </w:tr>
      <w:tr w:rsidR="00A41CBA">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Internal Team Briefing Pack</w:t>
            </w:r>
          </w:p>
        </w:tc>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Full programme brief for all Trinzo team members on a new engagement</w:t>
            </w:r>
          </w:p>
        </w:tc>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Stage 5</w:t>
            </w:r>
          </w:p>
        </w:tc>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PM</w:t>
            </w:r>
          </w:p>
        </w:tc>
      </w:tr>
      <w:tr w:rsidR="00A41CBA">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Deliverables Tracker</w:t>
            </w:r>
          </w:p>
        </w:tc>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Live tracker of deliverables, owners, status, and client sign-off</w:t>
            </w:r>
          </w:p>
        </w:tc>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Stage 6</w:t>
            </w:r>
          </w:p>
        </w:tc>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PM</w:t>
            </w:r>
          </w:p>
        </w:tc>
      </w:tr>
      <w:tr w:rsidR="00A41CBA">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Value Realisation Summary</w:t>
            </w:r>
          </w:p>
        </w:tc>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Pre-close document mapping outcomes to original discovery success criteria</w:t>
            </w:r>
          </w:p>
        </w:tc>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Stage 7</w:t>
            </w:r>
          </w:p>
        </w:tc>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Head of Innovation</w:t>
            </w:r>
          </w:p>
        </w:tc>
      </w:tr>
      <w:tr w:rsidR="00A41CBA">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AI Usage Disclosure Statement</w:t>
            </w:r>
          </w:p>
        </w:tc>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Transparent record of how delivered materials were generated and validated</w:t>
            </w:r>
          </w:p>
        </w:tc>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Stage 7</w:t>
            </w:r>
          </w:p>
        </w:tc>
        <w:tc>
          <w:tcPr>
            <w:tcW w:w="2340" w:type="dxa"/>
            <w:tcBorders>
              <w:top w:val="nil"/>
              <w:left w:val="nil"/>
              <w:bottom w:val="nil"/>
              <w:right w:val="nil"/>
            </w:tcBorders>
            <w:shd w:val="clear" w:color="auto" w:fill="F5F7FA"/>
          </w:tcPr>
          <w:p w:rsidR="00A41CBA" w:rsidRDefault="00000000">
            <w:pPr>
              <w:spacing w:before="40" w:after="40"/>
            </w:pPr>
            <w:r>
              <w:rPr>
                <w:rFonts w:ascii="Arial" w:hAnsi="Arial"/>
                <w:color w:val="1A1A1A"/>
                <w:sz w:val="19"/>
              </w:rPr>
              <w:t>PM</w:t>
            </w:r>
          </w:p>
        </w:tc>
      </w:tr>
      <w:tr w:rsidR="00A41CBA">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Case Study Template</w:t>
            </w:r>
          </w:p>
        </w:tc>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Problem → Approach → Deliverables → Measurable Outcome → Client Quote</w:t>
            </w:r>
          </w:p>
        </w:tc>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Stage 8</w:t>
            </w:r>
          </w:p>
        </w:tc>
        <w:tc>
          <w:tcPr>
            <w:tcW w:w="2340" w:type="dxa"/>
            <w:tcBorders>
              <w:top w:val="nil"/>
              <w:left w:val="nil"/>
              <w:bottom w:val="nil"/>
              <w:right w:val="nil"/>
            </w:tcBorders>
            <w:shd w:val="clear" w:color="auto" w:fill="FFFFFF"/>
          </w:tcPr>
          <w:p w:rsidR="00A41CBA" w:rsidRDefault="00000000">
            <w:pPr>
              <w:spacing w:before="40" w:after="40"/>
            </w:pPr>
            <w:r>
              <w:rPr>
                <w:rFonts w:ascii="Arial" w:hAnsi="Arial"/>
                <w:color w:val="1A1A1A"/>
                <w:sz w:val="19"/>
              </w:rPr>
              <w:t>Head of Innovation</w:t>
            </w:r>
          </w:p>
        </w:tc>
      </w:tr>
    </w:tbl>
    <w:p w:rsidR="00A41CBA" w:rsidRDefault="00A41CBA">
      <w:pPr>
        <w:spacing w:before="20" w:after="20"/>
      </w:pPr>
    </w:p>
    <w:p w:rsidR="00A41CBA" w:rsidRDefault="00000000">
      <w:r>
        <w:br w:type="page"/>
      </w:r>
    </w:p>
    <w:p w:rsidR="00A41CBA" w:rsidRDefault="00000000">
      <w:pPr>
        <w:pBdr>
          <w:bottom w:val="single" w:sz="6" w:space="1" w:color="1A3C6E"/>
        </w:pBdr>
        <w:spacing w:before="320" w:after="80"/>
      </w:pPr>
      <w:r>
        <w:rPr>
          <w:rFonts w:ascii="Arial" w:hAnsi="Arial"/>
          <w:b/>
          <w:color w:val="1A3C6E"/>
          <w:sz w:val="28"/>
        </w:rPr>
        <w:lastRenderedPageBreak/>
        <w:t>8. Lessons Learned — From Live Engagements</w:t>
      </w:r>
    </w:p>
    <w:p w:rsidR="00A41CBA" w:rsidRDefault="00000000">
      <w:pPr>
        <w:spacing w:before="40" w:after="80"/>
      </w:pPr>
      <w:r>
        <w:rPr>
          <w:rFonts w:ascii="Arial" w:hAnsi="Arial"/>
          <w:color w:val="1A1A1A"/>
          <w:sz w:val="20"/>
        </w:rPr>
        <w:t>This section is updated after each major programme closes. It is the most credible part of any SOP. If a lesson is not in here, it is not yet embedded in the process.</w:t>
      </w:r>
    </w:p>
    <w:p w:rsidR="00A41CBA" w:rsidRDefault="00000000">
      <w:pPr>
        <w:spacing w:before="200" w:after="60"/>
      </w:pPr>
      <w:r>
        <w:rPr>
          <w:rFonts w:ascii="Arial" w:hAnsi="Arial"/>
          <w:b/>
          <w:color w:val="2E75B6"/>
        </w:rPr>
        <w:t>From Partner Implementation (medtech, regulated AI programme)</w:t>
      </w:r>
    </w:p>
    <w:p w:rsidR="00A41CBA" w:rsidRDefault="00000000">
      <w:pPr>
        <w:pStyle w:val="ListBullet"/>
        <w:spacing w:before="20" w:after="40"/>
      </w:pPr>
      <w:r>
        <w:rPr>
          <w:rFonts w:ascii="Arial" w:hAnsi="Arial"/>
          <w:color w:val="1A1A1A"/>
          <w:sz w:val="20"/>
        </w:rPr>
        <w:t>IT onboarding (SSO, Azure tenant permissions, data access) is always the critical path — not the AI work. Name the IT contact at client kick-off and follow up within 48 hours.</w:t>
      </w:r>
    </w:p>
    <w:p w:rsidR="00A41CBA" w:rsidRDefault="00000000">
      <w:pPr>
        <w:pStyle w:val="ListBullet"/>
        <w:spacing w:before="20" w:after="40"/>
      </w:pPr>
      <w:r>
        <w:rPr>
          <w:rFonts w:ascii="Arial" w:hAnsi="Arial"/>
          <w:color w:val="1A1A1A"/>
          <w:sz w:val="20"/>
        </w:rPr>
        <w:t>JSON output schemas must be reviewed against the client's data model before the Internal Build phase. Schema misalignment discovered late is expensive to fix and creates delivery risk.</w:t>
      </w:r>
    </w:p>
    <w:p w:rsidR="00A41CBA" w:rsidRDefault="00000000">
      <w:pPr>
        <w:pStyle w:val="ListBullet"/>
        <w:spacing w:before="20" w:after="40"/>
      </w:pPr>
      <w:r>
        <w:rPr>
          <w:rFonts w:ascii="Arial" w:hAnsi="Arial"/>
          <w:color w:val="1A1A1A"/>
          <w:sz w:val="20"/>
        </w:rPr>
        <w:t>The rolling batch model is the strongest commercial argument in every implementation proposal. Batch 1 builds the infrastructure; Batch 2 reuses it at lower cost and higher margin.</w:t>
      </w:r>
    </w:p>
    <w:p w:rsidR="00A41CBA" w:rsidRDefault="00000000">
      <w:pPr>
        <w:pStyle w:val="ListBullet"/>
        <w:spacing w:before="20" w:after="40"/>
      </w:pPr>
      <w:r>
        <w:rPr>
          <w:rFonts w:ascii="Arial" w:hAnsi="Arial"/>
          <w:color w:val="1A1A1A"/>
          <w:sz w:val="20"/>
        </w:rPr>
        <w:t>GxP consultant hours peak during Adoption — not POC. Resource planning must reflect this or the Adoption phase will be under-resourced at the most bureaucratic point in the programme.</w:t>
      </w:r>
    </w:p>
    <w:p w:rsidR="00A41CBA" w:rsidRDefault="00000000">
      <w:pPr>
        <w:pStyle w:val="ListBullet"/>
        <w:spacing w:before="20" w:after="40"/>
      </w:pPr>
      <w:r>
        <w:rPr>
          <w:rFonts w:ascii="Arial" w:hAnsi="Arial"/>
          <w:color w:val="1A1A1A"/>
          <w:sz w:val="20"/>
        </w:rPr>
        <w:t>Named owner handover at the Adoption gate is non-negotiable. Without an internal owner, adoption stalls within 3 months of Trinzo leaving.</w:t>
      </w:r>
    </w:p>
    <w:p w:rsidR="00A41CBA" w:rsidRDefault="00000000">
      <w:pPr>
        <w:spacing w:before="200" w:after="60"/>
      </w:pPr>
      <w:r>
        <w:rPr>
          <w:rFonts w:ascii="Arial" w:hAnsi="Arial"/>
          <w:b/>
          <w:color w:val="2E75B6"/>
        </w:rPr>
        <w:t>From AI Adoption &amp; GxP Compliance Readiness (pharma, Copilot training)</w:t>
      </w:r>
    </w:p>
    <w:p w:rsidR="00A41CBA" w:rsidRDefault="00000000">
      <w:pPr>
        <w:pStyle w:val="ListBullet"/>
        <w:spacing w:before="20" w:after="40"/>
      </w:pPr>
      <w:r>
        <w:rPr>
          <w:rFonts w:ascii="Arial" w:hAnsi="Arial"/>
          <w:color w:val="1A1A1A"/>
          <w:sz w:val="20"/>
        </w:rPr>
        <w:t>The executive summary that mirrors the client's own language verbatim consistently outperforms templated summaries. The discovery notes are the proposal.</w:t>
      </w:r>
    </w:p>
    <w:p w:rsidR="00A41CBA" w:rsidRDefault="00000000">
      <w:pPr>
        <w:pStyle w:val="ListBullet"/>
        <w:spacing w:before="20" w:after="40"/>
      </w:pPr>
      <w:r>
        <w:rPr>
          <w:rFonts w:ascii="Arial" w:hAnsi="Arial"/>
          <w:color w:val="1A1A1A"/>
          <w:sz w:val="20"/>
        </w:rPr>
        <w:t>The system-agnostic principle is both a delivery protection and a commercial protection. State it explicitly in the proposal and in the SOW before the client asks.</w:t>
      </w:r>
    </w:p>
    <w:p w:rsidR="00A41CBA" w:rsidRDefault="00000000">
      <w:pPr>
        <w:pStyle w:val="ListBullet"/>
        <w:spacing w:before="20" w:after="40"/>
      </w:pPr>
      <w:r>
        <w:rPr>
          <w:rFonts w:ascii="Arial" w:hAnsi="Arial"/>
          <w:color w:val="1A1A1A"/>
          <w:sz w:val="20"/>
        </w:rPr>
        <w:t>High Copilot usage does not mean AI literacy. Discovery revealed 75% of staff used Copilot daily but confidence in appropriate GxP use varied dramatically by role. Never assume.</w:t>
      </w:r>
    </w:p>
    <w:p w:rsidR="00A41CBA" w:rsidRDefault="00000000">
      <w:pPr>
        <w:pStyle w:val="ListBullet"/>
        <w:spacing w:before="20" w:after="40"/>
      </w:pPr>
      <w:r>
        <w:rPr>
          <w:rFonts w:ascii="Arial" w:hAnsi="Arial"/>
          <w:color w:val="1A1A1A"/>
          <w:sz w:val="20"/>
        </w:rPr>
        <w:t>Office Hours sessions during and after training delivery significantly improved adoption metrics. Build them into every Track B training engagement as a standard deliverable, not an add-on.</w:t>
      </w:r>
    </w:p>
    <w:p w:rsidR="00A41CBA" w:rsidRDefault="00000000">
      <w:pPr>
        <w:pStyle w:val="ListBullet"/>
        <w:spacing w:before="20" w:after="40"/>
      </w:pPr>
      <w:r>
        <w:rPr>
          <w:rFonts w:ascii="Arial" w:hAnsi="Arial"/>
          <w:color w:val="1A1A1A"/>
          <w:sz w:val="20"/>
        </w:rPr>
        <w:t>Separating the discovery phase (current state) from the co-mapping phase (future state) produced better outputs than combining them. Clients need time to absorb before redesigning.</w:t>
      </w:r>
    </w:p>
    <w:p w:rsidR="00A41CBA" w:rsidRDefault="00000000">
      <w:pPr>
        <w:spacing w:before="200" w:after="60"/>
      </w:pPr>
      <w:r>
        <w:rPr>
          <w:rFonts w:ascii="Arial" w:hAnsi="Arial"/>
          <w:b/>
          <w:color w:val="2E75B6"/>
        </w:rPr>
        <w:t>General Commercial Lessons</w:t>
      </w:r>
    </w:p>
    <w:p w:rsidR="00A41CBA" w:rsidRDefault="00000000">
      <w:pPr>
        <w:pStyle w:val="ListBullet"/>
        <w:spacing w:before="20" w:after="40"/>
      </w:pPr>
      <w:r>
        <w:rPr>
          <w:rFonts w:ascii="Arial" w:hAnsi="Arial"/>
          <w:color w:val="1A1A1A"/>
          <w:sz w:val="20"/>
        </w:rPr>
        <w:t>Free scope given during delivery is lost revenue. Any work beyond the SOW is flagged to PM on the day it occurs and invoiced at the next gate.</w:t>
      </w:r>
    </w:p>
    <w:p w:rsidR="00A41CBA" w:rsidRDefault="00000000">
      <w:pPr>
        <w:pStyle w:val="ListBullet"/>
        <w:spacing w:before="20" w:after="40"/>
      </w:pPr>
      <w:r>
        <w:rPr>
          <w:rFonts w:ascii="Arial" w:hAnsi="Arial"/>
          <w:color w:val="1A1A1A"/>
          <w:sz w:val="20"/>
        </w:rPr>
        <w:t>Proposals that go out within 5 working days of the discovery call have a significantly higher conversion rate than those that take 2–3 weeks. Speed signals credibility.</w:t>
      </w:r>
    </w:p>
    <w:p w:rsidR="00A41CBA" w:rsidRDefault="00000000">
      <w:pPr>
        <w:pStyle w:val="ListBullet"/>
        <w:spacing w:before="20" w:after="40"/>
      </w:pPr>
      <w:r>
        <w:rPr>
          <w:rFonts w:ascii="Arial" w:hAnsi="Arial"/>
          <w:color w:val="1A1A1A"/>
          <w:sz w:val="20"/>
        </w:rPr>
        <w:t>The best reference is a programme that delivered what it said it would. Every engagement close is a marketing asset. Treat it accordingly.</w:t>
      </w:r>
    </w:p>
    <w:p w:rsidR="00A41CBA" w:rsidRDefault="00000000">
      <w:pPr>
        <w:pStyle w:val="ListBullet"/>
        <w:spacing w:before="20" w:after="40"/>
      </w:pPr>
      <w:r>
        <w:rPr>
          <w:rFonts w:ascii="Arial" w:hAnsi="Arial"/>
          <w:color w:val="1A1A1A"/>
          <w:sz w:val="20"/>
        </w:rPr>
        <w:t>Training standalone often becomes the entry point to Discovery, then POC, then Implementation. Do not underprice or over-deliver Training in a way that undercuts the next conversation.</w:t>
      </w:r>
    </w:p>
    <w:p w:rsidR="00A41CBA" w:rsidRDefault="00A41CBA">
      <w:pPr>
        <w:spacing w:before="20" w:after="20"/>
      </w:pPr>
    </w:p>
    <w:p w:rsidR="00A41CBA" w:rsidRDefault="00A41CBA">
      <w:pPr>
        <w:spacing w:before="20" w:after="20"/>
      </w:pPr>
    </w:p>
    <w:tbl>
      <w:tblPr>
        <w:tblStyle w:val="TableGrid"/>
        <w:tblW w:w="0" w:type="auto"/>
        <w:tblLook w:val="04A0" w:firstRow="1" w:lastRow="0" w:firstColumn="1" w:lastColumn="0" w:noHBand="0" w:noVBand="1"/>
      </w:tblPr>
      <w:tblGrid>
        <w:gridCol w:w="3120"/>
        <w:gridCol w:w="3120"/>
        <w:gridCol w:w="3120"/>
      </w:tblGrid>
      <w:tr w:rsidR="00A41CBA">
        <w:tc>
          <w:tcPr>
            <w:tcW w:w="3120" w:type="dxa"/>
            <w:tcBorders>
              <w:top w:val="nil"/>
              <w:left w:val="nil"/>
              <w:bottom w:val="nil"/>
              <w:right w:val="nil"/>
            </w:tcBorders>
            <w:shd w:val="clear" w:color="auto" w:fill="1A3C6E"/>
          </w:tcPr>
          <w:p w:rsidR="00A41CBA" w:rsidRDefault="00000000">
            <w:pPr>
              <w:spacing w:before="40" w:after="40"/>
            </w:pPr>
            <w:r>
              <w:rPr>
                <w:rFonts w:ascii="Arial" w:hAnsi="Arial"/>
                <w:color w:val="FFFFFF"/>
                <w:sz w:val="17"/>
              </w:rPr>
              <w:t>Trinzo AI Revenue SOP — v2.0</w:t>
            </w:r>
          </w:p>
        </w:tc>
        <w:tc>
          <w:tcPr>
            <w:tcW w:w="3120" w:type="dxa"/>
            <w:tcBorders>
              <w:top w:val="nil"/>
              <w:left w:val="nil"/>
              <w:bottom w:val="nil"/>
              <w:right w:val="nil"/>
            </w:tcBorders>
            <w:shd w:val="clear" w:color="auto" w:fill="1A3C6E"/>
          </w:tcPr>
          <w:p w:rsidR="00A41CBA" w:rsidRDefault="00000000">
            <w:pPr>
              <w:spacing w:before="40" w:after="40"/>
              <w:jc w:val="center"/>
            </w:pPr>
            <w:r>
              <w:rPr>
                <w:rFonts w:ascii="Arial" w:hAnsi="Arial"/>
                <w:color w:val="FFFFFF"/>
                <w:sz w:val="17"/>
              </w:rPr>
              <w:t>Owner: Head of Innovation</w:t>
            </w:r>
          </w:p>
        </w:tc>
        <w:tc>
          <w:tcPr>
            <w:tcW w:w="3120" w:type="dxa"/>
            <w:tcBorders>
              <w:top w:val="nil"/>
              <w:left w:val="nil"/>
              <w:bottom w:val="nil"/>
              <w:right w:val="nil"/>
            </w:tcBorders>
            <w:shd w:val="clear" w:color="auto" w:fill="1A3C6E"/>
          </w:tcPr>
          <w:p w:rsidR="00A41CBA" w:rsidRDefault="00000000">
            <w:pPr>
              <w:spacing w:before="40" w:after="40"/>
              <w:jc w:val="center"/>
            </w:pPr>
            <w:r>
              <w:rPr>
                <w:rFonts w:ascii="Arial" w:hAnsi="Arial"/>
                <w:color w:val="FFFFFF"/>
                <w:sz w:val="17"/>
              </w:rPr>
              <w:t>SOP-AIS-002  |  June 2026</w:t>
            </w:r>
          </w:p>
        </w:tc>
      </w:tr>
    </w:tbl>
    <w:p w:rsidR="0011220E" w:rsidRDefault="0011220E"/>
    <w:sectPr w:rsidR="0011220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0002403">
    <w:abstractNumId w:val="8"/>
  </w:num>
  <w:num w:numId="2" w16cid:durableId="24452519">
    <w:abstractNumId w:val="6"/>
  </w:num>
  <w:num w:numId="3" w16cid:durableId="1669668489">
    <w:abstractNumId w:val="5"/>
  </w:num>
  <w:num w:numId="4" w16cid:durableId="1778672098">
    <w:abstractNumId w:val="4"/>
  </w:num>
  <w:num w:numId="5" w16cid:durableId="1021466868">
    <w:abstractNumId w:val="7"/>
  </w:num>
  <w:num w:numId="6" w16cid:durableId="1127815197">
    <w:abstractNumId w:val="3"/>
  </w:num>
  <w:num w:numId="7" w16cid:durableId="1144784506">
    <w:abstractNumId w:val="2"/>
  </w:num>
  <w:num w:numId="8" w16cid:durableId="973215351">
    <w:abstractNumId w:val="1"/>
  </w:num>
  <w:num w:numId="9" w16cid:durableId="1455365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20E"/>
    <w:rsid w:val="0015074B"/>
    <w:rsid w:val="0029639D"/>
    <w:rsid w:val="0030589B"/>
    <w:rsid w:val="00326F90"/>
    <w:rsid w:val="00A41CB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2A1D3BD-D815-6D40-BF36-E7696F766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5309</Words>
  <Characters>30266</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Conor Flynn</cp:lastModifiedBy>
  <cp:revision>2</cp:revision>
  <dcterms:created xsi:type="dcterms:W3CDTF">2026-06-10T12:05:00Z</dcterms:created>
  <dcterms:modified xsi:type="dcterms:W3CDTF">2026-06-10T12:05:00Z</dcterms:modified>
  <cp:category/>
</cp:coreProperties>
</file>