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 to subquestions: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 x5, x0, 2</w:t>
        <w:br w:type="textWrapping"/>
        <w:t xml:space="preserve">add x6, x0, 3</w:t>
        <w:br w:type="textWrapping"/>
        <w:t xml:space="preserve">addi x10, x5, 0</w:t>
        <w:br w:type="textWrapping"/>
        <w:t xml:space="preserve">addi x11, x6, 0</w:t>
        <w:br w:type="textWrapping"/>
        <w:t xml:space="preserve">jal x1, hishab</w:t>
        <w:br w:type="textWrapping"/>
        <w:t xml:space="preserve">sw x10, 0(x18)</w:t>
        <w:br w:type="textWrapping"/>
        <w:br w:type="textWrapping"/>
        <w:br w:type="textWrapping"/>
        <w:t xml:space="preserve">hishab:</w:t>
        <w:br w:type="textWrapping"/>
        <w:t xml:space="preserve">addi x10, x10, 8</w:t>
        <w:br w:type="textWrapping"/>
        <w:t xml:space="preserve">lw x28, 0(18)</w:t>
        <w:br w:type="textWrapping"/>
        <w:t xml:space="preserve">slli x28, x28, 2</w:t>
        <w:br w:type="textWrapping"/>
        <w:t xml:space="preserve">add x29, x18, x28</w:t>
        <w:br w:type="textWrapping"/>
        <w:t xml:space="preserve">lw x28, 0(x29)</w:t>
        <w:br w:type="textWrapping"/>
        <w:t xml:space="preserve">sub x11, x11, x28</w:t>
        <w:br w:type="textWrapping"/>
        <w:br w:type="textWrapping"/>
        <w:t xml:space="preserve">loop:</w:t>
        <w:br w:type="textWrapping"/>
        <w:t xml:space="preserve">bge x11, x10, exit</w:t>
        <w:br w:type="textWrapping"/>
        <w:t xml:space="preserve">slli x30, x10, 2</w:t>
        <w:br w:type="textWrapping"/>
        <w:t xml:space="preserve">addi x30, x30, x18</w:t>
        <w:br w:type="textWrapping"/>
        <w:t xml:space="preserve">lw x11, 0(x30)</w:t>
        <w:br w:type="textWrapping"/>
        <w:t xml:space="preserve">addi x10, x10, 1</w:t>
        <w:br w:type="textWrapping"/>
        <w:t xml:space="preserve">beq x0, x0, loop</w:t>
        <w:br w:type="textWrapping"/>
        <w:br w:type="textWrapping"/>
        <w:t xml:space="preserve">exit:</w:t>
        <w:br w:type="textWrapping"/>
        <w:t xml:space="preserve">addi x10, x11, x0</w:t>
        <w:br w:type="textWrapping"/>
        <w:br w:type="textWrapping"/>
        <w:t xml:space="preserve">jalr x0, 0(x1)</w:t>
        <w:br w:type="textWrapping"/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related to line 2 and line 3:</w:t>
        <w:br w:type="textWrapping"/>
        <w:t xml:space="preserve">lw x28, 0(18)</w:t>
        <w:tab/>
        <w:tab/>
        <w:tab/>
        <w:tab/>
        <w:tab/>
        <w:t xml:space="preserve">i</w:t>
        <w:br w:type="textWrapping"/>
        <w:t xml:space="preserve">slli x28, x28, 2</w:t>
        <w:tab/>
        <w:tab/>
        <w:tab/>
        <w:tab/>
        <w:tab/>
        <w:t xml:space="preserve">ii</w:t>
        <w:br w:type="textWrapping"/>
        <w:t xml:space="preserve">add x29, x18, x28</w:t>
        <w:tab/>
        <w:tab/>
        <w:tab/>
        <w:tab/>
        <w:t xml:space="preserve">iii</w:t>
        <w:tab/>
        <w:br w:type="textWrapping"/>
        <w:t xml:space="preserve">lw x28, 0(x29)</w:t>
        <w:tab/>
        <w:tab/>
        <w:tab/>
        <w:tab/>
        <w:tab/>
        <w:t xml:space="preserve">iv</w:t>
        <w:br w:type="textWrapping"/>
        <w:t xml:space="preserve">sub x11, x11, x28</w:t>
        <w:tab/>
        <w:tab/>
        <w:tab/>
        <w:tab/>
        <w:t xml:space="preserve">v</w:t>
        <w:br w:type="textWrapping"/>
        <w:br w:type="textWrapping"/>
        <w:t xml:space="preserve">loop:</w:t>
        <w:br w:type="textWrapping"/>
        <w:t xml:space="preserve">bge x11, x10, exit</w:t>
        <w:tab/>
        <w:tab/>
        <w:tab/>
        <w:tab/>
        <w:t xml:space="preserve">vi</w:t>
        <w:br w:type="textWrapping"/>
        <w:br w:type="textWrapping"/>
        <w:br w:type="textWrapping"/>
        <w:t xml:space="preserve">Respective machine codes:</w:t>
        <w:br w:type="textWrapping"/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  <w:t xml:space="preserve">i. </w:t>
        <w:br w:type="textWrapping"/>
      </w:r>
    </w:p>
    <w:tbl>
      <w:tblPr>
        <w:tblStyle w:val="Table1"/>
        <w:tblW w:w="7275.0" w:type="dxa"/>
        <w:jc w:val="left"/>
        <w:tblInd w:w="144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50"/>
        <w:gridCol w:w="1755"/>
        <w:gridCol w:w="930"/>
        <w:gridCol w:w="930"/>
        <w:gridCol w:w="1230"/>
        <w:gridCol w:w="1380"/>
        <w:tblGridChange w:id="0">
          <w:tblGrid>
            <w:gridCol w:w="1050"/>
            <w:gridCol w:w="1755"/>
            <w:gridCol w:w="930"/>
            <w:gridCol w:w="930"/>
            <w:gridCol w:w="123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</w:tr>
    </w:tbl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t xml:space="preserve">ii. </w:t>
        <w:br w:type="textWrapping"/>
      </w:r>
    </w:p>
    <w:tbl>
      <w:tblPr>
        <w:tblStyle w:val="Table2"/>
        <w:tblW w:w="6765.0" w:type="dxa"/>
        <w:jc w:val="left"/>
        <w:tblInd w:w="144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110"/>
        <w:gridCol w:w="945"/>
        <w:gridCol w:w="945"/>
        <w:gridCol w:w="915"/>
        <w:gridCol w:w="885"/>
        <w:gridCol w:w="825"/>
        <w:gridCol w:w="1140"/>
        <w:tblGridChange w:id="0">
          <w:tblGrid>
            <w:gridCol w:w="1110"/>
            <w:gridCol w:w="945"/>
            <w:gridCol w:w="945"/>
            <w:gridCol w:w="915"/>
            <w:gridCol w:w="885"/>
            <w:gridCol w:w="825"/>
            <w:gridCol w:w="1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</w:tr>
    </w:tbl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t xml:space="preserve">iii.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915.0" w:type="dxa"/>
        <w:jc w:val="left"/>
        <w:tblInd w:w="144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65"/>
        <w:gridCol w:w="1140"/>
        <w:gridCol w:w="960"/>
        <w:gridCol w:w="840"/>
        <w:gridCol w:w="870"/>
        <w:gridCol w:w="975"/>
        <w:gridCol w:w="1065"/>
        <w:tblGridChange w:id="0">
          <w:tblGrid>
            <w:gridCol w:w="1065"/>
            <w:gridCol w:w="1140"/>
            <w:gridCol w:w="960"/>
            <w:gridCol w:w="840"/>
            <w:gridCol w:w="870"/>
            <w:gridCol w:w="975"/>
            <w:gridCol w:w="1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0110011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</w:tr>
    </w:tbl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t xml:space="preserve">iv.</w:t>
        <w:br w:type="textWrapping"/>
      </w:r>
    </w:p>
    <w:tbl>
      <w:tblPr>
        <w:tblStyle w:val="Table4"/>
        <w:tblW w:w="7275.0" w:type="dxa"/>
        <w:jc w:val="left"/>
        <w:tblInd w:w="144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50"/>
        <w:gridCol w:w="1755"/>
        <w:gridCol w:w="930"/>
        <w:gridCol w:w="930"/>
        <w:gridCol w:w="1230"/>
        <w:gridCol w:w="1380"/>
        <w:tblGridChange w:id="0">
          <w:tblGrid>
            <w:gridCol w:w="1050"/>
            <w:gridCol w:w="1755"/>
            <w:gridCol w:w="930"/>
            <w:gridCol w:w="930"/>
            <w:gridCol w:w="123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</w:tr>
    </w:tbl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v.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915.0" w:type="dxa"/>
        <w:jc w:val="left"/>
        <w:tblInd w:w="144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65"/>
        <w:gridCol w:w="1140"/>
        <w:gridCol w:w="960"/>
        <w:gridCol w:w="840"/>
        <w:gridCol w:w="870"/>
        <w:gridCol w:w="975"/>
        <w:gridCol w:w="1065"/>
        <w:tblGridChange w:id="0">
          <w:tblGrid>
            <w:gridCol w:w="1065"/>
            <w:gridCol w:w="1140"/>
            <w:gridCol w:w="960"/>
            <w:gridCol w:w="840"/>
            <w:gridCol w:w="870"/>
            <w:gridCol w:w="975"/>
            <w:gridCol w:w="1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0110011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</w:tr>
    </w:tbl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  <w:t xml:space="preserve">vi.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100.0" w:type="dxa"/>
        <w:jc w:val="left"/>
        <w:tblInd w:w="144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5"/>
        <w:gridCol w:w="675"/>
        <w:gridCol w:w="990"/>
        <w:gridCol w:w="855"/>
        <w:gridCol w:w="810"/>
        <w:gridCol w:w="885"/>
        <w:gridCol w:w="885"/>
        <w:gridCol w:w="885"/>
        <w:gridCol w:w="1020"/>
        <w:tblGridChange w:id="0">
          <w:tblGrid>
            <w:gridCol w:w="1095"/>
            <w:gridCol w:w="675"/>
            <w:gridCol w:w="990"/>
            <w:gridCol w:w="855"/>
            <w:gridCol w:w="810"/>
            <w:gridCol w:w="885"/>
            <w:gridCol w:w="885"/>
            <w:gridCol w:w="885"/>
            <w:gridCol w:w="1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1100111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imm[12]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 [10:5]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 [4:1]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 [11]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</w:tr>
    </w:tbl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RISC-V, the funct3 field in a Load instruction specifies the type of load operation to perform. It tells the processor how many bytes to load from memory (such as a byte, halfword, word, or doubleword) and whether the value should be interpreted as signed or unsigned. This allows a single load opcode to support different data sizes and sign-extension behaviors, making the instruction more flexible and efficient.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funct3 field is what tells the machine that this is a LD instruction and therefore a 64-bit load. Different values of funct3 indicate whether the instruction is loading a byte, halfword, word, or doubleword, and whether it should be sign-extended or zero-extended.</w:t>
        <w:br w:type="textWrapping"/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