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Solve:</w:t>
        <w:br w:type="textWrapping"/>
      </w:r>
      <w:r w:rsidDel="00000000" w:rsidR="00000000" w:rsidRPr="00000000">
        <w:rPr/>
        <w:drawing>
          <wp:inline distB="114300" distT="114300" distL="114300" distR="114300">
            <wp:extent cx="5943600" cy="4318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The ALU control unit in RISC-V uses instruction[14–12] (the funct3 field) and instruction[30] (a key bit from the funct7 field) because together they uniquely identify the exact ALU operation to perform. The funct3 field specifies the general class of operation, such as add/subtract, logical operations, or shifts, while bit 30 of funct7 is needed to distinguish special cases within the same funct3 group. For example, both ADD and SUB have funct3 = 000, but they differ in funct7[30] (0 for add, 1 for sub). By combining these fields, the ALU control can generate the correct signals to drive the ALU for all arithmetic and logical instructions.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Single cycle = Instruction Fetch + Register read + ALU Operation + Register write = 20 + 20 + 40 + 20 = 100s</w:t>
        <w:br w:type="textWrapping"/>
        <w:t xml:space="preserve">Pipelined = 40 + 40 + 40 + 40 + 40 = 200s</w:t>
        <w:br w:type="textWrapping"/>
        <w:t xml:space="preserve">So a single cycle will be faster.</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Put a not gate in front of the zero flag of the ALU for the diagram of BEQ instruction datapath.</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 ALU Src: 0 </w:t>
      </w:r>
    </w:p>
    <w:p w:rsidR="00000000" w:rsidDel="00000000" w:rsidP="00000000" w:rsidRDefault="00000000" w:rsidRPr="00000000" w14:paraId="00000006">
      <w:pPr>
        <w:ind w:left="720" w:firstLine="0"/>
        <w:rPr/>
      </w:pPr>
      <w:r w:rsidDel="00000000" w:rsidR="00000000" w:rsidRPr="00000000">
        <w:rPr>
          <w:rtl w:val="0"/>
        </w:rPr>
        <w:t xml:space="preserve">ii. RegWrite: 1</w:t>
      </w:r>
    </w:p>
    <w:p w:rsidR="00000000" w:rsidDel="00000000" w:rsidP="00000000" w:rsidRDefault="00000000" w:rsidRPr="00000000" w14:paraId="00000007">
      <w:pPr>
        <w:ind w:left="720" w:firstLine="0"/>
        <w:rPr/>
      </w:pPr>
      <w:r w:rsidDel="00000000" w:rsidR="00000000" w:rsidRPr="00000000">
        <w:rPr>
          <w:rtl w:val="0"/>
        </w:rPr>
        <w:t xml:space="preserve">iii. MemRead: 1</w:t>
      </w:r>
    </w:p>
    <w:p w:rsidR="00000000" w:rsidDel="00000000" w:rsidP="00000000" w:rsidRDefault="00000000" w:rsidRPr="00000000" w14:paraId="00000008">
      <w:pPr>
        <w:ind w:left="720" w:firstLine="0"/>
        <w:rPr/>
      </w:pPr>
      <w:r w:rsidDel="00000000" w:rsidR="00000000" w:rsidRPr="00000000">
        <w:rPr>
          <w:rtl w:val="0"/>
        </w:rPr>
        <w:t xml:space="preserve">iv. MemWrite: 0</w:t>
      </w:r>
    </w:p>
    <w:p w:rsidR="00000000" w:rsidDel="00000000" w:rsidP="00000000" w:rsidRDefault="00000000" w:rsidRPr="00000000" w14:paraId="00000009">
      <w:pPr>
        <w:ind w:left="720" w:firstLine="0"/>
        <w:rPr/>
      </w:pPr>
      <w:r w:rsidDel="00000000" w:rsidR="00000000" w:rsidRPr="00000000">
        <w:rPr>
          <w:rtl w:val="0"/>
        </w:rPr>
        <w:t xml:space="preserve">v. MemtoReg: 0</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Control hazards occur in a CPU when the processor doesn’t immediately know which instruction to execute next because it’s waiting to determine the outcome of a branch or jump instruction. Since modern CPUs use pipelining to fetch and execute instructions simultaneously, the pipeline might fetch instructions that might not be needed if the branch is taken differently. This creates a “hazard” because the CPU could be executing the wrong instructions temporarily, wasting cycles. To handle control hazards, processors use techniques like stalling (pausing the pipeline until the branch is resolved), branch prediction (guessing the branch outcome to continue execution), and branch target buffers (keeping track of previous branch outcomes) to reduce the performance penalty. Essentially, a control hazard is the uncertainty about the next instruction due to a branch decision.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Instruction and data memory are kept separate primarily to improve performance and enable efficient pipelining, as in the Harvard architecture. With separate memories, the CPU can fetch instructions and access data simultaneously, avoiding conflicts that would occur if both shared the same memory, as in a von Neumann design. This parallelism is especially important in pipelined processors, where multiple stages—such as instruction fetch, decode, and memory access—operate at the same time; having separate memories prevents instruction fetches from stalling due to data memory operations. Additionally, instruction and data memories can be optimized differently, for example, instruction memory can be read-only, while data memory supports both reads and writes. Overall, separate memories reduce hazards, simplify pipeline design, and increase throughput, making pipelining practical and efficient.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