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sz w:val="30"/>
        </w:rPr>
        <w:t>Memory-Aware Architecture for Low-Power Edge AI Devices</w:t>
      </w:r>
    </w:p>
    <w:p>
      <w:pPr>
        <w:spacing w:before="0" w:after="80" w:line="240" w:lineRule="auto"/>
        <w:jc w:val="center"/>
      </w:pPr>
      <w:r>
        <w:rPr>
          <w:i/>
          <w:sz w:val="21"/>
        </w:rPr>
        <w:t>Research Report</w:t>
      </w:r>
    </w:p>
    <w:p>
      <w:pPr>
        <w:pStyle w:val="Heading1"/>
        <w:spacing w:before="60" w:after="40" w:line="240" w:lineRule="auto"/>
      </w:pPr>
      <w:r>
        <w:t>Introduction</w:t>
      </w:r>
    </w:p>
    <w:p>
      <w:pPr>
        <w:spacing w:before="0" w:after="40" w:line="240" w:lineRule="auto"/>
      </w:pPr>
      <w:r>
        <w:t>Edge AI nodes used in rural healthcare, agriculture, disaster response, and environmental monitoring must make useful decisions under strict limits on SRAM, flash, bandwidth, and power. Unlike cloud systems, these devices cannot rely on large caches or off-chip memory to hide inefficiency. The main design problem is therefore not only to make inference accurate, but to make the memory system predictable: weights must fit, activations must be reused, and sensor data must be staged without forcing expensive memory transfers. This report proposes a memory-aware architecture for a low-power edge AI device such as a wildfire detector, wearable health monitor, or drone soil sensor.</w:t>
      </w:r>
    </w:p>
    <w:p>
      <w:pPr>
        <w:pStyle w:val="Heading1"/>
        <w:spacing w:before="60" w:after="40" w:line="240" w:lineRule="auto"/>
      </w:pPr>
      <w:r>
        <w:t>Background / Related Work</w:t>
      </w:r>
    </w:p>
    <w:p>
      <w:pPr>
        <w:spacing w:before="0" w:after="40" w:line="240" w:lineRule="auto"/>
      </w:pPr>
      <w:r>
        <w:t>The memory problem has been studied from both hardware and software angles. Eyeriss showed that for CNN inference, data movement can cost more energy than computation, so the architecture should maximize local reuse and minimize DRAM traffic. Its row-stationary dataflow keeps partial sums, weights, and activations close to the processing elements, while compression and data gating further reduce energy use. This is directly relevant to edge devices because the same principle applies even when the platform is much smaller: every avoidable movement of weights or feature maps wastes energy.</w:t>
      </w:r>
    </w:p>
    <w:p>
      <w:pPr>
        <w:spacing w:before="0" w:after="40" w:line="240" w:lineRule="auto"/>
      </w:pPr>
      <w:r>
        <w:t>Arm's Cortex-M55 is a strong fit for endpoint AI because it combines Helium vector processing with an embedded memory system that can include caches and tightly coupled memory. The architecture is designed for real-time, deterministic execution, which matters for alert-driven workloads such as fire detection or patient monitoring. For memory-bound inference, tightly coupled memory is especially attractive because it provides predictable latency for hot code, stacks, and small activation tiles.</w:t>
      </w:r>
    </w:p>
    <w:p>
      <w:pPr>
        <w:spacing w:before="0" w:after="40" w:line="240" w:lineRule="auto"/>
      </w:pPr>
      <w:r>
        <w:t>At the software level, TensorFlow Lite Micro uses a single tensor arena divided into head, temporary, and tail regions. Its memory planner tries to reuse buffers so that the arena stays compact, which is useful when the full model must live inside a few hundred kilobytes. CMSIS-NN follows the same direction on Cortex-M processors by providing optimized int8 and int16 kernels that minimize memory footprint while improving throughput. Coral's Edge TPU ecosystem also reinforces the same lesson: quantized models are the practical path to fast inference on low-power hardware, because smaller parameters reduce both transfer cost and accelerator load.</w:t>
      </w:r>
    </w:p>
    <w:p>
      <w:pPr>
        <w:pStyle w:val="Heading1"/>
        <w:spacing w:before="60" w:after="40" w:line="240" w:lineRule="auto"/>
      </w:pPr>
      <w:r>
        <w:t>Target Platform and Memory Constraints</w:t>
      </w:r>
    </w:p>
    <w:p>
      <w:pPr>
        <w:spacing w:before="0" w:after="40" w:line="240" w:lineRule="auto"/>
      </w:pPr>
      <w:r>
        <w:t>A realistic target for this report is a microcontroller-class node with 256 KB SRAM and 2 MB flash, although the method scales across the stated 64-512 KB SRAM and 1-4 MB flash range. The device has no L2 cache, a small instruction cache if available, and one DMA engine for sensor input. In such a system, flash should be treated as the backing store for firmware and cold weights, while SRAM should be reserved for the tensor arena, hot weights, DMA buffers, and real-time state. The key constraint is that the working set of one inference pass must remain inside SRAM so that inference time stays below 100 ms and average power stays under 150 mW.</w:t>
      </w:r>
    </w:p>
    <w:p>
      <w:pPr>
        <w:pStyle w:val="Heading1"/>
        <w:spacing w:before="60" w:after="40" w:line="240" w:lineRule="auto"/>
      </w:pPr>
      <w:r>
        <w:t>Proposed On-Device Memory Layout</w:t>
      </w:r>
    </w:p>
    <w:p>
      <w:pPr>
        <w:spacing w:before="0" w:after="40" w:line="240" w:lineRule="auto"/>
      </w:pPr>
      <w:r>
        <w:rPr>
          <w:i/>
        </w:rPr>
        <w:t>Table 1 summarizes the proposed split for the 256 KB SRAM / 2 MB flash example.</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Times New Roman" w:hAnsi="Times New Roman"/>
                <w:sz w:val="18"/>
              </w:rPr>
              <w:t>Region</w:t>
            </w:r>
          </w:p>
        </w:tc>
        <w:tc>
          <w:tcPr>
            <w:tcW w:type="dxa" w:w="3216"/>
          </w:tcPr>
          <w:p>
            <w:r>
              <w:rPr>
                <w:rFonts w:ascii="Times New Roman" w:hAnsi="Times New Roman"/>
                <w:sz w:val="18"/>
              </w:rPr>
              <w:t>Example budget</w:t>
            </w:r>
          </w:p>
        </w:tc>
        <w:tc>
          <w:tcPr>
            <w:tcW w:type="dxa" w:w="3216"/>
          </w:tcPr>
          <w:p>
            <w:r>
              <w:rPr>
                <w:rFonts w:ascii="Times New Roman" w:hAnsi="Times New Roman"/>
                <w:sz w:val="18"/>
              </w:rPr>
              <w:t>Purpose</w:t>
            </w:r>
          </w:p>
        </w:tc>
      </w:tr>
      <w:tr>
        <w:tc>
          <w:tcPr>
            <w:tcW w:type="dxa" w:w="3216"/>
          </w:tcPr>
          <w:p>
            <w:r>
              <w:rPr>
                <w:rFonts w:ascii="Times New Roman" w:hAnsi="Times New Roman"/>
                <w:sz w:val="18"/>
              </w:rPr>
              <w:t>Flash (2 MB)</w:t>
            </w:r>
          </w:p>
        </w:tc>
        <w:tc>
          <w:tcPr>
            <w:tcW w:type="dxa" w:w="3216"/>
          </w:tcPr>
          <w:p>
            <w:r>
              <w:rPr>
                <w:rFonts w:ascii="Times New Roman" w:hAnsi="Times New Roman"/>
                <w:sz w:val="18"/>
              </w:rPr>
              <w:t>Firmware + model weights</w:t>
            </w:r>
          </w:p>
        </w:tc>
        <w:tc>
          <w:tcPr>
            <w:tcW w:type="dxa" w:w="3216"/>
          </w:tcPr>
          <w:p>
            <w:r>
              <w:rPr>
                <w:rFonts w:ascii="Times New Roman" w:hAnsi="Times New Roman"/>
                <w:sz w:val="18"/>
              </w:rPr>
              <w:t>Stores program code, calibration data, and cold int8 weights</w:t>
            </w:r>
          </w:p>
        </w:tc>
      </w:tr>
      <w:tr>
        <w:tc>
          <w:tcPr>
            <w:tcW w:type="dxa" w:w="3216"/>
          </w:tcPr>
          <w:p>
            <w:r>
              <w:rPr>
                <w:rFonts w:ascii="Times New Roman" w:hAnsi="Times New Roman"/>
                <w:sz w:val="18"/>
              </w:rPr>
              <w:t>SRAM hot zone</w:t>
            </w:r>
          </w:p>
        </w:tc>
        <w:tc>
          <w:tcPr>
            <w:tcW w:type="dxa" w:w="3216"/>
          </w:tcPr>
          <w:p>
            <w:r>
              <w:rPr>
                <w:rFonts w:ascii="Times New Roman" w:hAnsi="Times New Roman"/>
                <w:sz w:val="18"/>
              </w:rPr>
              <w:t>80-100 KB</w:t>
            </w:r>
          </w:p>
        </w:tc>
        <w:tc>
          <w:tcPr>
            <w:tcW w:type="dxa" w:w="3216"/>
          </w:tcPr>
          <w:p>
            <w:r>
              <w:rPr>
                <w:rFonts w:ascii="Times New Roman" w:hAnsi="Times New Roman"/>
                <w:sz w:val="18"/>
              </w:rPr>
              <w:t>Tensor arena head, hot feature maps, and reused activation tiles</w:t>
            </w:r>
          </w:p>
        </w:tc>
      </w:tr>
      <w:tr>
        <w:tc>
          <w:tcPr>
            <w:tcW w:type="dxa" w:w="3216"/>
          </w:tcPr>
          <w:p>
            <w:r>
              <w:rPr>
                <w:rFonts w:ascii="Times New Roman" w:hAnsi="Times New Roman"/>
                <w:sz w:val="18"/>
              </w:rPr>
              <w:t>SRAM DMA buffers</w:t>
            </w:r>
          </w:p>
        </w:tc>
        <w:tc>
          <w:tcPr>
            <w:tcW w:type="dxa" w:w="3216"/>
          </w:tcPr>
          <w:p>
            <w:r>
              <w:rPr>
                <w:rFonts w:ascii="Times New Roman" w:hAnsi="Times New Roman"/>
                <w:sz w:val="18"/>
              </w:rPr>
              <w:t>32-48 KB</w:t>
            </w:r>
          </w:p>
        </w:tc>
        <w:tc>
          <w:tcPr>
            <w:tcW w:type="dxa" w:w="3216"/>
          </w:tcPr>
          <w:p>
            <w:r>
              <w:rPr>
                <w:rFonts w:ascii="Times New Roman" w:hAnsi="Times New Roman"/>
                <w:sz w:val="18"/>
              </w:rPr>
              <w:t>Double-buffered sensor windows and pre/post-processing</w:t>
            </w:r>
          </w:p>
        </w:tc>
      </w:tr>
      <w:tr>
        <w:tc>
          <w:tcPr>
            <w:tcW w:type="dxa" w:w="3216"/>
          </w:tcPr>
          <w:p>
            <w:r>
              <w:rPr>
                <w:rFonts w:ascii="Times New Roman" w:hAnsi="Times New Roman"/>
                <w:sz w:val="18"/>
              </w:rPr>
              <w:t>SRAM control/state</w:t>
            </w:r>
          </w:p>
        </w:tc>
        <w:tc>
          <w:tcPr>
            <w:tcW w:type="dxa" w:w="3216"/>
          </w:tcPr>
          <w:p>
            <w:r>
              <w:rPr>
                <w:rFonts w:ascii="Times New Roman" w:hAnsi="Times New Roman"/>
                <w:sz w:val="18"/>
              </w:rPr>
              <w:t>16-24 KB</w:t>
            </w:r>
          </w:p>
        </w:tc>
        <w:tc>
          <w:tcPr>
            <w:tcW w:type="dxa" w:w="3216"/>
          </w:tcPr>
          <w:p>
            <w:r>
              <w:rPr>
                <w:rFonts w:ascii="Times New Roman" w:hAnsi="Times New Roman"/>
                <w:sz w:val="18"/>
              </w:rPr>
              <w:t>Stacks, RTOS objects, telemetry, watchdog, and emergency logic</w:t>
            </w:r>
          </w:p>
        </w:tc>
      </w:tr>
      <w:tr>
        <w:tc>
          <w:tcPr>
            <w:tcW w:type="dxa" w:w="3216"/>
          </w:tcPr>
          <w:p>
            <w:r>
              <w:rPr>
                <w:rFonts w:ascii="Times New Roman" w:hAnsi="Times New Roman"/>
                <w:sz w:val="18"/>
              </w:rPr>
              <w:t>Spare reserve</w:t>
            </w:r>
          </w:p>
        </w:tc>
        <w:tc>
          <w:tcPr>
            <w:tcW w:type="dxa" w:w="3216"/>
          </w:tcPr>
          <w:p>
            <w:r>
              <w:rPr>
                <w:rFonts w:ascii="Times New Roman" w:hAnsi="Times New Roman"/>
                <w:sz w:val="18"/>
              </w:rPr>
              <w:t>16-32 KB</w:t>
            </w:r>
          </w:p>
        </w:tc>
        <w:tc>
          <w:tcPr>
            <w:tcW w:type="dxa" w:w="3216"/>
          </w:tcPr>
          <w:p>
            <w:r>
              <w:rPr>
                <w:rFonts w:ascii="Times New Roman" w:hAnsi="Times New Roman"/>
                <w:sz w:val="18"/>
              </w:rPr>
              <w:t>Headroom for peaks, logging, or reduced-power emergency mode</w:t>
            </w:r>
          </w:p>
        </w:tc>
      </w:tr>
    </w:tbl>
    <w:p>
      <w:pPr>
        <w:spacing w:before="0" w:after="40" w:line="240" w:lineRule="auto"/>
      </w:pPr>
      <w:r>
        <w:t>Scratchpad RAM should be preferred over cache for the main tensor arena when the access pattern is known in advance. A cache helps when locality is irregular, but edge inference usually has a static execution graph. In that setting, a software-managed buffer is easier to size, easier to verify, and less likely to waste power on useless fills and evictions. The cache can remain enabled for instruction fetch and irregular control code, while the main data path uses scratchpad-style allocations for activations and temporary accumulators.</w:t>
      </w:r>
    </w:p>
    <w:p>
      <w:pPr>
        <w:pStyle w:val="Heading1"/>
        <w:spacing w:before="60" w:after="40" w:line="240" w:lineRule="auto"/>
      </w:pPr>
      <w:r>
        <w:t>Methodology / System Design</w:t>
      </w:r>
    </w:p>
    <w:p>
      <w:pPr>
        <w:spacing w:before="0" w:after="40" w:line="240" w:lineRule="auto"/>
      </w:pPr>
      <w:r>
        <w:t>The design process begins offline. The model is trained normally, then converted to a compact deployment form using quantization-aware training so that the final network runs in int8. During conversion, layers that are not supported efficiently on the target runtime are removed or rewritten, and the peak activation memory is estimated layer by layer. The goal is to choose the smallest model whose accuracy remains acceptable and whose arena size fits the SRAM budget.</w:t>
      </w:r>
    </w:p>
    <w:p>
      <w:pPr>
        <w:spacing w:before="0" w:after="40" w:line="240" w:lineRule="auto"/>
      </w:pPr>
      <w:r>
        <w:t>At runtime, the architecture uses a three-stage schedule. First, the sensor driver writes incoming samples into a double buffer so that one buffer can be filled by DMA while the other is processed by the inference engine. Second, the tensor arena is placed in SRAM or tightly coupled memory, and the memory planner reuses buffers for non-overlapping lifetimes. Third, weights are loaded in tiles: the first and last layers, which tend to be reused every pass, may stay in SRAM, while the remaining weights remain compressed in flash and are copied only when the corresponding layer is executed.</w:t>
      </w:r>
    </w:p>
    <w:p>
      <w:pPr>
        <w:spacing w:before="0" w:after="40" w:line="240" w:lineRule="auto"/>
      </w:pPr>
      <w:r>
        <w:t>Selective caching is applied only to data with clear temporal locality. For example, the current sensor window, the most recent feature map, and the classifier output can remain resident, while intermediate tensors that are never revisited are streamed once and discarded. For convolutional or recurrent layers, loop unrolling and static tiling reduce index overhead and let the compiler keep partial sums in registers. This is the same logic used by accelerator-oriented systems: keep the hot working set close to the compute unit and never fetch data more than once unless reuse is guaranteed.</w:t>
      </w:r>
    </w:p>
    <w:p>
      <w:pPr>
        <w:spacing w:before="0" w:after="40" w:line="240" w:lineRule="auto"/>
      </w:pPr>
      <w:r>
        <w:t>Emergency-mode policies are triggered by battery voltage, thermal warning, or prolonged idle-to-active transitions. In that mode, the device can lower the sampling rate, skip noncritical frames, disable cache prefetch, and fall back to a smaller input resolution. If the model supports it, the system can also switch to a more compressed variant, such as reduced-channel int8 weights or a lighter post-processing head. The point is not to preserve peak accuracy at all costs, but to preserve the ability to keep detecting critical events for as long as possible.</w:t>
      </w:r>
    </w:p>
    <w:p>
      <w:pPr>
        <w:pStyle w:val="Heading1"/>
        <w:spacing w:before="60" w:after="40" w:line="240" w:lineRule="auto"/>
      </w:pPr>
      <w:r>
        <w:t>Discussion</w:t>
      </w:r>
    </w:p>
    <w:p>
      <w:pPr>
        <w:spacing w:before="0" w:after="40" w:line="240" w:lineRule="auto"/>
      </w:pPr>
      <w:r>
        <w:t>A memory-aware architecture extends device life in three ways. First, it reduces energy wasted on memory traffic, which lowers average power draw and directly improves battery life. Second, it reduces heat, which slows component aging and improves reliability in sealed or outdoor enclosures. Third, it makes deployment more practical in low-resource settings because devices can run longer between maintenance visits and can be powered by small batteries, solar panels, or intermittent chargers.</w:t>
      </w:r>
    </w:p>
    <w:p>
      <w:pPr>
        <w:spacing w:before="0" w:after="40" w:line="240" w:lineRule="auto"/>
      </w:pPr>
      <w:r>
        <w:t>From a sustainability perspective, the most important benefit is not only lower wattage but lower total system churn. When a node can survive longer on the same battery, the hardware is replaced less often, fewer site visits are needed, and the deployment produces less electronic waste. That matters in rural healthcare and environmental monitoring, where the value of the system depends on long unattended operation rather than on raw peak performance.</w:t>
      </w:r>
    </w:p>
    <w:p>
      <w:pPr>
        <w:pStyle w:val="Heading1"/>
        <w:spacing w:before="60" w:after="40" w:line="240" w:lineRule="auto"/>
      </w:pPr>
      <w:r>
        <w:t>Conclusion</w:t>
      </w:r>
    </w:p>
    <w:p>
      <w:pPr>
        <w:spacing w:before="0" w:after="40" w:line="240" w:lineRule="auto"/>
      </w:pPr>
      <w:r>
        <w:t>For a constrained edge AI device, the right memory hierarchy is usually a hybrid one: flash for cold code and compressed weights, scratchpad or tightly coupled SRAM for the tensor arena and hot activations, and cache only where access patterns are difficult to predict. Using int8 quantization, static buffering, selective reuse, and emergency throttling makes it possible to meet tight latency and power targets without adding unnecessary hardware. The resulting design is not just efficient; it is better aligned with long-lived, low-maintenance, and sustainable edge deployments.</w:t>
      </w:r>
    </w:p>
    <w:p>
      <w:pPr>
        <w:pStyle w:val="Heading1"/>
        <w:spacing w:before="60" w:after="40" w:line="240" w:lineRule="auto"/>
      </w:pPr>
      <w:r>
        <w:t>References</w:t>
      </w:r>
    </w:p>
    <w:p>
      <w:pPr>
        <w:spacing w:before="0" w:after="0" w:line="240" w:lineRule="auto"/>
      </w:pPr>
      <w:r>
        <w:t>1. Patterson, D., &amp; Hennessy, J. Computer Organization and Design: RISC-V Edition. Chapter 5: Large and Fast - Exploiting Memory Hierarchy.</w:t>
      </w:r>
    </w:p>
    <w:p>
      <w:pPr>
        <w:spacing w:before="0" w:after="0" w:line="240" w:lineRule="auto"/>
      </w:pPr>
      <w:r>
        <w:t>2. Chen, Y.-H., Krishna, T., Emer, J. S., &amp; Sze, V. Eyeriss: An Energy-Efficient Reconfigurable Accelerator for Deep Convolutional Neural Networks. IEEE JSSC, 2017.</w:t>
      </w:r>
    </w:p>
    <w:p>
      <w:pPr>
        <w:spacing w:before="0" w:after="0" w:line="240" w:lineRule="auto"/>
      </w:pPr>
      <w:r>
        <w:t>3. Yiu, J. Introduction to the Arm Cortex-M55 Processor. Arm White Paper, 2020.</w:t>
      </w:r>
    </w:p>
    <w:p>
      <w:pPr>
        <w:spacing w:before="0" w:after="0" w:line="240" w:lineRule="auto"/>
      </w:pPr>
      <w:r>
        <w:t>4. Arm. CMSIS-NN User Manual. Efficient neural network kernels for Cortex-M processors.</w:t>
      </w:r>
    </w:p>
    <w:p>
      <w:pPr>
        <w:spacing w:before="0" w:after="0" w:line="240" w:lineRule="auto"/>
      </w:pPr>
      <w:r>
        <w:t>5. Google Coral. TensorFlow Models on the Edge TPU / Coral Technology documentation.</w:t>
      </w:r>
    </w:p>
    <w:p>
      <w:pPr>
        <w:spacing w:before="0" w:after="0" w:line="240" w:lineRule="auto"/>
      </w:pPr>
      <w:r>
        <w:t>6. TensorFlow Lite Micro. Memory Management documentation.</w:t>
      </w:r>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