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41C2E"/>
          <w:sz w:val="52"/>
          <w:szCs w:val="52"/>
        </w:rPr>
        <w:t xml:space="preserve">The Crucible</w:t>
      </w:r>
    </w:p>
    <w:p>
      <w:pPr>
        <w:spacing w:after="300"/>
        <w:jc w:val="center"/>
      </w:pPr>
      <w:r>
        <w:rPr>
          <w:color w:val="2A3A5C"/>
          <w:sz w:val="28"/>
          <w:szCs w:val="28"/>
        </w:rPr>
        <w:t xml:space="preserve">A Nested Quality-Loop Methodology for Adversarial Stress Testing of Desktop Software</w:t>
      </w:r>
    </w:p>
    <w:p>
      <w:pPr>
        <w:spacing w:after="60"/>
        <w:jc w:val="center"/>
      </w:pPr>
      <w:r>
        <w:rPr>
          <w:sz w:val="24"/>
          <w:szCs w:val="24"/>
        </w:rPr>
        <w:t xml:space="preserve">Chris Bowles</w:t>
      </w:r>
    </w:p>
    <w:p>
      <w:pPr>
        <w:spacing w:after="60"/>
        <w:jc w:val="center"/>
      </w:pPr>
      <w:r>
        <w:rPr>
          <w:i/>
          <w:iCs/>
          <w:sz w:val="22"/>
          <w:szCs w:val="22"/>
        </w:rPr>
        <w:t xml:space="preserve">Conquered Time Project</w:t>
      </w:r>
    </w:p>
    <w:p>
      <w:pPr>
        <w:spacing w:after="500"/>
        <w:jc w:val="center"/>
      </w:pPr>
      <w:r>
        <w:rPr>
          <w:color w:val="555555"/>
          <w:sz w:val="22"/>
          <w:szCs w:val="22"/>
        </w:rPr>
        <w:t xml:space="preserve">July 2026</w:t>
      </w:r>
    </w:p>
    <w:p>
      <w:pPr>
        <w:pStyle w:val="Heading2"/>
        <w:spacing w:after="140" w:before="260"/>
      </w:pPr>
      <w:r>
        <w:rPr>
          <w:b/>
          <w:bCs/>
          <w:color w:val="2A3A5C"/>
          <w:sz w:val="24"/>
          <w:szCs w:val="24"/>
        </w:rPr>
        <w:t xml:space="preserve">Abstract</w:t>
      </w:r>
    </w:p>
    <w:p>
      <w:pPr>
        <w:spacing w:after="160" w:line="276"/>
        <w:jc w:val="both"/>
      </w:pPr>
      <w:r>
        <w:rPr>
          <w:sz w:val="22"/>
          <w:szCs w:val="22"/>
        </w:rPr>
        <w:t xml:space="preserve">Established quality frameworks such as Six Sigma’s DMAIC cycle, the Shewhart–Deming PDCA loop, and root cause analysis (RCA) were developed for manufacturing process control, and their application to software has largely been limited to process metrics rather than defect discovery. Conversely, software-native practices — exploratory testing, bug bashes, property-based testing, chaos engineering — excel at discovery but rarely impose the corrective and preventive discipline that manufacturing methods demand. This paper presents The Crucible, a methodology that nests these traditions into a single structure: RCA is applied as the admission standard for every individual defect, DMAIC structures the campaign as a whole, and PDCA governs each cluster of fixes inside the campaign’s Improve phase. A designed adversarial fixture — a seeded database carrying malicious, malformed, boundary, and internationalized data alongside embedded detection canaries — serves as the campaign’s measurement instrument. The methodology is evaluated through two complete campaigns on Conquered Time, a commercial Electron time-tracking application: Crucible I (July 2026) found and remediated 14 defects across six fix clusters; Crucible II, run two weeks later against a substantially larger feature surface, found 4. We attribute the reduction to the methodology’s permanence rule, under which every campaign lesson must be converted into a durable control — a shared module, a property-based oracle, a seeded canary, or a documented invariant. We describe the framework, the instrument design, both case studies with full defect registers, threats to validity, and the methodology’s applicability beyond a single project.</w:t>
      </w:r>
    </w:p>
    <w:p>
      <w:pPr>
        <w:pStyle w:val="Heading1"/>
        <w:spacing w:after="180" w:before="320"/>
      </w:pPr>
      <w:r>
        <w:rPr>
          <w:b/>
          <w:bCs/>
          <w:color w:val="141C2E"/>
          <w:sz w:val="28"/>
          <w:szCs w:val="28"/>
        </w:rPr>
        <w:t xml:space="preserve">1. Introduction</w:t>
      </w:r>
    </w:p>
    <w:p>
      <w:pPr>
        <w:spacing w:after="160" w:line="276"/>
        <w:jc w:val="both"/>
      </w:pPr>
      <w:r>
        <w:rPr>
          <w:sz w:val="22"/>
          <w:szCs w:val="22"/>
        </w:rPr>
        <w:t xml:space="preserve">Small software teams face a structural quality problem: the practices that reliably find defects and the practices that reliably prevent their recurrence live in different disciplines. A solo developer or small team can run an ad-hoc "bug bash" and find real problems, but without a corrective-action discipline the same classes of defect return with the next feature. Conversely, adopting a full manufacturing-grade quality system (ISO 9001 CAPA processes, Six Sigma belts and control charts) is organizationally absurd at small scale.</w:t>
      </w:r>
    </w:p>
    <w:p>
      <w:pPr>
        <w:spacing w:after="160" w:line="276"/>
        <w:jc w:val="both"/>
      </w:pPr>
      <w:r>
        <w:rPr>
          <w:sz w:val="22"/>
          <w:szCs w:val="22"/>
        </w:rPr>
        <w:t xml:space="preserve">The Crucible is an attempt to keep the discipline while discarding the ceremony. It was developed on Conquered Time, a commercial Electron desktop application for encrypted time tracking, during a period of rapid feature growth (24 minor releases in roughly six weeks). The methodology’s premise is that three well-understood quality loops compose naturally at three different scales:</w:t>
      </w:r>
    </w:p>
    <w:p>
      <w:pPr>
        <w:pStyle w:val="ListParagraph"/>
        <w:numPr>
          <w:ilvl w:val="0"/>
          <w:numId w:val="2"/>
        </w:numPr>
        <w:spacing w:after="100" w:line="276"/>
        <w:jc w:val="both"/>
      </w:pPr>
      <w:r>
        <w:rPr>
          <w:b/>
          <w:bCs/>
          <w:sz w:val="22"/>
          <w:szCs w:val="22"/>
        </w:rPr>
        <w:t xml:space="preserve">RCA (root cause analysis) </w:t>
      </w:r>
      <w:r>
        <w:rPr>
          <w:sz w:val="22"/>
          <w:szCs w:val="22"/>
        </w:rPr>
        <w:t xml:space="preserve">operates at the scale of a single defect: no finding is admitted to the campaign’s register until it is mechanically reproducible and traced to a causal line of code.</w:t>
      </w:r>
    </w:p>
    <w:p>
      <w:pPr>
        <w:pStyle w:val="ListParagraph"/>
        <w:numPr>
          <w:ilvl w:val="0"/>
          <w:numId w:val="2"/>
        </w:numPr>
        <w:spacing w:after="100" w:line="276"/>
        <w:jc w:val="both"/>
      </w:pPr>
      <w:r>
        <w:rPr>
          <w:b/>
          <w:bCs/>
          <w:sz w:val="22"/>
          <w:szCs w:val="22"/>
        </w:rPr>
        <w:t xml:space="preserve">DMAIC (Define–Measure–Analyze–Improve–Control) </w:t>
      </w:r>
      <w:r>
        <w:rPr>
          <w:sz w:val="22"/>
          <w:szCs w:val="22"/>
        </w:rPr>
        <w:t xml:space="preserve">operates at the scale of the campaign: scope is defined, the system is measured with a designed instrument, findings are analyzed, fixes are made, and lessons are institutionalized.</w:t>
      </w:r>
    </w:p>
    <w:p>
      <w:pPr>
        <w:pStyle w:val="ListParagraph"/>
        <w:numPr>
          <w:ilvl w:val="0"/>
          <w:numId w:val="2"/>
        </w:numPr>
        <w:spacing w:after="100" w:line="276"/>
        <w:jc w:val="both"/>
      </w:pPr>
      <w:r>
        <w:rPr>
          <w:b/>
          <w:bCs/>
          <w:sz w:val="22"/>
          <w:szCs w:val="22"/>
        </w:rPr>
        <w:t xml:space="preserve">PDCA (Plan–Do–Check–Act) </w:t>
      </w:r>
      <w:r>
        <w:rPr>
          <w:sz w:val="22"/>
          <w:szCs w:val="22"/>
        </w:rPr>
        <w:t xml:space="preserve">operates at the scale of a fix cluster inside DMAIC’s Improve phase: related defects are fixed together, verified against their original reproductions, and merged as a unit.</w:t>
      </w:r>
    </w:p>
    <w:p>
      <w:pPr>
        <w:spacing w:after="160" w:line="276"/>
        <w:jc w:val="both"/>
      </w:pPr>
      <w:r>
        <w:rPr>
          <w:sz w:val="22"/>
          <w:szCs w:val="22"/>
        </w:rPr>
        <w:t xml:space="preserve">The name reflects the intent: a crucible is the vessel in which a material is melted so that its impurities can be burned away and what remains proven. Each campaign deliberately subjects everything shipped since the previous campaign to hostile inputs and edge conditions, on the theory that it is cheaper for the author to break the software than for a user to.</w:t>
      </w:r>
    </w:p>
    <w:p>
      <w:pPr>
        <w:spacing w:after="160" w:line="276"/>
        <w:jc w:val="both"/>
      </w:pPr>
      <w:r>
        <w:rPr>
          <w:sz w:val="22"/>
          <w:szCs w:val="22"/>
        </w:rPr>
        <w:t xml:space="preserve">The method has an autobiographical pedigree rather than an academic one. The author received contracted Six Sigma training (Yellow/Green Belt) early in his career, and worked in 2009 at a GameStop distribution center where a plain form of root cause analysis was the standing discipline for shipping-line errors and gaps; PDCA entered the repertoire later, through observation of similar improvement processes. When Conquered Time reached the end of its first development phase, the question was how to run an "end-of-phase" stress test that would not be a one-off: the answer was to compose those familiar loops around a held, versioned development seed — an instrument that could be readjusted and grown alongside the application for current and future phases. Personal experience and research suggested the composition would track well as a bug-search methodology; the two campaigns reported here are the test of that hypothesis.</w:t>
      </w:r>
    </w:p>
    <w:p>
      <w:pPr>
        <w:spacing w:after="160" w:line="276"/>
        <w:jc w:val="both"/>
      </w:pPr>
      <w:r>
        <w:rPr>
          <w:sz w:val="22"/>
          <w:szCs w:val="22"/>
        </w:rPr>
        <w:t xml:space="preserve">The application context also shaped the method’s temperament. Conquered Time stores encrypted personal and employer-identifying data, and security is its most important property; a high-stress, adversarial testing regime was adopted deliberately to keep that posture consistently tight rather than episodically audited. The beta population is small (seven users at the time of writing, expanding), which raises rather than lowers the stakes per defect: with few users, every escaped defect is experienced by a meaningful fraction of the user base.</w:t>
      </w:r>
    </w:p>
    <w:p>
      <w:pPr>
        <w:spacing w:after="160" w:line="276"/>
        <w:jc w:val="both"/>
      </w:pPr>
      <w:r>
        <w:rPr>
          <w:sz w:val="22"/>
          <w:szCs w:val="22"/>
        </w:rPr>
        <w:t xml:space="preserve">This paper makes three contributions: (1) a precise description of the nested three-loop structure and its artifacts (§3); (2) the design of the adversarial fixture used as the campaign’s measurement instrument (§4); and (3) an honest two-campaign evaluation on a real product, with complete defect registers (§5–§6) and an analysis of why the defect count fell from 14 to 4 while the surface under test grew (§7).</w:t>
      </w:r>
    </w:p>
    <w:p>
      <w:pPr>
        <w:pStyle w:val="Heading1"/>
        <w:spacing w:after="180" w:before="320"/>
      </w:pPr>
      <w:r>
        <w:rPr>
          <w:b/>
          <w:bCs/>
          <w:color w:val="141C2E"/>
          <w:sz w:val="28"/>
          <w:szCs w:val="28"/>
        </w:rPr>
        <w:t xml:space="preserve">2. Background and Related Work</w:t>
      </w:r>
    </w:p>
    <w:p>
      <w:pPr>
        <w:spacing w:after="160" w:line="276"/>
        <w:jc w:val="both"/>
      </w:pPr>
      <w:r>
        <w:rPr>
          <w:sz w:val="22"/>
          <w:szCs w:val="22"/>
        </w:rPr>
        <w:t xml:space="preserve">DMAIC is the improvement cycle of Six Sigma, itself descended from statistical process control; its canonical domain is reducing variation in repeatable processes [1]. PDCA — the Shewhart cycle, popularized by Deming — is the general-purpose iterative improvement loop underlying kaizen and the Toyota A3 practice [2, 3]. Root cause analysis is a family of techniques (five-whys, Ishikawa diagrams, fault trees) for tracing an observed failure to its originating cause rather than its symptom [4].</w:t>
      </w:r>
    </w:p>
    <w:p>
      <w:pPr>
        <w:spacing w:after="160" w:line="276"/>
        <w:jc w:val="both"/>
      </w:pPr>
      <w:r>
        <w:rPr>
          <w:sz w:val="22"/>
          <w:szCs w:val="22"/>
        </w:rPr>
        <w:t xml:space="preserve">The closest industrial relative of The Crucible is the Eight Disciplines (8D) process developed at Ford [5]: like The Crucible, 8D is a defect-driven campaign that embeds root cause analysis inside a team structure with explicit containment, correction, and prevention phases. The Crucible differs in three ways: it is designed for one operator rather than a cross-functional team; it replaces 8D’s customer-complaint trigger with a proactive, self-inflicted adversarial campaign; and it adds an explicit measurement instrument (the seeded fixture, §4).</w:t>
      </w:r>
    </w:p>
    <w:p>
      <w:pPr>
        <w:spacing w:after="160" w:line="276"/>
        <w:jc w:val="both"/>
      </w:pPr>
      <w:r>
        <w:rPr>
          <w:sz w:val="22"/>
          <w:szCs w:val="22"/>
        </w:rPr>
        <w:t xml:space="preserve">On the software side, exploratory testing formalizes skilled manual discovery [6], and "bug bash" events apply many hands to it informally; both find defects but prescribe nothing about what happens after. Property-based testing [7] mechanically searches input spaces for invariant violations, and chaos engineering [8] injects faults into production infrastructure to surface systemic weaknesses; both informed The Crucible’s adversarial-input philosophy. Corrective and Preventive Action (CAPA) processes in regulated industries [9] mirror the Control phase’s permanence rule. To our knowledge, no published method nests these three loops at defect, campaign, and cluster scale with a designed fixture as the instrument; The Crucible’s contribution is the composition rather than any individual component.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400"/>
        <w:gridCol w:w="2200"/>
      </w:tblGrid>
      <w:tr>
        <w:trPr>
          <w:tblHeader/>
        </w:trPr>
        <w:tc>
          <w:tcPr>
            <w:tcW w:type="dxa" w:w="23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Method</w:t>
            </w:r>
          </w:p>
        </w:tc>
        <w:tc>
          <w:tcPr>
            <w:tcW w:type="dxa" w:w="25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Scale / trigger</w:t>
            </w:r>
          </w:p>
        </w:tc>
        <w:tc>
          <w:tcPr>
            <w:tcW w:type="dxa" w:w="24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Strength</w:t>
            </w:r>
          </w:p>
        </w:tc>
        <w:tc>
          <w:tcPr>
            <w:tcW w:type="dxa" w:w="22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What it lacks for this use</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Six Sigma / DMAIC</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Process; variation metrics</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Campaign structure, Control phase</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Not defect-discovery oriented</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PDCA / kaizen</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Single problem</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Tight fix loop</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No campaign scope or instrument</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8D (Ford)</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Customer complaint</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RCA embedded in campaign</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Reactive; team-scale ceremony</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Exploratory testing / bug bash</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Session</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Discovery</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No corrective discipline</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Property-based testing</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Function / module</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Mechanical input search</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No whole-app or UI reach</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Chaos engineering</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Infrastructure</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Adversarial mindset</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Targets availability, not correctness</w:t>
            </w:r>
          </w:p>
        </w:tc>
      </w:tr>
      <w:tr>
        <w:tc>
          <w:tcPr>
            <w:tcW w:type="dxa" w:w="23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CAPA (ISO 9001 / FDA)</w:t>
            </w:r>
          </w:p>
        </w:tc>
        <w:tc>
          <w:tcPr>
            <w:tcW w:type="dxa" w:w="2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Nonconformity</w:t>
            </w:r>
          </w:p>
        </w:tc>
        <w:tc>
          <w:tcPr>
            <w:tcW w:type="dxa" w:w="24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Permanence of fixes</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Heavyweight; audit-driven</w:t>
            </w:r>
          </w:p>
        </w:tc>
      </w:tr>
    </w:tbl>
    <w:p>
      <w:pPr>
        <w:spacing w:after="220" w:before="80"/>
        <w:jc w:val="center"/>
      </w:pPr>
      <w:r>
        <w:rPr>
          <w:i/>
          <w:iCs/>
          <w:color w:val="555555"/>
          <w:sz w:val="19"/>
          <w:szCs w:val="19"/>
        </w:rPr>
        <w:t xml:space="preserve">Table 1. Related methods and the gap The Crucible composes them to fill.</w:t>
      </w:r>
    </w:p>
    <w:p>
      <w:pPr>
        <w:pStyle w:val="Heading1"/>
        <w:spacing w:after="180" w:before="320"/>
      </w:pPr>
      <w:r>
        <w:rPr>
          <w:b/>
          <w:bCs/>
          <w:color w:val="141C2E"/>
          <w:sz w:val="28"/>
          <w:szCs w:val="28"/>
        </w:rPr>
        <w:t xml:space="preserve">3. The Crucible Methodology</w:t>
      </w:r>
    </w:p>
    <w:p>
      <w:pPr>
        <w:spacing w:after="160" w:line="276"/>
        <w:jc w:val="both"/>
      </w:pPr>
      <w:r>
        <w:rPr>
          <w:sz w:val="22"/>
          <w:szCs w:val="22"/>
        </w:rPr>
        <w:t xml:space="preserve">The Crucible is a DMAIC campaign whose Analyze phase enforces RCA per finding and whose Improve phase is a sequence of PDCA loops. Figure 1 shows the nesting.</w:t>
      </w:r>
    </w:p>
    <w:p>
      <w:pPr>
        <w:spacing w:after="20"/>
      </w:pPr>
      <w:r>
        <w:rPr>
          <w:rFonts w:ascii="Consolas" w:cs="Consolas" w:eastAsia="Consolas" w:hAnsi="Consolas"/>
          <w:sz w:val="18"/>
          <w:szCs w:val="18"/>
        </w:rPr>
        <w:t xml:space="preserve">DMAIC  (the campaign)</w:t>
      </w:r>
    </w:p>
    <w:p>
      <w:pPr>
        <w:spacing w:after="20"/>
      </w:pPr>
      <w:r>
        <w:rPr>
          <w:rFonts w:ascii="Consolas" w:cs="Consolas" w:eastAsia="Consolas" w:hAnsi="Consolas"/>
          <w:sz w:val="18"/>
          <w:szCs w:val="18"/>
        </w:rPr>
        <w:t xml:space="preserve">├─ Define    — scope: which surfaces, since when, what "broken" means</w:t>
      </w:r>
    </w:p>
    <w:p>
      <w:pPr>
        <w:spacing w:after="20"/>
      </w:pPr>
      <w:r>
        <w:rPr>
          <w:rFonts w:ascii="Consolas" w:cs="Consolas" w:eastAsia="Consolas" w:hAnsi="Consolas"/>
          <w:sz w:val="18"/>
          <w:szCs w:val="18"/>
        </w:rPr>
        <w:t xml:space="preserve">├─ Measure   — baseline suite + adversarial probes + live UI stress</w:t>
      </w:r>
    </w:p>
    <w:p>
      <w:pPr>
        <w:spacing w:after="20"/>
      </w:pPr>
      <w:r>
        <w:rPr>
          <w:rFonts w:ascii="Consolas" w:cs="Consolas" w:eastAsia="Consolas" w:hAnsi="Consolas"/>
          <w:sz w:val="18"/>
          <w:szCs w:val="18"/>
        </w:rPr>
        <w:t xml:space="preserve">├─ Analyze   — RCA on every finding (root cause, not symptom)</w:t>
      </w:r>
    </w:p>
    <w:p>
      <w:pPr>
        <w:spacing w:after="20"/>
      </w:pPr>
      <w:r>
        <w:rPr>
          <w:rFonts w:ascii="Consolas" w:cs="Consolas" w:eastAsia="Consolas" w:hAnsi="Consolas"/>
          <w:sz w:val="18"/>
          <w:szCs w:val="18"/>
        </w:rPr>
        <w:t xml:space="preserve">├─ Improve   — PDCA loop per fix cluster</w:t>
      </w:r>
    </w:p>
    <w:p>
      <w:pPr>
        <w:spacing w:after="20"/>
      </w:pPr>
      <w:r>
        <w:rPr>
          <w:rFonts w:ascii="Consolas" w:cs="Consolas" w:eastAsia="Consolas" w:hAnsi="Consolas"/>
          <w:sz w:val="18"/>
          <w:szCs w:val="18"/>
        </w:rPr>
        <w:t xml:space="preserve">│               ├─ Plan   — cluster related defects, design the fix</w:t>
      </w:r>
    </w:p>
    <w:p>
      <w:pPr>
        <w:spacing w:after="20"/>
      </w:pPr>
      <w:r>
        <w:rPr>
          <w:rFonts w:ascii="Consolas" w:cs="Consolas" w:eastAsia="Consolas" w:hAnsi="Consolas"/>
          <w:sz w:val="18"/>
          <w:szCs w:val="18"/>
        </w:rPr>
        <w:t xml:space="preserve">│               ├─ Do     — implement + regression tests</w:t>
      </w:r>
    </w:p>
    <w:p>
      <w:pPr>
        <w:spacing w:after="20"/>
      </w:pPr>
      <w:r>
        <w:rPr>
          <w:rFonts w:ascii="Consolas" w:cs="Consolas" w:eastAsia="Consolas" w:hAnsi="Consolas"/>
          <w:sz w:val="18"/>
          <w:szCs w:val="18"/>
        </w:rPr>
        <w:t xml:space="preserve">│               ├─ Check  — re-probe, run suite, verify live in the app</w:t>
      </w:r>
    </w:p>
    <w:p>
      <w:pPr>
        <w:spacing w:after="20"/>
      </w:pPr>
      <w:r>
        <w:rPr>
          <w:rFonts w:ascii="Consolas" w:cs="Consolas" w:eastAsia="Consolas" w:hAnsi="Consolas"/>
          <w:sz w:val="18"/>
          <w:szCs w:val="18"/>
        </w:rPr>
        <w:t xml:space="preserve">│               └─ Act    — merge the cluster PR, update the register</w:t>
      </w:r>
    </w:p>
    <w:p>
      <w:pPr>
        <w:spacing w:after="20"/>
      </w:pPr>
      <w:r>
        <w:rPr>
          <w:rFonts w:ascii="Consolas" w:cs="Consolas" w:eastAsia="Consolas" w:hAnsi="Consolas"/>
          <w:sz w:val="18"/>
          <w:szCs w:val="18"/>
        </w:rPr>
        <w:t xml:space="preserve">└─ Control   — register closed out, release cut, lessons made permanent</w:t>
      </w:r>
    </w:p>
    <w:p>
      <w:pPr>
        <w:spacing w:after="220" w:before="80"/>
        <w:jc w:val="center"/>
      </w:pPr>
      <w:r>
        <w:rPr>
          <w:i/>
          <w:iCs/>
          <w:color w:val="555555"/>
          <w:sz w:val="19"/>
          <w:szCs w:val="19"/>
        </w:rPr>
        <w:t xml:space="preserve">Figure 1. The nested loop structure. RCA gates admission to the register inside Analyze.</w:t>
      </w:r>
    </w:p>
    <w:p>
      <w:pPr>
        <w:pStyle w:val="Heading2"/>
        <w:spacing w:after="140" w:before="260"/>
      </w:pPr>
      <w:r>
        <w:rPr>
          <w:b/>
          <w:bCs/>
          <w:color w:val="2A3A5C"/>
          <w:sz w:val="24"/>
          <w:szCs w:val="24"/>
        </w:rPr>
        <w:t xml:space="preserve">3.1 Define</w:t>
      </w:r>
    </w:p>
    <w:p>
      <w:pPr>
        <w:spacing w:after="160" w:line="276"/>
        <w:jc w:val="both"/>
      </w:pPr>
      <w:r>
        <w:rPr>
          <w:sz w:val="22"/>
          <w:szCs w:val="22"/>
        </w:rPr>
        <w:t xml:space="preserve">The campaign opens by answering three questions in writing, which become the header of the defect register: what is in scope (typically "everything shipped since the last campaign," enumerated by feature and version); what counts as a defect (crashes, wrong or silently corrupted data, security escapes, hangs, and silent acceptance of garbage — cosmetic issues are diverted to a notes backlog); and what the measurement instrument is.</w:t>
      </w:r>
    </w:p>
    <w:p>
      <w:pPr>
        <w:pStyle w:val="Heading2"/>
        <w:spacing w:after="140" w:before="260"/>
      </w:pPr>
      <w:r>
        <w:rPr>
          <w:b/>
          <w:bCs/>
          <w:color w:val="2A3A5C"/>
          <w:sz w:val="24"/>
          <w:szCs w:val="24"/>
        </w:rPr>
        <w:t xml:space="preserve">3.2 Measure</w:t>
      </w:r>
    </w:p>
    <w:p>
      <w:pPr>
        <w:spacing w:after="160" w:line="276"/>
        <w:jc w:val="both"/>
      </w:pPr>
      <w:r>
        <w:rPr>
          <w:sz w:val="22"/>
          <w:szCs w:val="22"/>
        </w:rPr>
        <w:t xml:space="preserve">Measurement proceeds in three ordered layers. First, the baseline: the full automated suite must be green before any probing begins, since a failing baseline measures old damage. Second, adversarial unit probes against every pure, dependency-free module touched since the last campaign: throwaway scripts throw impossible values, boundary values, injection strings, Unicode, and structural abuse at each module’s public API. Third, live UI stress: the application is launched against the seeded fixture (§4) and every in-scope surface is driven programmatically — hostile searches, context menus, real IPC commits — with the fixture’s canaries checked after each step.</w:t>
      </w:r>
    </w:p>
    <w:p>
      <w:pPr>
        <w:spacing w:after="160" w:line="276"/>
        <w:jc w:val="both"/>
      </w:pPr>
      <w:r>
        <w:rPr>
          <w:sz w:val="22"/>
          <w:szCs w:val="22"/>
        </w:rPr>
        <w:t xml:space="preserve">A distinctive Measure-phase rule is </w:t>
      </w:r>
      <w:r>
        <w:rPr>
          <w:i/>
          <w:iCs/>
          <w:sz w:val="22"/>
          <w:szCs w:val="22"/>
        </w:rPr>
        <w:t xml:space="preserve">chase interplay, not just crashes</w:t>
      </w:r>
      <w:r>
        <w:rPr>
          <w:sz w:val="22"/>
          <w:szCs w:val="22"/>
        </w:rPr>
        <w:t xml:space="preserve">: whenever a probe shows bad data being accepted rather than causing an immediate failure, the analyst must trace who reads that value later and what they do with it. The most severe finding of Crucible II (§6) was reachable only this way.</w:t>
      </w:r>
    </w:p>
    <w:p>
      <w:pPr>
        <w:pStyle w:val="Heading2"/>
        <w:spacing w:after="140" w:before="260"/>
      </w:pPr>
      <w:r>
        <w:rPr>
          <w:b/>
          <w:bCs/>
          <w:color w:val="2A3A5C"/>
          <w:sz w:val="24"/>
          <w:szCs w:val="24"/>
        </w:rPr>
        <w:t xml:space="preserve">3.3 Analyze — RCA as the admission standard</w:t>
      </w:r>
    </w:p>
    <w:p>
      <w:pPr>
        <w:spacing w:after="160" w:line="276"/>
        <w:jc w:val="both"/>
      </w:pPr>
      <w:r>
        <w:rPr>
          <w:sz w:val="22"/>
          <w:szCs w:val="22"/>
        </w:rPr>
        <w:t xml:space="preserve">A finding is admitted to the register only after (a) it reproduces mechanically — a one-line probe or a scripted UI sequence demonstrates it on demand — and (b) it is traced to the exact causal code and the reason that code was written that way. Symptom-level entries ("the chart is slow sometimes") are rejected; the accepted form names the mechanism ("trendBuckets gap-fills unboundedly between the first and last bucket key, so one far-future date allocates 416,115 empty buckets"). Severity is binary: High for data corruption, hangs, security escapes, or silently wrong numbers; Low for guarded-but-ugly behavior and developer-experience friction.</w:t>
      </w:r>
    </w:p>
    <w:p>
      <w:pPr>
        <w:pStyle w:val="Heading2"/>
        <w:spacing w:after="140" w:before="260"/>
      </w:pPr>
      <w:r>
        <w:rPr>
          <w:b/>
          <w:bCs/>
          <w:color w:val="2A3A5C"/>
          <w:sz w:val="24"/>
          <w:szCs w:val="24"/>
        </w:rPr>
        <w:t xml:space="preserve">3.4 Improve — PDCA per fix cluster</w:t>
      </w:r>
    </w:p>
    <w:p>
      <w:pPr>
        <w:spacing w:after="160" w:line="276"/>
        <w:jc w:val="both"/>
      </w:pPr>
      <w:r>
        <w:rPr>
          <w:sz w:val="22"/>
          <w:szCs w:val="22"/>
        </w:rPr>
        <w:t xml:space="preserve">Defects sharing a fix locus are grouped into clusters, each fixed in one pull request. Plan decides the fix and its blast radius — with a standing preference, when a defect is an interplay, for fixing both the acceptor (validation at the boundary) and the reader (a defensive cap). Do implements the fix plus one regression test per defect, asserting both the new rejection and that adjacent legal behavior is preserved (the leap day still accepted, the exactly-at-limit value still allowed). Check re-runs the original reproduction — the fix is not done when tests are green but when the reproduction no longer reproduces — plus the full suite and a live pass over the affected surface. Act merges the cluster and updates the register.</w:t>
      </w:r>
    </w:p>
    <w:p>
      <w:pPr>
        <w:pStyle w:val="Heading2"/>
        <w:spacing w:after="140" w:before="260"/>
      </w:pPr>
      <w:r>
        <w:rPr>
          <w:b/>
          <w:bCs/>
          <w:color w:val="2A3A5C"/>
          <w:sz w:val="24"/>
          <w:szCs w:val="24"/>
        </w:rPr>
        <w:t xml:space="preserve">3.5 Control — the permanence rule</w:t>
      </w:r>
    </w:p>
    <w:p>
      <w:pPr>
        <w:spacing w:after="160" w:line="276"/>
        <w:jc w:val="both"/>
      </w:pPr>
      <w:r>
        <w:rPr>
          <w:sz w:val="22"/>
          <w:szCs w:val="22"/>
        </w:rPr>
        <w:t xml:space="preserve">The campaign closes with a register close-out (fixes mapped to clusters and pull requests, and a "verified clean" list of everything attacked that held), a release, and — the methodology’s load-bearing rule — the conversion of every lesson into a durable control: a shared module that removes a class of duplication, a property-based oracle that mechanically enforces an invariant, a new canary in the seeded fixture, or a documented gotcha in the project’s engineering guide. The hypothesis, borne out in §7, is that permanence is what bends the defect curve between campaigns.</w:t>
      </w:r>
    </w:p>
    <w:p>
      <w:pPr>
        <w:spacing w:after="160" w:line="276"/>
        <w:jc w:val="both"/>
      </w:pPr>
      <w:r>
        <w:rPr>
          <w:sz w:val="22"/>
          <w:szCs w:val="22"/>
        </w:rPr>
        <w:t xml:space="preserve">A practical note on execution: The Crucible is designed to be fully manually executable — every phase is a human-scale activity (writing probe scripts, driving the application, filling the register). Both campaigns to date were, however, executed with an LLM coding agent operating the probes, UI driver, and fix clusters under the owner’s direction and review; agent assistance changes the wall-clock economics of a campaign without changing the method, and the owner retained all scope, severity, and release decisions.</w:t>
      </w:r>
    </w:p>
    <w:p>
      <w:pPr>
        <w:pStyle w:val="Heading1"/>
        <w:spacing w:after="180" w:before="320"/>
      </w:pPr>
      <w:r>
        <w:rPr>
          <w:b/>
          <w:bCs/>
          <w:color w:val="141C2E"/>
          <w:sz w:val="28"/>
          <w:szCs w:val="28"/>
        </w:rPr>
        <w:t xml:space="preserve">4. The Instrument: a Designed Adversarial Fixture</w:t>
      </w:r>
    </w:p>
    <w:p>
      <w:pPr>
        <w:spacing w:after="160" w:line="276"/>
        <w:jc w:val="both"/>
      </w:pPr>
      <w:r>
        <w:rPr>
          <w:sz w:val="22"/>
          <w:szCs w:val="22"/>
        </w:rPr>
        <w:t xml:space="preserve">The Crucible’s Measure phase depends on a seeded database that is a designed measurement instrument rather than sample data. The Conquered Time fixture (seed v4) creates a development vault containing 13 companies and 106 time entries arranged as probes:</w:t>
      </w:r>
    </w:p>
    <w:p>
      <w:pPr>
        <w:pStyle w:val="ListParagraph"/>
        <w:numPr>
          <w:ilvl w:val="0"/>
          <w:numId w:val="2"/>
        </w:numPr>
        <w:spacing w:after="100" w:line="276"/>
        <w:jc w:val="both"/>
      </w:pPr>
      <w:r>
        <w:rPr>
          <w:b/>
          <w:bCs/>
          <w:sz w:val="22"/>
          <w:szCs w:val="22"/>
        </w:rPr>
        <w:t xml:space="preserve">An XSS canary: </w:t>
      </w:r>
      <w:r>
        <w:rPr>
          <w:sz w:val="22"/>
          <w:szCs w:val="22"/>
        </w:rPr>
        <w:t xml:space="preserve">a company literally named </w:t>
      </w:r>
      <w:r>
        <w:rPr>
          <w:rFonts w:ascii="Consolas" w:cs="Consolas" w:eastAsia="Consolas" w:hAnsi="Consolas"/>
          <w:sz w:val="20"/>
          <w:szCs w:val="20"/>
        </w:rPr>
        <w:t xml:space="preserve">&lt;script&gt;alert(1)&lt;/script&gt; &amp; "Sons"</w:t>
      </w:r>
      <w:r>
        <w:rPr>
          <w:sz w:val="22"/>
          <w:szCs w:val="22"/>
        </w:rPr>
        <w:t xml:space="preserve"> whose embedded event handlers set a detectable document title if any rendering sink fails to escape. After every UI step, one assertion (</w:t>
      </w:r>
      <w:r>
        <w:rPr>
          <w:rFonts w:ascii="Consolas" w:cs="Consolas" w:eastAsia="Consolas" w:hAnsi="Consolas"/>
          <w:sz w:val="20"/>
          <w:szCs w:val="20"/>
        </w:rPr>
        <w:t xml:space="preserve">document.title ≠ ’XSS-FIRED’</w:t>
      </w:r>
      <w:r>
        <w:rPr>
          <w:sz w:val="22"/>
          <w:szCs w:val="22"/>
        </w:rPr>
        <w:t xml:space="preserve">) sweeps every surface the step touched.</w:t>
      </w:r>
    </w:p>
    <w:p>
      <w:pPr>
        <w:pStyle w:val="ListParagraph"/>
        <w:numPr>
          <w:ilvl w:val="0"/>
          <w:numId w:val="2"/>
        </w:numPr>
        <w:spacing w:after="100" w:line="276"/>
        <w:jc w:val="both"/>
      </w:pPr>
      <w:r>
        <w:rPr>
          <w:b/>
          <w:bCs/>
          <w:sz w:val="22"/>
          <w:szCs w:val="22"/>
        </w:rPr>
        <w:t xml:space="preserve">Internationalization probes: </w:t>
      </w:r>
      <w:r>
        <w:rPr>
          <w:sz w:val="22"/>
          <w:szCs w:val="22"/>
        </w:rPr>
        <w:t xml:space="preserve">a company named </w:t>
      </w:r>
      <w:r>
        <w:rPr>
          <w:rFonts w:ascii="Consolas" w:cs="Consolas" w:eastAsia="Consolas" w:hAnsi="Consolas"/>
          <w:sz w:val="20"/>
          <w:szCs w:val="20"/>
        </w:rPr>
        <w:t xml:space="preserve">Café Müller 東京 🚀</w:t>
      </w:r>
      <w:r>
        <w:rPr>
          <w:sz w:val="22"/>
          <w:szCs w:val="22"/>
        </w:rPr>
        <w:t xml:space="preserve"> exercising diacritics, CJK, and emoji through every list, chart, export, and email path.</w:t>
      </w:r>
    </w:p>
    <w:p>
      <w:pPr>
        <w:pStyle w:val="ListParagraph"/>
        <w:numPr>
          <w:ilvl w:val="0"/>
          <w:numId w:val="2"/>
        </w:numPr>
        <w:spacing w:after="100" w:line="276"/>
        <w:jc w:val="both"/>
      </w:pPr>
      <w:r>
        <w:rPr>
          <w:b/>
          <w:bCs/>
          <w:sz w:val="22"/>
          <w:szCs w:val="22"/>
        </w:rPr>
        <w:t xml:space="preserve">Structural edge probes: </w:t>
      </w:r>
      <w:r>
        <w:rPr>
          <w:sz w:val="22"/>
          <w:szCs w:val="22"/>
        </w:rPr>
        <w:t xml:space="preserve">a 120-character name (overflow), a whitespace-padded name, embedded quotes (</w:t>
      </w:r>
      <w:r>
        <w:rPr>
          <w:rFonts w:ascii="Consolas" w:cs="Consolas" w:eastAsia="Consolas" w:hAnsi="Consolas"/>
          <w:sz w:val="20"/>
          <w:szCs w:val="20"/>
        </w:rPr>
        <w:t xml:space="preserve">O’Brien &amp; Sons "Quality"</w:t>
      </w:r>
      <w:r>
        <w:rPr>
          <w:sz w:val="22"/>
          <w:szCs w:val="22"/>
        </w:rPr>
        <w:t xml:space="preserve">), a name-only minimal record, and a zero-entry control company inserted last.</w:t>
      </w:r>
    </w:p>
    <w:p>
      <w:pPr>
        <w:pStyle w:val="ListParagraph"/>
        <w:numPr>
          <w:ilvl w:val="0"/>
          <w:numId w:val="2"/>
        </w:numPr>
        <w:spacing w:after="100" w:line="276"/>
        <w:jc w:val="both"/>
      </w:pPr>
      <w:r>
        <w:rPr>
          <w:b/>
          <w:bCs/>
          <w:sz w:val="22"/>
          <w:szCs w:val="22"/>
        </w:rPr>
        <w:t xml:space="preserve">Temporal edge probes: </w:t>
      </w:r>
      <w:r>
        <w:rPr>
          <w:sz w:val="22"/>
          <w:szCs w:val="22"/>
        </w:rPr>
        <w:t xml:space="preserve">a midnight-crossing session (23:30→00:15), a full-day span, a future-dated entry, same-date session pairs, and a session engineered to carry exactly six audit discrepancies as a known-answer test for the audit engine.</w:t>
      </w:r>
    </w:p>
    <w:p>
      <w:pPr>
        <w:pStyle w:val="ListParagraph"/>
        <w:numPr>
          <w:ilvl w:val="0"/>
          <w:numId w:val="2"/>
        </w:numPr>
        <w:spacing w:after="100" w:line="276"/>
        <w:jc w:val="both"/>
      </w:pPr>
      <w:r>
        <w:rPr>
          <w:b/>
          <w:bCs/>
          <w:sz w:val="22"/>
          <w:szCs w:val="22"/>
        </w:rPr>
        <w:t xml:space="preserve">Referential decay: </w:t>
      </w:r>
      <w:r>
        <w:rPr>
          <w:sz w:val="22"/>
          <w:szCs w:val="22"/>
        </w:rPr>
        <w:t xml:space="preserve">orphaned task rows pointing at deleted entries, a stale in-progress break, zero-second and 25-hour task durations, and a legacy plaintext entry exercising the at-login encryption migration.</w:t>
      </w:r>
    </w:p>
    <w:p>
      <w:pPr>
        <w:spacing w:after="160" w:line="276"/>
        <w:jc w:val="both"/>
      </w:pPr>
      <w:r>
        <w:rPr>
          <w:sz w:val="22"/>
          <w:szCs w:val="22"/>
        </w:rPr>
        <w:t xml:space="preserve">The fixture prints a self-check ledger of 17 assertions on creation, so drift in the instrument itself is caught before it can corrupt a campaign’s measurements. Crucially, the fixture is shared with the project’s property-based tests: the same builders that seed it generate randomized vaults for a differential oracle that mechanically enforces agreement between the audit engine and an independently maintained mirror of its rules. The instrument therefore keeps measuring between campaigns.</w:t>
      </w:r>
    </w:p>
    <w:p>
      <w:pPr>
        <w:pStyle w:val="Heading1"/>
        <w:spacing w:after="180" w:before="320"/>
      </w:pPr>
      <w:r>
        <w:rPr>
          <w:b/>
          <w:bCs/>
          <w:color w:val="141C2E"/>
          <w:sz w:val="28"/>
          <w:szCs w:val="28"/>
        </w:rPr>
        <w:t xml:space="preserve">5. Case Study: Crucible I (July 1–2, 2026)</w:t>
      </w:r>
    </w:p>
    <w:p>
      <w:pPr>
        <w:spacing w:after="160" w:line="276"/>
        <w:jc w:val="both"/>
      </w:pPr>
      <w:r>
        <w:rPr>
          <w:sz w:val="22"/>
          <w:szCs w:val="22"/>
        </w:rPr>
        <w:t xml:space="preserve">Crucible I was the first full-application sweep, covering everything built to that point (roughly versions 1.0–3.9: authentication and encrypted storage, the time tracker, reporting and audit, scheduling, and the tray subsystem). The campaign found 14 defects, remediated in six PDCA cluster pull requests, and shipped as v3.10.0. Table 2 summarizes the clusters.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1600"/>
      </w:tblGrid>
      <w:tr>
        <w:trPr>
          <w:tblHeader/>
        </w:trPr>
        <w:tc>
          <w:tcPr>
            <w:tcW w:type="dxa" w:w="12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Cluster</w:t>
            </w:r>
          </w:p>
        </w:tc>
        <w:tc>
          <w:tcPr>
            <w:tcW w:type="dxa" w:w="42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Theme (representative defects)</w:t>
            </w:r>
          </w:p>
        </w:tc>
        <w:tc>
          <w:tcPr>
            <w:tcW w:type="dxa" w:w="20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Fix locus</w:t>
            </w:r>
          </w:p>
        </w:tc>
        <w:tc>
          <w:tcPr>
            <w:tcW w:type="dxa" w:w="16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PR</w:t>
            </w:r>
          </w:p>
        </w:tc>
      </w:tr>
      <w:tr>
        <w:tc>
          <w:tcPr>
            <w:tcW w:type="dxa" w:w="1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C1</w:t>
            </w:r>
          </w:p>
        </w:tc>
        <w:tc>
          <w:tcPr>
            <w:tcW w:type="dxa" w:w="4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Theming/legibility: unreadable "Email Me" control, unstyled phone input</w:t>
            </w:r>
          </w:p>
        </w:tc>
        <w:tc>
          <w:tcPr>
            <w:tcW w:type="dxa" w:w="20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Theme CSS</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#42</w:t>
            </w:r>
          </w:p>
        </w:tc>
      </w:tr>
      <w:tr>
        <w:tc>
          <w:tcPr>
            <w:tcW w:type="dxa" w:w="1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C2</w:t>
            </w:r>
          </w:p>
        </w:tc>
        <w:tc>
          <w:tcPr>
            <w:tcW w:type="dxa" w:w="4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Time parsing: 12h/24h editor inconsistency; silent task-label loss</w:t>
            </w:r>
          </w:p>
        </w:tc>
        <w:tc>
          <w:tcPr>
            <w:tcW w:type="dxa" w:w="20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New shared time-parse.js</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#41</w:t>
            </w:r>
          </w:p>
        </w:tc>
      </w:tr>
      <w:tr>
        <w:tc>
          <w:tcPr>
            <w:tcW w:type="dxa" w:w="1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C3</w:t>
            </w:r>
          </w:p>
        </w:tc>
        <w:tc>
          <w:tcPr>
            <w:tcW w:type="dxa" w:w="4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Description-only rows invisible to audit, log, CSV, PDF, and email paths</w:t>
            </w:r>
          </w:p>
        </w:tc>
        <w:tc>
          <w:tcPr>
            <w:tcW w:type="dxa" w:w="20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New shared row-utils.js predicate</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#44</w:t>
            </w:r>
          </w:p>
        </w:tc>
      </w:tr>
      <w:tr>
        <w:tc>
          <w:tcPr>
            <w:tcW w:type="dxa" w:w="1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C4</w:t>
            </w:r>
          </w:p>
        </w:tc>
        <w:tc>
          <w:tcPr>
            <w:tcW w:type="dxa" w:w="4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Unbounded text: canvas node growth, breakdown-card overflow</w:t>
            </w:r>
          </w:p>
        </w:tc>
        <w:tc>
          <w:tcPr>
            <w:tcW w:type="dxa" w:w="20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New shared canvas-text.js</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#43</w:t>
            </w:r>
          </w:p>
        </w:tc>
      </w:tr>
      <w:tr>
        <w:tc>
          <w:tcPr>
            <w:tcW w:type="dxa" w:w="1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C5</w:t>
            </w:r>
          </w:p>
        </w:tc>
        <w:tc>
          <w:tcPr>
            <w:tcW w:type="dxa" w:w="4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False legal claim: "Texas law requires…" shown for default-tier states</w:t>
            </w:r>
          </w:p>
        </w:tc>
        <w:tc>
          <w:tcPr>
            <w:tcW w:type="dxa" w:w="20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Policy-gated copy</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#45</w:t>
            </w:r>
          </w:p>
        </w:tc>
      </w:tr>
      <w:tr>
        <w:tc>
          <w:tcPr>
            <w:tcW w:type="dxa" w:w="1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C6</w:t>
            </w:r>
          </w:p>
        </w:tc>
        <w:tc>
          <w:tcPr>
            <w:tcW w:type="dxa" w:w="4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Session targeting: same-date sessions opened the wrong entry; orphaned task rows; rows wiped on open</w:t>
            </w:r>
          </w:p>
        </w:tc>
        <w:tc>
          <w:tcPr>
            <w:tcW w:type="dxa" w:w="20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Tracker + login sweep</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#46</w:t>
            </w:r>
          </w:p>
        </w:tc>
      </w:tr>
    </w:tbl>
    <w:p>
      <w:pPr>
        <w:spacing w:after="220" w:before="80"/>
        <w:jc w:val="center"/>
      </w:pPr>
      <w:r>
        <w:rPr>
          <w:i/>
          <w:iCs/>
          <w:color w:val="555555"/>
          <w:sz w:val="19"/>
          <w:szCs w:val="19"/>
        </w:rPr>
        <w:t xml:space="preserve">Table 2. Crucible I fix clusters (14 defects total; shipped as v3.10.0).</w:t>
      </w:r>
    </w:p>
    <w:p>
      <w:pPr>
        <w:spacing w:after="160" w:line="276"/>
        <w:jc w:val="both"/>
      </w:pPr>
      <w:r>
        <w:rPr>
          <w:sz w:val="22"/>
          <w:szCs w:val="22"/>
        </w:rPr>
        <w:t xml:space="preserve">Two observations from Crucible I shaped the methodology. First, three of the 14 defects were bugs the owner had been tracking informally for weeks; the campaign’s value was partly that it forced them through RCA and into permanent fixes. Second, the highest-leverage outputs were not the fixes but the permanence artifacts: clusters C2–C4 each produced a shared, unit-tested module (time parsing, row semantics, canvas text) that replaced multiple divergent inline copies — removing the very duplication that had allowed the defects to exist in some code paths and not others. The automated suite grew from 30 to 49 tests during the campaign.</w:t>
      </w:r>
    </w:p>
    <w:p>
      <w:pPr>
        <w:pStyle w:val="Heading1"/>
        <w:spacing w:after="180" w:before="320"/>
      </w:pPr>
      <w:r>
        <w:rPr>
          <w:b/>
          <w:bCs/>
          <w:color w:val="141C2E"/>
          <w:sz w:val="28"/>
          <w:szCs w:val="28"/>
        </w:rPr>
        <w:t xml:space="preserve">6. Case Study: Crucible II (July 16, 2026)</w:t>
      </w:r>
    </w:p>
    <w:p>
      <w:pPr>
        <w:spacing w:after="160" w:line="276"/>
        <w:jc w:val="both"/>
      </w:pPr>
      <w:r>
        <w:rPr>
          <w:sz w:val="22"/>
          <w:szCs w:val="22"/>
        </w:rPr>
        <w:t xml:space="preserve">Crucible II scoped everything shipped after v3.10.0 — a much larger surface than Crucible I’s, spanning invoicing, an auto-updater, a hierarchical data visualization ("Company Galaxy"), tray punching with a global hotkey, a pre-action snapshot safety net, a week view, an analytics dashboard, context menus, global search, and a CSV import wizard. The baseline was 212 automated tests, green. The campaign found four defects (Table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800"/>
        <w:gridCol w:w="3900"/>
        <w:gridCol w:w="1600"/>
      </w:tblGrid>
      <w:tr>
        <w:trPr>
          <w:tblHeader/>
        </w:trPr>
        <w:tc>
          <w:tcPr>
            <w:tcW w:type="dxa" w:w="9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ID</w:t>
            </w:r>
          </w:p>
        </w:tc>
        <w:tc>
          <w:tcPr>
            <w:tcW w:type="dxa" w:w="8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Sev</w:t>
            </w:r>
          </w:p>
        </w:tc>
        <w:tc>
          <w:tcPr>
            <w:tcW w:type="dxa" w:w="18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Surface</w:t>
            </w:r>
          </w:p>
        </w:tc>
        <w:tc>
          <w:tcPr>
            <w:tcW w:type="dxa" w:w="39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Root cause</w:t>
            </w:r>
          </w:p>
        </w:tc>
        <w:tc>
          <w:tcPr>
            <w:tcW w:type="dxa" w:w="16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Verified</w:t>
            </w:r>
          </w:p>
        </w:tc>
      </w:tr>
      <w:tr>
        <w:tc>
          <w:tcPr>
            <w:tcW w:type="dxa" w:w="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D-101</w:t>
            </w:r>
          </w:p>
        </w:tc>
        <w:tc>
          <w:tcPr>
            <w:tcW w:type="dxa" w:w="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High</w:t>
            </w:r>
          </w:p>
        </w:tc>
        <w:tc>
          <w:tcPr>
            <w:tcW w:type="dxa" w:w="1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CSV import</w:t>
            </w:r>
          </w:p>
        </w:tc>
        <w:tc>
          <w:tcPr>
            <w:tcW w:type="dxa" w:w="3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Date validator range-checked fields but never calendar-checked them: 2/31/2025 normalized to "2025-02-31" and was committed to the encrypted store; years were unbounded</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Probe + live IPC commit</w:t>
            </w:r>
          </w:p>
        </w:tc>
      </w:tr>
      <w:tr>
        <w:tc>
          <w:tcPr>
            <w:tcW w:type="dxa" w:w="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D-102</w:t>
            </w:r>
          </w:p>
        </w:tc>
        <w:tc>
          <w:tcPr>
            <w:tcW w:type="dxa" w:w="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High</w:t>
            </w:r>
          </w:p>
        </w:tc>
        <w:tc>
          <w:tcPr>
            <w:tcW w:type="dxa" w:w="1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Analytics trend chart</w:t>
            </w:r>
          </w:p>
        </w:tc>
        <w:tc>
          <w:tcPr>
            <w:tcW w:type="dxa" w:w="3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Gap-fill between first and last bucket was unbounded; one typo’d year (9999) allocated 416,115 empty weekly buckets (1.4 s compute) before rendering</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Timed probe</w:t>
            </w:r>
          </w:p>
        </w:tc>
      </w:tr>
      <w:tr>
        <w:tc>
          <w:tcPr>
            <w:tcW w:type="dxa" w:w="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D-103</w:t>
            </w:r>
          </w:p>
        </w:tc>
        <w:tc>
          <w:tcPr>
            <w:tcW w:type="dxa" w:w="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Low</w:t>
            </w:r>
          </w:p>
        </w:tc>
        <w:tc>
          <w:tcPr>
            <w:tcW w:type="dxa" w:w="1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CSV import</w:t>
            </w:r>
          </w:p>
        </w:tc>
        <w:tc>
          <w:tcPr>
            <w:tcW w:type="dxa" w:w="3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Explicit duration column accepted 10⁹ minutes silently (≈ 1,900 years on one row), poisoning totals and estimates</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Probe</w:t>
            </w:r>
          </w:p>
        </w:tc>
      </w:tr>
      <w:tr>
        <w:tc>
          <w:tcPr>
            <w:tcW w:type="dxa" w:w="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D-104</w:t>
            </w:r>
          </w:p>
        </w:tc>
        <w:tc>
          <w:tcPr>
            <w:tcW w:type="dxa" w:w="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Low</w:t>
            </w:r>
          </w:p>
        </w:tc>
        <w:tc>
          <w:tcPr>
            <w:tcW w:type="dxa" w:w="18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App lifecycle</w:t>
            </w:r>
          </w:p>
        </w:tc>
        <w:tc>
          <w:tcPr>
            <w:tcW w:type="dxa" w:w="39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Single-instance lock exit was silent: a dev launch died with exit code 0 while the installed app held the lock, with no diagnostic</w:t>
            </w:r>
          </w:p>
        </w:tc>
        <w:tc>
          <w:tcPr>
            <w:tcW w:type="dxa" w:w="16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Reproduced during the campaign itself</w:t>
            </w:r>
          </w:p>
        </w:tc>
      </w:tr>
    </w:tbl>
    <w:p>
      <w:pPr>
        <w:spacing w:after="220" w:before="80"/>
        <w:jc w:val="center"/>
      </w:pPr>
      <w:r>
        <w:rPr>
          <w:i/>
          <w:iCs/>
          <w:color w:val="555555"/>
          <w:sz w:val="19"/>
          <w:szCs w:val="19"/>
        </w:rPr>
        <w:t xml:space="preserve">Table 3. Crucible II defect register (fixed in one cluster PR, #157; shipped as v3.24.2).</w:t>
      </w:r>
    </w:p>
    <w:p>
      <w:pPr>
        <w:spacing w:after="160" w:line="276"/>
        <w:jc w:val="both"/>
      </w:pPr>
      <w:r>
        <w:rPr>
          <w:sz w:val="22"/>
          <w:szCs w:val="22"/>
        </w:rPr>
        <w:t xml:space="preserve">D-101 and D-102 jointly illustrate the interplay rule (§3.2). Each component was individually defensible — the import validator range-checked month and day; the chart reasonably assumed dates near the present — but their composition let a single malformed CSV cell freeze an unrelated analytics page. Following the fix-both-ends preference, the cluster added real-calendar validation with a bounded year window </w:t>
      </w:r>
      <w:r>
        <w:rPr>
          <w:i/>
          <w:iCs/>
          <w:sz w:val="22"/>
          <w:szCs w:val="22"/>
        </w:rPr>
        <w:t xml:space="preserve">and</w:t>
      </w:r>
      <w:r>
        <w:rPr>
          <w:sz w:val="22"/>
          <w:szCs w:val="22"/>
        </w:rPr>
        <w:t xml:space="preserve"> a span cap in the chart, so a future corrupt date from any other source degrades gracefully rather than hanging the renderer.</w:t>
      </w:r>
    </w:p>
    <w:p>
      <w:pPr>
        <w:spacing w:after="160" w:line="276"/>
        <w:jc w:val="both"/>
      </w:pPr>
      <w:r>
        <w:rPr>
          <w:sz w:val="22"/>
          <w:szCs w:val="22"/>
        </w:rPr>
        <w:t xml:space="preserve">The "verified clean" list is as instructive as the register: the XSS canary was escaped on every new surface (global search, activity feeds, galaxy labels, invoice ledger); Unicode rendered correctly everywhere probed; import deduplication was exact across re-runs; invoice money math tolerated junk inputs; and the punch engine’s midnight-wrap, locked-session, and no-history paths were all correct. Five new regression tests brought the suite to 217; the fixes shipped the same day as v3.24.2.</w:t>
      </w:r>
    </w:p>
    <w:p>
      <w:pPr>
        <w:pStyle w:val="Heading1"/>
        <w:spacing w:after="180" w:before="320"/>
      </w:pPr>
      <w:r>
        <w:rPr>
          <w:b/>
          <w:bCs/>
          <w:color w:val="141C2E"/>
          <w:sz w:val="28"/>
          <w:szCs w:val="28"/>
        </w:rPr>
        <w:t xml:space="preserve">7. Results and Discussion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1700"/>
        <w:gridCol w:w="1700"/>
      </w:tblGrid>
      <w:tr>
        <w:trPr>
          <w:tblHeader/>
        </w:trPr>
        <w:tc>
          <w:tcPr>
            <w:tcW w:type="dxa" w:w="17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Campaign</w:t>
            </w:r>
          </w:p>
        </w:tc>
        <w:tc>
          <w:tcPr>
            <w:tcW w:type="dxa" w:w="22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Scope</w:t>
            </w:r>
          </w:p>
        </w:tc>
        <w:tc>
          <w:tcPr>
            <w:tcW w:type="dxa" w:w="15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Defects</w:t>
            </w:r>
          </w:p>
        </w:tc>
        <w:tc>
          <w:tcPr>
            <w:tcW w:type="dxa" w:w="17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High severity</w:t>
            </w:r>
          </w:p>
        </w:tc>
        <w:tc>
          <w:tcPr>
            <w:tcW w:type="dxa" w:w="1700"/>
            <w:tcBorders>
              <w:top w:val="single" w:color="B8B8B8" w:sz="4"/>
              <w:left w:val="single" w:color="B8B8B8" w:sz="4"/>
              <w:bottom w:val="single" w:color="B8B8B8" w:sz="4"/>
              <w:right w:val="single" w:color="B8B8B8" w:sz="4"/>
            </w:tcBorders>
            <w:shd w:fill="EDF0F5" w:val="clear"/>
            <w:tcMar>
              <w:top w:type="dxa" w:w="60"/>
              <w:left w:type="dxa" w:w="100"/>
              <w:bottom w:type="dxa" w:w="60"/>
              <w:right w:type="dxa" w:w="100"/>
            </w:tcMar>
          </w:tcPr>
          <w:p>
            <w:pPr>
              <w:spacing w:after="0"/>
            </w:pPr>
            <w:r>
              <w:rPr>
                <w:b/>
                <w:bCs/>
                <w:sz w:val="19"/>
                <w:szCs w:val="19"/>
              </w:rPr>
              <w:t xml:space="preserve">Shipped</w:t>
            </w:r>
          </w:p>
        </w:tc>
      </w:tr>
      <w:tr>
        <w:tc>
          <w:tcPr>
            <w:tcW w:type="dxa" w:w="17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Crucible I</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Entire application (first sweep)</w:t>
            </w:r>
          </w:p>
        </w:tc>
        <w:tc>
          <w:tcPr>
            <w:tcW w:type="dxa" w:w="1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14</w:t>
            </w:r>
          </w:p>
        </w:tc>
        <w:tc>
          <w:tcPr>
            <w:tcW w:type="dxa" w:w="17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9</w:t>
            </w:r>
          </w:p>
        </w:tc>
        <w:tc>
          <w:tcPr>
            <w:tcW w:type="dxa" w:w="17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v3.10.0</w:t>
            </w:r>
          </w:p>
        </w:tc>
      </w:tr>
      <w:tr>
        <w:tc>
          <w:tcPr>
            <w:tcW w:type="dxa" w:w="17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Crucible II</w:t>
            </w:r>
          </w:p>
        </w:tc>
        <w:tc>
          <w:tcPr>
            <w:tcW w:type="dxa" w:w="22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All features since v3.10.0 (larger surface)</w:t>
            </w:r>
          </w:p>
        </w:tc>
        <w:tc>
          <w:tcPr>
            <w:tcW w:type="dxa" w:w="15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4</w:t>
            </w:r>
          </w:p>
        </w:tc>
        <w:tc>
          <w:tcPr>
            <w:tcW w:type="dxa" w:w="17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2</w:t>
            </w:r>
          </w:p>
        </w:tc>
        <w:tc>
          <w:tcPr>
            <w:tcW w:type="dxa" w:w="1700"/>
            <w:tcBorders>
              <w:top w:val="single" w:color="B8B8B8" w:sz="4"/>
              <w:left w:val="single" w:color="B8B8B8" w:sz="4"/>
              <w:bottom w:val="single" w:color="B8B8B8" w:sz="4"/>
              <w:right w:val="single" w:color="B8B8B8" w:sz="4"/>
            </w:tcBorders>
            <w:tcMar>
              <w:top w:type="dxa" w:w="60"/>
              <w:left w:type="dxa" w:w="100"/>
              <w:bottom w:type="dxa" w:w="60"/>
              <w:right w:type="dxa" w:w="100"/>
            </w:tcMar>
          </w:tcPr>
          <w:p>
            <w:pPr>
              <w:spacing w:after="0"/>
            </w:pPr>
            <w:r>
              <w:rPr>
                <w:b w:val="false"/>
                <w:bCs w:val="false"/>
                <w:sz w:val="19"/>
                <w:szCs w:val="19"/>
              </w:rPr>
              <w:t xml:space="preserve">v3.24.2</w:t>
            </w:r>
          </w:p>
        </w:tc>
      </w:tr>
    </w:tbl>
    <w:p>
      <w:pPr>
        <w:spacing w:after="220" w:before="80"/>
        <w:jc w:val="center"/>
      </w:pPr>
      <w:r>
        <w:rPr>
          <w:i/>
          <w:iCs/>
          <w:color w:val="555555"/>
          <w:sz w:val="19"/>
          <w:szCs w:val="19"/>
        </w:rPr>
        <w:t xml:space="preserve">Table 4. Outcome summary across campaigns.</w:t>
      </w:r>
    </w:p>
    <w:p>
      <w:pPr>
        <w:spacing w:after="160" w:line="276"/>
        <w:jc w:val="both"/>
      </w:pPr>
      <w:r>
        <w:rPr>
          <w:sz w:val="22"/>
          <w:szCs w:val="22"/>
        </w:rPr>
        <w:t xml:space="preserve">The headline result is the direction of the curve: 14 defects fell to 4 while the surface under test grew substantially. We attribute this primarily to the permanence rule. The shared modules extracted in Crucible I meant that new features built after it (invoicing, import, analytics) consumed one tested implementation of time parsing and row semantics instead of re-implementing them; the property-based oracle added after Crucible I mechanically guarded the audit engine’s rules through fourteen releases of churn; and the fixture’s canaries made escaping regressions loud. Consistent with this, none of Crucible II’s findings were recurrences of Crucible I’s defect classes — all four were in newly written validation and aggregation code.</w:t>
      </w:r>
    </w:p>
    <w:p>
      <w:pPr>
        <w:spacing w:after="160" w:line="276"/>
        <w:jc w:val="both"/>
      </w:pPr>
      <w:r>
        <w:rPr>
          <w:sz w:val="22"/>
          <w:szCs w:val="22"/>
        </w:rPr>
        <w:t xml:space="preserve">A secondary result concerns cost. A full campaign — baseline, probes, live sweep, RCA, fix clusters with regression tests, and a shipped remediation release — costs the owner roughly 24–36 hours of attention. With agent assistance, Crucible II compressed that attention into a single calendar day; the method itself is unchanged either way, and the overhead above an ad-hoc bug hunt is essentially the register discipline and the permanence work.</w:t>
      </w:r>
    </w:p>
    <w:p>
      <w:pPr>
        <w:spacing w:after="160" w:line="276"/>
        <w:jc w:val="both"/>
      </w:pPr>
      <w:r>
        <w:rPr>
          <w:sz w:val="22"/>
          <w:szCs w:val="22"/>
        </w:rPr>
        <w:t xml:space="preserve">Field escape data, while early, is encouraging: across the beta period to date, no functional defect has reached users that either Crucible should have caught — the reported residue has consisted of sizing errors in non-universalized layout code and other aesthetic issues, a class that the Define phase deliberately diverts to a notes backlog rather than the register. The method’s false-negative rate against its own definition of defect is, so far, zero; §9 notes why that claim must be read cautiously.</w:t>
      </w:r>
    </w:p>
    <w:p>
      <w:pPr>
        <w:spacing w:after="160" w:line="276"/>
        <w:jc w:val="both"/>
      </w:pPr>
      <w:r>
        <w:rPr>
          <w:sz w:val="22"/>
          <w:szCs w:val="22"/>
        </w:rPr>
        <w:t xml:space="preserve">Finally, the methodology measures itself: because each campaign uses a comparable instrument and admission standard, the defect count per campaign is a meaningful longitudinal signal in a way that ad-hoc bug counts are not. A rising count in Crucible III would be actionable evidence — of eroding controls, of a riskier feature mix, or of instrument drift — rather than noise.</w:t>
      </w:r>
    </w:p>
    <w:p>
      <w:pPr>
        <w:pStyle w:val="Heading1"/>
        <w:spacing w:after="180" w:before="320"/>
      </w:pPr>
      <w:r>
        <w:rPr>
          <w:b/>
          <w:bCs/>
          <w:color w:val="141C2E"/>
          <w:sz w:val="28"/>
          <w:szCs w:val="28"/>
        </w:rPr>
        <w:t xml:space="preserve">8. Extending the Instrument: Mechanical Detection of Visual Defects</w:t>
      </w:r>
    </w:p>
    <w:p>
      <w:pPr>
        <w:spacing w:after="160" w:line="276"/>
        <w:jc w:val="both"/>
      </w:pPr>
      <w:r>
        <w:rPr>
          <w:sz w:val="22"/>
          <w:szCs w:val="22"/>
        </w:rPr>
        <w:t xml:space="preserve">The field residue reported in §7 — sizing errors and aesthetic issues — identifies the instrument’s largest blind spot: the Crucible as described asserts on data, never on appearance. Analysis of that residue suggests visual defects divide into three tiers demanding different detectors with different trust levels. First, a substantial subclass is geometrically provable — clipped text, elements collapsed to near-zero size, overlapping or unreachable controls, and text whose computed contrast falls below legibility thresholds are all facts about the rendered box model, requiring no aesthetic judgment. Second, unintended visual change is detectable by perceptual screenshot comparison against blessed baselines, at the cost of baseline maintenance. Third, genuinely aesthetic judgments (spacing, balance, coherence) require a human or model reviewer working from a rubric. The Crucible admits only the first tier to the register: it alone meets the RCA standard of mechanical reproduction. Golden-image diffs are admissible after human confirmation that the change was unintended; rubric findings are diverted to the notes backlog unless converted to a mechanical reproduction.</w:t>
      </w:r>
    </w:p>
    <w:p>
      <w:pPr>
        <w:spacing w:after="160" w:line="276"/>
        <w:jc w:val="both"/>
      </w:pPr>
      <w:r>
        <w:rPr>
          <w:sz w:val="22"/>
          <w:szCs w:val="22"/>
        </w:rPr>
        <w:t xml:space="preserve">A reference implementation of the first tier — a layout linter — was added to the instrument following Crucible II. Injected into the running application by the campaign driver, it sweeps the live DOM in tens of milliseconds per page and reports faults deduplicated by structural selector: text overflowing its box without intentional ellipsis or scrolling; visible elements carrying text but rendered at near-zero size (the class of a costly historical defect in which flexbox children silently collapsed inside scrollable columns); interactive controls that materially overlap or lie outside any reachable scroll extent; and text below a 2.5:1 luminance contrast ratio on a computable solid background.</w:t>
      </w:r>
    </w:p>
    <w:p>
      <w:pPr>
        <w:spacing w:after="160" w:line="276"/>
        <w:jc w:val="both"/>
      </w:pPr>
      <w:r>
        <w:rPr>
          <w:sz w:val="22"/>
          <w:szCs w:val="22"/>
        </w:rPr>
        <w:t xml:space="preserve">The linter’s own calibration run illustrates the methodology applied to its instrument. Its first full sweep reported thirty faults across eight pages; triage against the running application showed three false-positive classes — controls below the fold of an inner scrolling container misread as offscreen, "overlaps" with a closed modal whose invisibility was inherited from an ancestor’s opacity, and box-model assertions applied inside SVG, where they are meaningless. All three were corrected (scroll-container-aware bounds; ancestor-aware visibility; SVG exclusion), after which a re-sweep reported two pages fully clean and zero fabricated faults. What survived was signal: a page-wide cluster of secondary text measuring approximately 2.4:1 — an intentional muted-text design token that nonetheless sits below the 3:1 WCAG floor for large text — and one unambiguous defect, an active navigation tab rendering at 1.65:1. Both entered the register queue for the next campaign. The episode also demonstrates the permanence rule operating on the instrument itself: each false-positive class became a documented rule inside the linter, exactly as escaped defects become seed probes.</w:t>
      </w:r>
    </w:p>
    <w:p>
      <w:pPr>
        <w:pStyle w:val="Heading1"/>
        <w:spacing w:after="180" w:before="320"/>
      </w:pPr>
      <w:r>
        <w:rPr>
          <w:b/>
          <w:bCs/>
          <w:color w:val="141C2E"/>
          <w:sz w:val="28"/>
          <w:szCs w:val="28"/>
        </w:rPr>
        <w:t xml:space="preserve">9. Threats to Validity</w:t>
      </w:r>
    </w:p>
    <w:p>
      <w:pPr>
        <w:pStyle w:val="ListParagraph"/>
        <w:numPr>
          <w:ilvl w:val="0"/>
          <w:numId w:val="3"/>
        </w:numPr>
        <w:spacing w:after="100" w:line="276"/>
        <w:jc w:val="both"/>
      </w:pPr>
      <w:r>
        <w:rPr>
          <w:sz w:val="22"/>
          <w:szCs w:val="22"/>
        </w:rPr>
        <w:t xml:space="preserve">Single project, single operator: both campaigns ran on one codebase under one owner; the 14→4 trajectory may partly reflect the maturing of that codebase rather than the methodology alone.</w:t>
      </w:r>
    </w:p>
    <w:p>
      <w:pPr>
        <w:pStyle w:val="ListParagraph"/>
        <w:numPr>
          <w:ilvl w:val="0"/>
          <w:numId w:val="3"/>
        </w:numPr>
        <w:spacing w:after="100" w:line="276"/>
        <w:jc w:val="both"/>
      </w:pPr>
      <w:r>
        <w:rPr>
          <w:sz w:val="22"/>
          <w:szCs w:val="22"/>
        </w:rPr>
        <w:t xml:space="preserve">Self-evaluation: the campaigns were run and reported by the same parties who built the software; there is no independent replication yet.</w:t>
      </w:r>
    </w:p>
    <w:p>
      <w:pPr>
        <w:pStyle w:val="ListParagraph"/>
        <w:numPr>
          <w:ilvl w:val="0"/>
          <w:numId w:val="3"/>
        </w:numPr>
        <w:spacing w:after="100" w:line="276"/>
        <w:jc w:val="both"/>
      </w:pPr>
      <w:r>
        <w:rPr>
          <w:sz w:val="22"/>
          <w:szCs w:val="22"/>
        </w:rPr>
        <w:t xml:space="preserve">Confounds between campaigns: the TypeScript migration and the property-testing effort landed between Crucibles I and II and independently improved quality; the permanence rule claims credit for institutionalizing them, but their effects cannot be cleanly separated.</w:t>
      </w:r>
    </w:p>
    <w:p>
      <w:pPr>
        <w:pStyle w:val="ListParagraph"/>
        <w:numPr>
          <w:ilvl w:val="0"/>
          <w:numId w:val="3"/>
        </w:numPr>
        <w:spacing w:after="100" w:line="276"/>
        <w:jc w:val="both"/>
      </w:pPr>
      <w:r>
        <w:rPr>
          <w:sz w:val="22"/>
          <w:szCs w:val="22"/>
        </w:rPr>
        <w:t xml:space="preserve">Instrument bias: the fixture probes what its designer thought to probe. Defect classes outside its imagination (performance under scale, concurrency races, OS-integration failures) are under-measured, and D-104 — found only because the campaign itself tripped over it — is a reminder of that boundary.</w:t>
      </w:r>
    </w:p>
    <w:p>
      <w:pPr>
        <w:pStyle w:val="ListParagraph"/>
        <w:numPr>
          <w:ilvl w:val="0"/>
          <w:numId w:val="3"/>
        </w:numPr>
        <w:spacing w:after="100" w:line="276"/>
        <w:jc w:val="both"/>
      </w:pPr>
      <w:r>
        <w:rPr>
          <w:sz w:val="22"/>
          <w:szCs w:val="22"/>
        </w:rPr>
        <w:t xml:space="preserve">Small exposure window: the zero-functional-escape claim rests on seven beta users over weeks, not thousands over years; a small population exercises fewer paths, so field silence is weak evidence.</w:t>
      </w:r>
    </w:p>
    <w:p>
      <w:pPr>
        <w:pStyle w:val="ListParagraph"/>
        <w:numPr>
          <w:ilvl w:val="0"/>
          <w:numId w:val="3"/>
        </w:numPr>
        <w:spacing w:after="100" w:line="276"/>
        <w:jc w:val="both"/>
      </w:pPr>
      <w:r>
        <w:rPr>
          <w:sz w:val="22"/>
          <w:szCs w:val="22"/>
        </w:rPr>
        <w:t xml:space="preserve">Untested adjudication: to date no finding has been disputed between the operator and the RCA admission standard; the process for resolving such a disagreement is therefore undescribed and untested.</w:t>
      </w:r>
    </w:p>
    <w:p>
      <w:pPr>
        <w:pStyle w:val="ListParagraph"/>
        <w:numPr>
          <w:ilvl w:val="0"/>
          <w:numId w:val="3"/>
        </w:numPr>
        <w:spacing w:after="100" w:line="276"/>
        <w:jc w:val="both"/>
      </w:pPr>
      <w:r>
        <w:rPr>
          <w:sz w:val="22"/>
          <w:szCs w:val="22"/>
        </w:rPr>
        <w:t xml:space="preserve">Severity inflation/deflation: the binary High/Low scale is deliberately crude; different judges might reclassify individual findings.</w:t>
      </w:r>
    </w:p>
    <w:p>
      <w:pPr>
        <w:pStyle w:val="Heading1"/>
        <w:spacing w:after="180" w:before="320"/>
      </w:pPr>
      <w:r>
        <w:rPr>
          <w:b/>
          <w:bCs/>
          <w:color w:val="141C2E"/>
          <w:sz w:val="28"/>
          <w:szCs w:val="28"/>
        </w:rPr>
        <w:t xml:space="preserve">10. Conclusion and Future Work</w:t>
      </w:r>
    </w:p>
    <w:p>
      <w:pPr>
        <w:spacing w:after="160" w:line="276"/>
        <w:jc w:val="both"/>
      </w:pPr>
      <w:r>
        <w:rPr>
          <w:sz w:val="22"/>
          <w:szCs w:val="22"/>
        </w:rPr>
        <w:t xml:space="preserve">The Crucible composes three mature quality loops — RCA per defect, DMAIC per campaign, PDCA per fix cluster — around a designed adversarial fixture, and adds one rule that appears to do most of the long-term work: no campaign closes until its lessons are converted into permanent controls. Across two campaigns on a real commercial application, the method found 18 defects, shipped both remediation releases within a day of their campaigns, and cut the per-campaign defect count by two-thirds while the tested surface grew.</w:t>
      </w:r>
    </w:p>
    <w:p>
      <w:pPr>
        <w:spacing w:after="160" w:line="276"/>
        <w:jc w:val="both"/>
      </w:pPr>
      <w:r>
        <w:rPr>
          <w:sz w:val="22"/>
          <w:szCs w:val="22"/>
        </w:rPr>
        <w:t xml:space="preserve">Future work is concrete: Crucible III will run after a month-long beta soak and will incorporate user-reported field defects into Define, testing how the method absorbs external signal; the fixture should grow probes for its known blind spots (scale, concurrency); and the strongest validation — replication by another team on another codebase — remains open. The campaign template published alongside this paper is intended to make that replication cheap.</w:t>
      </w:r>
    </w:p>
    <w:p>
      <w:pPr>
        <w:pStyle w:val="Heading1"/>
        <w:spacing w:after="180" w:before="320"/>
      </w:pPr>
      <w:r>
        <w:rPr>
          <w:b/>
          <w:bCs/>
          <w:color w:val="141C2E"/>
          <w:sz w:val="28"/>
          <w:szCs w:val="28"/>
        </w:rPr>
        <w:t xml:space="preserve">References</w:t>
      </w:r>
    </w:p>
    <w:p>
      <w:pPr>
        <w:spacing w:after="100"/>
      </w:pPr>
      <w:r>
        <w:rPr>
          <w:sz w:val="20"/>
          <w:szCs w:val="20"/>
        </w:rPr>
        <w:t xml:space="preserve">[1] T. Pyzdek and P. Keller, The Six Sigma Handbook, 5th ed. McGraw-Hill, 2018.</w:t>
      </w:r>
    </w:p>
    <w:p>
      <w:pPr>
        <w:spacing w:after="100"/>
      </w:pPr>
      <w:r>
        <w:rPr>
          <w:sz w:val="20"/>
          <w:szCs w:val="20"/>
        </w:rPr>
        <w:t xml:space="preserve">[2] W. A. Shewhart, Statistical Method from the Viewpoint of Quality Control. USDA Graduate School, 1939.</w:t>
      </w:r>
    </w:p>
    <w:p>
      <w:pPr>
        <w:spacing w:after="100"/>
      </w:pPr>
      <w:r>
        <w:rPr>
          <w:sz w:val="20"/>
          <w:szCs w:val="20"/>
        </w:rPr>
        <w:t xml:space="preserve">[3] W. E. Deming, Out of the Crisis. MIT Press, 1986.</w:t>
      </w:r>
    </w:p>
    <w:p>
      <w:pPr>
        <w:spacing w:after="100"/>
      </w:pPr>
      <w:r>
        <w:rPr>
          <w:sz w:val="20"/>
          <w:szCs w:val="20"/>
        </w:rPr>
        <w:t xml:space="preserve">[4] J. J. Rooney and L. N. Vanden Heuvel, "Root cause analysis for beginners," Quality Progress, vol. 37, no. 7, pp. 45–53, 2004.</w:t>
      </w:r>
    </w:p>
    <w:p>
      <w:pPr>
        <w:spacing w:after="100"/>
      </w:pPr>
      <w:r>
        <w:rPr>
          <w:sz w:val="20"/>
          <w:szCs w:val="20"/>
        </w:rPr>
        <w:t xml:space="preserve">[5] Ford Motor Company, Team Oriented Problem Solving (TOPS/8D). Dearborn, MI, 1987.</w:t>
      </w:r>
    </w:p>
    <w:p>
      <w:pPr>
        <w:spacing w:after="100"/>
      </w:pPr>
      <w:r>
        <w:rPr>
          <w:sz w:val="20"/>
          <w:szCs w:val="20"/>
        </w:rPr>
        <w:t xml:space="preserve">[6] J. A. Whittaker, Exploratory Software Testing. Addison-Wesley, 2009.</w:t>
      </w:r>
    </w:p>
    <w:p>
      <w:pPr>
        <w:spacing w:after="100"/>
      </w:pPr>
      <w:r>
        <w:rPr>
          <w:sz w:val="20"/>
          <w:szCs w:val="20"/>
        </w:rPr>
        <w:t xml:space="preserve">[7] K. Claessen and J. Hughes, "QuickCheck: a lightweight tool for random testing of Haskell programs," in Proc. ICFP, 2000.</w:t>
      </w:r>
    </w:p>
    <w:p>
      <w:pPr>
        <w:spacing w:after="100"/>
      </w:pPr>
      <w:r>
        <w:rPr>
          <w:sz w:val="20"/>
          <w:szCs w:val="20"/>
        </w:rPr>
        <w:t xml:space="preserve">[8] A. Basiri et al., "Chaos engineering," IEEE Software, vol. 33, no. 3, pp. 35–41, 2016.</w:t>
      </w:r>
    </w:p>
    <w:p>
      <w:pPr>
        <w:spacing w:after="100"/>
      </w:pPr>
      <w:r>
        <w:rPr>
          <w:sz w:val="20"/>
          <w:szCs w:val="20"/>
        </w:rPr>
        <w:t xml:space="preserve">[9] International Organization for Standardization, ISO 9001:2015 Quality management systems — Requirements. Geneva, 2015.</w:t>
      </w:r>
    </w:p>
    <w:p>
      <w:r>
        <w:br w:type="page"/>
      </w:r>
    </w:p>
    <w:p>
      <w:pPr>
        <w:pStyle w:val="Heading1"/>
        <w:spacing w:after="180" w:before="320"/>
      </w:pPr>
      <w:r>
        <w:rPr>
          <w:b/>
          <w:bCs/>
          <w:color w:val="141C2E"/>
          <w:sz w:val="28"/>
          <w:szCs w:val="28"/>
        </w:rPr>
        <w:t xml:space="preserve">Appendix A. The Campaign Template</w:t>
      </w:r>
    </w:p>
    <w:p>
      <w:pPr>
        <w:spacing w:after="160" w:line="276"/>
        <w:jc w:val="both"/>
      </w:pPr>
      <w:r>
        <w:rPr>
          <w:sz w:val="22"/>
          <w:szCs w:val="22"/>
        </w:rPr>
        <w:t xml:space="preserve">The following template is copied into the project as a fresh defect register at the start of each campaign; it doubles as the execution checklist. It is reproduced verbatim (repository paths retained) to make replication concrete.</w:t>
      </w:r>
    </w:p>
    <w:p>
      <w:pPr>
        <w:spacing w:after="20"/>
      </w:pPr>
      <w:r>
        <w:rPr>
          <w:rFonts w:ascii="Consolas" w:cs="Consolas" w:eastAsia="Consolas" w:hAnsi="Consolas"/>
          <w:sz w:val="18"/>
          <w:szCs w:val="18"/>
        </w:rPr>
        <w:t xml:space="preserve"># Crucible N — &lt;date&gt;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Define</w:t>
      </w:r>
    </w:p>
    <w:p>
      <w:pPr>
        <w:spacing w:after="20"/>
      </w:pPr>
      <w:r>
        <w:rPr>
          <w:rFonts w:ascii="Consolas" w:cs="Consolas" w:eastAsia="Consolas" w:hAnsi="Consolas"/>
          <w:sz w:val="18"/>
          <w:szCs w:val="18"/>
        </w:rPr>
        <w:t xml:space="preserve">- Scope: everything shipped since v&lt;last-campaign-release&gt; — list each feature/version</w:t>
      </w:r>
    </w:p>
    <w:p>
      <w:pPr>
        <w:spacing w:after="20"/>
      </w:pPr>
      <w:r>
        <w:rPr>
          <w:rFonts w:ascii="Consolas" w:cs="Consolas" w:eastAsia="Consolas" w:hAnsi="Consolas"/>
          <w:sz w:val="18"/>
          <w:szCs w:val="18"/>
        </w:rPr>
        <w:t xml:space="preserve">- Instrument: seed vN stress fixture + adversarial probes</w:t>
      </w:r>
    </w:p>
    <w:p>
      <w:pPr>
        <w:spacing w:after="20"/>
      </w:pPr>
      <w:r>
        <w:rPr>
          <w:rFonts w:ascii="Consolas" w:cs="Consolas" w:eastAsia="Consolas" w:hAnsi="Consolas"/>
          <w:sz w:val="18"/>
          <w:szCs w:val="18"/>
        </w:rPr>
        <w:t xml:space="preserve">- Out of scope / cosmetic → notes backlog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Measure</w:t>
      </w:r>
    </w:p>
    <w:p>
      <w:pPr>
        <w:spacing w:after="20"/>
      </w:pPr>
      <w:r>
        <w:rPr>
          <w:rFonts w:ascii="Consolas" w:cs="Consolas" w:eastAsia="Consolas" w:hAnsi="Consolas"/>
          <w:sz w:val="18"/>
          <w:szCs w:val="18"/>
        </w:rPr>
        <w:t xml:space="preserve">[ ] Baseline: full suite green (record count)</w:t>
      </w:r>
    </w:p>
    <w:p>
      <w:pPr>
        <w:spacing w:after="20"/>
      </w:pPr>
      <w:r>
        <w:rPr>
          <w:rFonts w:ascii="Consolas" w:cs="Consolas" w:eastAsia="Consolas" w:hAnsi="Consolas"/>
          <w:sz w:val="18"/>
          <w:szCs w:val="18"/>
        </w:rPr>
        <w:t xml:space="preserve">[ ] Adversarial probes on new pure modules (scratchpad script):</w:t>
      </w:r>
    </w:p>
    <w:p>
      <w:pPr>
        <w:spacing w:after="20"/>
      </w:pPr>
      <w:r>
        <w:rPr>
          <w:rFonts w:ascii="Consolas" w:cs="Consolas" w:eastAsia="Consolas" w:hAnsi="Consolas"/>
          <w:sz w:val="18"/>
          <w:szCs w:val="18"/>
        </w:rPr>
        <w:t xml:space="preserve">    [ ] impossible values · boundaries · injection strings · unicode · structural abuse</w:t>
      </w:r>
    </w:p>
    <w:p>
      <w:pPr>
        <w:spacing w:after="20"/>
      </w:pPr>
      <w:r>
        <w:rPr>
          <w:rFonts w:ascii="Consolas" w:cs="Consolas" w:eastAsia="Consolas" w:hAnsi="Consolas"/>
          <w:sz w:val="18"/>
          <w:szCs w:val="18"/>
        </w:rPr>
        <w:t xml:space="preserve">    [ ] interplay pass: for every accepted-garbage finding, trace who reads it</w:t>
      </w:r>
    </w:p>
    <w:p>
      <w:pPr>
        <w:spacing w:after="20"/>
      </w:pPr>
      <w:r>
        <w:rPr>
          <w:rFonts w:ascii="Consolas" w:cs="Consolas" w:eastAsia="Consolas" w:hAnsi="Consolas"/>
          <w:sz w:val="18"/>
          <w:szCs w:val="18"/>
        </w:rPr>
        <w:t xml:space="preserve">[ ] Seed → live driver sweep of the running application:</w:t>
      </w:r>
    </w:p>
    <w:p>
      <w:pPr>
        <w:spacing w:after="20"/>
      </w:pPr>
      <w:r>
        <w:rPr>
          <w:rFonts w:ascii="Consolas" w:cs="Consolas" w:eastAsia="Consolas" w:hAnsi="Consolas"/>
          <w:sz w:val="18"/>
          <w:szCs w:val="18"/>
        </w:rPr>
        <w:t xml:space="preserve">    [ ] close the installed app first (single-instance lock), relaunch after</w:t>
      </w:r>
    </w:p>
    <w:p>
      <w:pPr>
        <w:spacing w:after="20"/>
      </w:pPr>
      <w:r>
        <w:rPr>
          <w:rFonts w:ascii="Consolas" w:cs="Consolas" w:eastAsia="Consolas" w:hAnsi="Consolas"/>
          <w:sz w:val="18"/>
          <w:szCs w:val="18"/>
        </w:rPr>
        <w:t xml:space="preserve">    [ ] every in-scope surface: screenshot + XSS canary title check</w:t>
      </w:r>
    </w:p>
    <w:p>
      <w:pPr>
        <w:spacing w:after="20"/>
      </w:pPr>
      <w:r>
        <w:rPr>
          <w:rFonts w:ascii="Consolas" w:cs="Consolas" w:eastAsia="Consolas" w:hAnsi="Consolas"/>
          <w:sz w:val="18"/>
          <w:szCs w:val="18"/>
        </w:rPr>
        <w:t xml:space="preserve">    [ ] hostile commits through real IPC → inspect what landed in the store</w:t>
      </w:r>
    </w:p>
    <w:p>
      <w:pPr>
        <w:spacing w:after="20"/>
      </w:pPr>
      <w:r>
        <w:rPr>
          <w:rFonts w:ascii="Consolas" w:cs="Consolas" w:eastAsia="Consolas" w:hAnsi="Consolas"/>
          <w:sz w:val="18"/>
          <w:szCs w:val="18"/>
        </w:rPr>
        <w:t xml:space="preserve">    [ ] re-seed when done (test pollution)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Defects (Analyze — RCA required before a row lands here)</w:t>
      </w:r>
    </w:p>
    <w:p>
      <w:pPr>
        <w:spacing w:after="20"/>
      </w:pPr>
      <w:r>
        <w:rPr>
          <w:rFonts w:ascii="Consolas" w:cs="Consolas" w:eastAsia="Consolas" w:hAnsi="Consolas"/>
          <w:sz w:val="18"/>
          <w:szCs w:val="18"/>
        </w:rPr>
        <w:t xml:space="preserve">| ID | Sev | Surface | Defect (root cause) | Verified how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Verified clean</w:t>
      </w:r>
    </w:p>
    <w:p>
      <w:pPr>
        <w:spacing w:after="20"/>
      </w:pPr>
      <w:r>
        <w:rPr>
          <w:rFonts w:ascii="Consolas" w:cs="Consolas" w:eastAsia="Consolas" w:hAnsi="Consolas"/>
          <w:sz w:val="18"/>
          <w:szCs w:val="18"/>
        </w:rPr>
        <w:t xml:space="preserve">- (everything attacked that held — as valuable as the defect list)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Improve — fix clusters (PDCA)</w:t>
      </w:r>
    </w:p>
    <w:p>
      <w:pPr>
        <w:spacing w:after="20"/>
      </w:pPr>
      <w:r>
        <w:rPr>
          <w:rFonts w:ascii="Consolas" w:cs="Consolas" w:eastAsia="Consolas" w:hAnsi="Consolas"/>
          <w:sz w:val="18"/>
          <w:szCs w:val="18"/>
        </w:rPr>
        <w:t xml:space="preserve">| Cluster | Defects | Fix | PR | Checked by |</w:t>
      </w:r>
    </w:p>
    <w:p>
      <w:pPr>
        <w:spacing w:after="20"/>
      </w:pPr>
      <w:r>
        <w:rPr>
          <w:rFonts w:ascii="Consolas" w:cs="Consolas" w:eastAsia="Consolas" w:hAnsi="Consolas"/>
          <w:sz w:val="18"/>
          <w:szCs w:val="18"/>
        </w:rPr>
        <w:t xml:space="preserve">  (checked by: original probe re-run + suite + live pass)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Control — close-out</w:t>
      </w:r>
    </w:p>
    <w:p>
      <w:pPr>
        <w:spacing w:after="20"/>
      </w:pPr>
      <w:r>
        <w:rPr>
          <w:rFonts w:ascii="Consolas" w:cs="Consolas" w:eastAsia="Consolas" w:hAnsi="Consolas"/>
          <w:sz w:val="18"/>
          <w:szCs w:val="18"/>
        </w:rPr>
        <w:t xml:space="preserve">[ ] All register rows fixed or explicitly deferred (with reason)</w:t>
      </w:r>
    </w:p>
    <w:p>
      <w:pPr>
        <w:spacing w:after="20"/>
      </w:pPr>
      <w:r>
        <w:rPr>
          <w:rFonts w:ascii="Consolas" w:cs="Consolas" w:eastAsia="Consolas" w:hAnsi="Consolas"/>
          <w:sz w:val="18"/>
          <w:szCs w:val="18"/>
        </w:rPr>
        <w:t xml:space="preserve">[ ] Regression test per defect (rejection + adjacent legal behavior)</w:t>
      </w:r>
    </w:p>
    <w:p>
      <w:pPr>
        <w:spacing w:after="20"/>
      </w:pPr>
      <w:r>
        <w:rPr>
          <w:rFonts w:ascii="Consolas" w:cs="Consolas" w:eastAsia="Consolas" w:hAnsi="Consolas"/>
          <w:sz w:val="18"/>
          <w:szCs w:val="18"/>
        </w:rPr>
        <w:t xml:space="preserve">[ ] Release cut: v___</w:t>
      </w:r>
    </w:p>
    <w:p>
      <w:pPr>
        <w:spacing w:after="20"/>
      </w:pPr>
      <w:r>
        <w:rPr>
          <w:rFonts w:ascii="Consolas" w:cs="Consolas" w:eastAsia="Consolas" w:hAnsi="Consolas"/>
          <w:sz w:val="18"/>
          <w:szCs w:val="18"/>
        </w:rPr>
        <w:t xml:space="preserve">[ ] Lessons made permanent: engineering-guide gotcha / seed probe / test oracle</w:t>
      </w:r>
    </w:p>
    <w:p>
      <w:pPr>
        <w:spacing w:after="20"/>
      </w:pPr>
      <w:r>
        <w:rPr>
          <w:rFonts w:ascii="Consolas" w:cs="Consolas" w:eastAsia="Consolas" w:hAnsi="Consolas"/>
          <w:sz w:val="18"/>
          <w:szCs w:val="18"/>
        </w:rPr>
        <w:t xml:space="preserve">[ ] Crucible history table updated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2026-07-17T06:48:55.421Z</dcterms:created>
  <dcterms:modified xsi:type="dcterms:W3CDTF">2026-07-17T06:48:55.422Z</dcterms:modified>
</cp:coreProperties>
</file>

<file path=docProps/custom.xml><?xml version="1.0" encoding="utf-8"?>
<Properties xmlns="http://schemas.openxmlformats.org/officeDocument/2006/custom-properties" xmlns:vt="http://schemas.openxmlformats.org/officeDocument/2006/docPropsVTypes"/>
</file>