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B501C">
      <w:pPr>
        <w:pStyle w:val="3"/>
        <w:keepNext w:val="0"/>
        <w:keepLines w:val="0"/>
        <w:widowControl/>
        <w:suppressLineNumbers w:val="0"/>
        <w:shd w:val="clear" w:fill="FFFFFF"/>
        <w:spacing w:before="300" w:beforeAutospacing="0" w:line="480" w:lineRule="atLeast"/>
        <w:ind w:left="0" w:firstLine="0"/>
        <w:rPr>
          <w:rFonts w:ascii="Arial" w:hAnsi="Arial" w:cs="Arial"/>
          <w:b/>
          <w:bCs/>
          <w:i w:val="0"/>
          <w:iCs w:val="0"/>
          <w:caps w:val="0"/>
          <w:color w:val="676A6C"/>
          <w:spacing w:val="0"/>
          <w:sz w:val="42"/>
          <w:szCs w:val="42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676A6C"/>
          <w:spacing w:val="0"/>
          <w:sz w:val="42"/>
          <w:szCs w:val="42"/>
          <w:shd w:val="clear" w:fill="FFFFFF"/>
        </w:rPr>
        <w:t>Customer Convenience</w:t>
      </w:r>
    </w:p>
    <w:p w14:paraId="53FE87EA">
      <w:pPr>
        <w:pStyle w:val="2"/>
        <w:keepNext w:val="0"/>
        <w:keepLines w:val="0"/>
        <w:widowControl/>
        <w:suppressLineNumbers w:val="0"/>
        <w:pBdr>
          <w:left w:val="single" w:color="0F73A5" w:sz="24" w:space="7"/>
          <w:bottom w:val="none" w:color="auto" w:sz="0" w:space="0"/>
        </w:pBdr>
        <w:shd w:val="clear" w:fill="FFFFFF"/>
        <w:spacing w:before="300" w:beforeAutospacing="0" w:after="450" w:afterAutospacing="0" w:line="600" w:lineRule="atLeast"/>
        <w:ind w:lef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363636"/>
          <w:spacing w:val="0"/>
          <w:sz w:val="54"/>
          <w:szCs w:val="54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053D6E"/>
          <w:spacing w:val="0"/>
          <w:sz w:val="54"/>
          <w:szCs w:val="54"/>
          <w:bdr w:val="none" w:color="auto" w:sz="0" w:space="0"/>
          <w:shd w:val="clear" w:fill="FFFFFF"/>
        </w:rPr>
        <w:t>Rakyat Care Bank Rakyat - Frequently Asked Questions</w:t>
      </w:r>
    </w:p>
    <w:p w14:paraId="3E496873">
      <w:pPr>
        <w:pStyle w:val="3"/>
        <w:keepNext w:val="0"/>
        <w:keepLines w:val="0"/>
        <w:widowControl/>
        <w:suppressLineNumbers w:val="0"/>
        <w:spacing w:before="600" w:beforeAutospacing="0" w:after="420" w:afterAutospacing="0" w:line="480" w:lineRule="atLeast"/>
        <w:ind w:left="0" w:right="0"/>
        <w:rPr>
          <w:rFonts w:hint="default" w:ascii="Arial" w:hAnsi="Arial" w:cs="Arial"/>
          <w:b/>
          <w:bCs/>
          <w:i w:val="0"/>
          <w:iCs w:val="0"/>
          <w:color w:val="676A6C"/>
          <w:sz w:val="42"/>
          <w:szCs w:val="42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676A6C"/>
          <w:spacing w:val="0"/>
          <w:sz w:val="42"/>
          <w:szCs w:val="42"/>
          <w:shd w:val="clear" w:fill="FFFFFF"/>
        </w:rPr>
        <w:t>Frequently Asked Questions - How can I become a Rakyat CARE Bank Rakyat?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676A6C"/>
          <w:spacing w:val="0"/>
          <w:sz w:val="42"/>
          <w:szCs w:val="42"/>
          <w:shd w:val="clear" w:fill="FFFFFF"/>
        </w:rPr>
        <w:br w:type="textWrapping"/>
      </w:r>
    </w:p>
    <w:p w14:paraId="1D3CD32E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b w:val="0"/>
          <w:bCs w:val="0"/>
          <w:color w:val="626262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626262"/>
          <w:spacing w:val="0"/>
          <w:sz w:val="21"/>
          <w:szCs w:val="21"/>
          <w:shd w:val="clear" w:fill="FFFFFF"/>
        </w:rPr>
        <w:t>1. What are the eligibility requirements for Rakyat CARE Bank Rakyat?</w:t>
      </w:r>
    </w:p>
    <w:p w14:paraId="2DAD2C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Having a valid business license/permit/registration issued by the Companies Commission of Malaysia (SSM) or Local Authorities (PBT).</w:t>
      </w:r>
    </w:p>
    <w:p w14:paraId="4F35E7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Having a permanent business premise.</w:t>
      </w:r>
    </w:p>
    <w:p w14:paraId="298C97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Having an advanced business and having operated the business for 2 years.</w:t>
      </w:r>
    </w:p>
    <w:p w14:paraId="1331A7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The business activities conducted are not contrary to Shariah.</w:t>
      </w:r>
    </w:p>
    <w:p w14:paraId="4DCB72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The business premise area must have wide coverage of internet connection.</w:t>
      </w:r>
    </w:p>
    <w:p w14:paraId="4F4769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Residents nearby or within 5km from other Rakyat CARE.</w:t>
      </w:r>
    </w:p>
    <w:p w14:paraId="438334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Operating hours must be a minimum of 5 days a week and 5 hours a day.</w:t>
      </w:r>
    </w:p>
    <w:p w14:paraId="0C4B17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Having good financial records.</w:t>
      </w:r>
    </w:p>
    <w:p w14:paraId="6A47C1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Not bankrupt.</w:t>
      </w:r>
    </w:p>
    <w:p w14:paraId="326C2FB6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b w:val="0"/>
          <w:bCs w:val="0"/>
          <w:color w:val="626262"/>
        </w:rPr>
      </w:pPr>
    </w:p>
    <w:p w14:paraId="06AE9609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b w:val="0"/>
          <w:bCs w:val="0"/>
          <w:color w:val="626262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626262"/>
          <w:spacing w:val="0"/>
          <w:sz w:val="21"/>
          <w:szCs w:val="21"/>
          <w:shd w:val="clear" w:fill="FFFFFF"/>
        </w:rPr>
        <w:t>2. What is the application procedure for Rakyat CARE?</w:t>
      </w:r>
    </w:p>
    <w:p w14:paraId="56ADC7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Applicants can apply to become agents by:</w:t>
      </w:r>
    </w:p>
    <w:p w14:paraId="2A37000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Visiting the nearest Bank Rakyat branch: Please fill in and submit the Rakyat CARE Application Form with relevant documents OR</w:t>
      </w:r>
    </w:p>
    <w:p w14:paraId="748F703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Contacting Bank Rakyat Call Centre: Provide agent information to Bank Rakyat Call Centre Officer.</w:t>
      </w:r>
    </w:p>
    <w:p w14:paraId="6488DA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The Bank processes the Rakyat CARE application.</w:t>
      </w:r>
    </w:p>
    <w:p w14:paraId="1BA7D4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The Bank contacts successful agents.</w:t>
      </w:r>
    </w:p>
    <w:p w14:paraId="1F478F7D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b w:val="0"/>
          <w:bCs w:val="0"/>
          <w:color w:val="626262"/>
        </w:rPr>
      </w:pPr>
    </w:p>
    <w:p w14:paraId="6A5C9DF4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b w:val="0"/>
          <w:bCs w:val="0"/>
          <w:color w:val="626262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626262"/>
          <w:spacing w:val="0"/>
          <w:sz w:val="21"/>
          <w:szCs w:val="21"/>
          <w:shd w:val="clear" w:fill="FFFFFF"/>
        </w:rPr>
        <w:t>3. What documents need to be prepared by the applicant?</w:t>
      </w:r>
    </w:p>
    <w:p w14:paraId="6B480D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Copy of applicant's MyKAD.</w:t>
      </w:r>
    </w:p>
    <w:p w14:paraId="3C2BE8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Copy of Business License.</w:t>
      </w:r>
    </w:p>
    <w:p w14:paraId="1EB310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Cooperative/Company Profile (if any).</w:t>
      </w:r>
    </w:p>
    <w:p w14:paraId="175013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Latest Financial Report and;</w:t>
      </w:r>
    </w:p>
    <w:p w14:paraId="03A5CA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Additional Documents:</w:t>
      </w:r>
    </w:p>
    <w:p w14:paraId="656AD4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If Partnership</w:t>
      </w:r>
    </w:p>
    <w:p w14:paraId="241B20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Rakyat Kongsi Permission Letter</w:t>
      </w:r>
    </w:p>
    <w:p w14:paraId="4AC218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If Cooperative</w:t>
      </w:r>
    </w:p>
    <w:p w14:paraId="79F6BC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Small Laws (Cooperative)</w:t>
      </w:r>
    </w:p>
    <w:p w14:paraId="473D50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If Private Limited Company</w:t>
      </w:r>
    </w:p>
    <w:p w14:paraId="73326C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Form 24 (certified copy)</w:t>
      </w:r>
    </w:p>
    <w:p w14:paraId="3D0515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Form 49 (certified copy)</w:t>
      </w:r>
    </w:p>
    <w:p w14:paraId="15FA58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sans-serif" w:cs="Arial"/>
          <w:i w:val="0"/>
          <w:iCs w:val="0"/>
          <w:caps w:val="0"/>
          <w:color w:val="626262"/>
          <w:spacing w:val="0"/>
          <w:sz w:val="21"/>
          <w:szCs w:val="21"/>
          <w:bdr w:val="none" w:color="auto" w:sz="0" w:space="0"/>
          <w:shd w:val="clear" w:fill="FFFFFF"/>
        </w:rPr>
        <w:t>Memorandum &amp; Articles (certified copy)</w:t>
      </w:r>
    </w:p>
    <w:p w14:paraId="36C6B8E0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b w:val="0"/>
          <w:bCs w:val="0"/>
          <w:color w:val="626262"/>
        </w:rPr>
      </w:pPr>
    </w:p>
    <w:p w14:paraId="2C5DF695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b w:val="0"/>
          <w:bCs w:val="0"/>
          <w:color w:val="626262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626262"/>
          <w:spacing w:val="0"/>
          <w:sz w:val="21"/>
          <w:szCs w:val="21"/>
          <w:shd w:val="clear" w:fill="FFFFFF"/>
        </w:rPr>
        <w:t>For any enquiries, please visit the nearest branch or call our Contact Centre tele-Rakyat at 1-300-80-5454.</w:t>
      </w:r>
    </w:p>
    <w:p w14:paraId="30289BC8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b w:val="0"/>
          <w:bCs w:val="0"/>
          <w:color w:val="626262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626262"/>
          <w:spacing w:val="0"/>
          <w:sz w:val="21"/>
          <w:szCs w:val="21"/>
          <w:shd w:val="clear" w:fill="FFFFFF"/>
        </w:rPr>
        <w:t>*Terms and conditions apply.</w:t>
      </w:r>
    </w:p>
    <w:p w14:paraId="0ACAE6A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E9057D"/>
    <w:multiLevelType w:val="multilevel"/>
    <w:tmpl w:val="D9E90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8B64AE2"/>
    <w:multiLevelType w:val="multilevel"/>
    <w:tmpl w:val="18B64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7CAFC8E"/>
    <w:multiLevelType w:val="multilevel"/>
    <w:tmpl w:val="27CAF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83BA2"/>
    <w:rsid w:val="7EA8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2025-09-04T11:14:00Z</dcterms:created>
  <dc:creator>syed.tajamul</dc:creator>
  <cp:lastModifiedBy>Syed Tajamul Shah</cp:lastModifiedBy>
  <dcterms:modified xsi:type="dcterms:W3CDTF">2025-09-04T11:17:43Z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05505C7836C34FEA95DBEECFABD9D3AE_11</vt:lpwstr>
  </property>
</Properties>
</file>