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A4EC0">
      <w:pPr>
        <w:pStyle w:val="4"/>
        <w:spacing w:before="0" w:after="0" w:line="360" w:lineRule="auto"/>
        <w:jc w:val="left"/>
        <w:rPr>
          <w:rFonts w:ascii="Times New Roman" w:hAnsi="Times New Roman" w:eastAsia="仿宋_GB2312"/>
          <w:caps w:val="0"/>
          <w:smallCaps w:val="0"/>
          <w:color w:val="auto"/>
        </w:rPr>
      </w:pPr>
      <w:r>
        <w:rPr>
          <w:rFonts w:ascii="Times New Roman" w:hAnsi="Times New Roman" w:eastAsia="仿宋_GB2312"/>
          <w:caps w:val="0"/>
          <w:smallCaps w:val="0"/>
          <w:color w:val="auto"/>
        </w:rPr>
        <w:t xml:space="preserve">附件2  </w:t>
      </w:r>
      <w:r>
        <w:rPr>
          <w:rFonts w:hint="eastAsia" w:ascii="Times New Roman" w:hAnsi="Times New Roman" w:eastAsia="仿宋_GB2312"/>
          <w:caps w:val="0"/>
          <w:smallCaps w:val="0"/>
          <w:color w:val="auto"/>
          <w:lang w:val="en-US"/>
        </w:rPr>
        <w:t>凤凰谷公司</w:t>
      </w:r>
      <w:r>
        <w:rPr>
          <w:rFonts w:ascii="Times New Roman" w:hAnsi="Times New Roman" w:eastAsia="仿宋_GB2312"/>
          <w:caps w:val="0"/>
          <w:smallCaps w:val="0"/>
          <w:color w:val="auto"/>
        </w:rPr>
        <w:t>现场</w:t>
      </w:r>
      <w:r>
        <w:rPr>
          <w:rFonts w:hint="eastAsia" w:ascii="Times New Roman" w:hAnsi="Times New Roman" w:eastAsia="仿宋_GB2312"/>
          <w:caps w:val="0"/>
          <w:smallCaps w:val="0"/>
          <w:color w:val="auto"/>
        </w:rPr>
        <w:t>评审</w:t>
      </w:r>
      <w:r>
        <w:rPr>
          <w:rFonts w:ascii="Times New Roman" w:hAnsi="Times New Roman" w:eastAsia="仿宋_GB2312"/>
          <w:caps w:val="0"/>
          <w:smallCaps w:val="0"/>
          <w:color w:val="auto"/>
        </w:rPr>
        <w:t>分工表</w:t>
      </w:r>
    </w:p>
    <w:tbl>
      <w:tblPr>
        <w:tblStyle w:val="7"/>
        <w:tblW w:w="765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982"/>
        <w:gridCol w:w="4363"/>
        <w:gridCol w:w="1661"/>
      </w:tblGrid>
      <w:tr w14:paraId="124299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646" w:type="dxa"/>
            <w:noWrap/>
            <w:vAlign w:val="center"/>
          </w:tcPr>
          <w:p w14:paraId="5D7E9CAC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default" w:ascii="Times New Roman" w:hAnsi="Times New Roman" w:eastAsia="仿宋_GB2312"/>
                <w:b/>
                <w:cap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/>
                <w:caps w:val="0"/>
                <w:smallCaps w:val="0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982" w:type="dxa"/>
            <w:noWrap/>
            <w:vAlign w:val="center"/>
          </w:tcPr>
          <w:p w14:paraId="2FE4FE57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default" w:ascii="Times New Roman" w:hAnsi="Times New Roman" w:eastAsia="仿宋_GB2312"/>
                <w:b/>
                <w:cap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/>
                <w:caps w:val="0"/>
                <w:smallCaps w:val="0"/>
                <w:color w:val="000000"/>
                <w:sz w:val="21"/>
                <w:szCs w:val="21"/>
              </w:rPr>
              <w:t>姓 名</w:t>
            </w:r>
          </w:p>
        </w:tc>
        <w:tc>
          <w:tcPr>
            <w:tcW w:w="4363" w:type="dxa"/>
            <w:noWrap/>
            <w:vAlign w:val="center"/>
          </w:tcPr>
          <w:p w14:paraId="19D37BD7">
            <w:pPr>
              <w:tabs>
                <w:tab w:val="left" w:pos="2220"/>
              </w:tabs>
              <w:ind w:right="-120" w:rightChars="-50"/>
              <w:jc w:val="center"/>
              <w:rPr>
                <w:rFonts w:hint="default" w:ascii="Times New Roman" w:hAnsi="Times New Roman" w:eastAsia="仿宋_GB2312"/>
                <w:b/>
                <w:cap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/>
                <w:caps w:val="0"/>
                <w:smallCaps w:val="0"/>
                <w:color w:val="000000"/>
                <w:sz w:val="21"/>
                <w:szCs w:val="21"/>
              </w:rPr>
              <w:t>现场评审分工</w:t>
            </w:r>
          </w:p>
        </w:tc>
        <w:tc>
          <w:tcPr>
            <w:tcW w:w="1661" w:type="dxa"/>
            <w:noWrap/>
            <w:vAlign w:val="center"/>
          </w:tcPr>
          <w:p w14:paraId="4A822E1C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/>
                <w:caps w:val="0"/>
                <w:smallCaps w:val="0"/>
                <w:color w:val="000000"/>
                <w:sz w:val="21"/>
                <w:szCs w:val="21"/>
              </w:rPr>
              <w:t>签字</w:t>
            </w:r>
          </w:p>
        </w:tc>
      </w:tr>
      <w:tr w14:paraId="5BFCE8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6" w:type="dxa"/>
            <w:noWrap/>
            <w:vAlign w:val="center"/>
          </w:tcPr>
          <w:p w14:paraId="65510004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default"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982" w:type="dxa"/>
            <w:noWrap/>
            <w:vAlign w:val="center"/>
          </w:tcPr>
          <w:p w14:paraId="0198BF5B">
            <w:pPr>
              <w:snapToGrid w:val="0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邓丹平</w:t>
            </w:r>
          </w:p>
        </w:tc>
        <w:tc>
          <w:tcPr>
            <w:tcW w:w="4363" w:type="dxa"/>
            <w:noWrap/>
            <w:vAlign w:val="center"/>
          </w:tcPr>
          <w:p w14:paraId="2D0CCDD9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5.4.1.12设备设施保护</w:t>
            </w:r>
          </w:p>
          <w:p w14:paraId="653F2EDC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5.4.1.13.2电气二次设备及系统</w:t>
            </w:r>
          </w:p>
          <w:p w14:paraId="4CD3E6AD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5.4.1.13.3热控、自动化设备及计算机监控系统</w:t>
            </w:r>
          </w:p>
          <w:p w14:paraId="1078159D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5.4.1.13.8环保设备及系统</w:t>
            </w:r>
          </w:p>
          <w:p w14:paraId="6A5E6C70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5.4.1.13.9信息网络设备及系统</w:t>
            </w:r>
          </w:p>
          <w:p w14:paraId="55C2B7F4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5.4.1.14.1电气设备及系统风险控制</w:t>
            </w:r>
          </w:p>
          <w:p w14:paraId="4EC2C598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5.4.1.14.2热控、自动化设备及系统风险控制</w:t>
            </w:r>
          </w:p>
        </w:tc>
        <w:tc>
          <w:tcPr>
            <w:tcW w:w="1661" w:type="dxa"/>
            <w:noWrap/>
            <w:vAlign w:val="center"/>
          </w:tcPr>
          <w:p w14:paraId="650E1981">
            <w:pPr>
              <w:widowControl/>
              <w:adjustRightInd w:val="0"/>
              <w:snapToGrid w:val="0"/>
              <w:spacing w:beforeLines="15" w:afterLines="15"/>
              <w:jc w:val="center"/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 w:cs="宋体"/>
                <w:caps w:val="0"/>
                <w:smallCaps w:val="0"/>
                <w:kern w:val="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仿宋_GB2312" w:cs="宋体"/>
                <w:caps w:val="0"/>
                <w:smallCaps w:val="0"/>
                <w:kern w:val="0"/>
                <w:sz w:val="24"/>
                <w:szCs w:val="24"/>
              </w:rPr>
              <w:instrText xml:space="preserve"> INCLUDEPICTURE "C:\\Users\\Administrator\\AppData\\Roaming\\Tencent\\Users\\26416152\\QQ\\WinTemp\\RichOle\\QAKIH4LQAA7}7}R12KWZ}`0.png" \* MERGEFORMATINET </w:instrText>
            </w:r>
            <w:r>
              <w:rPr>
                <w:rFonts w:ascii="Times New Roman" w:hAnsi="Times New Roman" w:eastAsia="仿宋_GB2312" w:cs="宋体"/>
                <w:caps w:val="0"/>
                <w:smallCaps w:val="0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eastAsia="仿宋_GB2312" w:cs="宋体"/>
                <w:caps w:val="0"/>
                <w:smallCaps w:val="0"/>
                <w:kern w:val="0"/>
                <w:sz w:val="24"/>
                <w:szCs w:val="24"/>
              </w:rPr>
              <w:drawing>
                <wp:inline distT="0" distB="0" distL="114300" distR="114300">
                  <wp:extent cx="799465" cy="440055"/>
                  <wp:effectExtent l="0" t="0" r="635" b="17145"/>
                  <wp:docPr id="13" name="图片 13" descr="QAKIH4LQAA7}7}R12KWZ}`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QAKIH4LQAA7}7}R12KWZ}`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465" cy="44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仿宋_GB2312" w:cs="宋体"/>
                <w:caps w:val="0"/>
                <w:smallCaps w:val="0"/>
                <w:kern w:val="0"/>
                <w:sz w:val="24"/>
                <w:szCs w:val="24"/>
              </w:rPr>
              <w:fldChar w:fldCharType="end"/>
            </w:r>
          </w:p>
        </w:tc>
      </w:tr>
      <w:tr w14:paraId="73011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6" w:type="dxa"/>
            <w:noWrap/>
            <w:vAlign w:val="center"/>
          </w:tcPr>
          <w:p w14:paraId="46449FED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default"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982" w:type="dxa"/>
            <w:noWrap/>
            <w:vAlign w:val="center"/>
          </w:tcPr>
          <w:p w14:paraId="57E18E64">
            <w:pPr>
              <w:snapToGrid w:val="0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潘登焰</w:t>
            </w:r>
          </w:p>
        </w:tc>
        <w:tc>
          <w:tcPr>
            <w:tcW w:w="4363" w:type="dxa"/>
            <w:noWrap/>
            <w:vAlign w:val="center"/>
          </w:tcPr>
          <w:p w14:paraId="58F0BD57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5.2制度化管理</w:t>
            </w:r>
          </w:p>
          <w:p w14:paraId="7AD09BE4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5.4.2作业安全</w:t>
            </w:r>
          </w:p>
          <w:p w14:paraId="051084D4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5.4.3职业健康</w:t>
            </w:r>
          </w:p>
          <w:p w14:paraId="41EB03DB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5.4.4警示标志</w:t>
            </w:r>
          </w:p>
          <w:p w14:paraId="13A5DFC9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5.5安全风险管控及隐患排查治理</w:t>
            </w:r>
          </w:p>
        </w:tc>
        <w:tc>
          <w:tcPr>
            <w:tcW w:w="1661" w:type="dxa"/>
            <w:noWrap/>
            <w:vAlign w:val="center"/>
          </w:tcPr>
          <w:p w14:paraId="48DE1D4C">
            <w:pPr>
              <w:widowControl/>
              <w:adjustRightInd w:val="0"/>
              <w:snapToGrid w:val="0"/>
              <w:spacing w:beforeLines="15" w:afterLines="15"/>
              <w:jc w:val="center"/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 w:cs="宋体"/>
                <w:caps w:val="0"/>
                <w:smallCaps w:val="0"/>
                <w:sz w:val="24"/>
                <w:szCs w:val="24"/>
              </w:rPr>
              <w:drawing>
                <wp:inline distT="0" distB="0" distL="114300" distR="114300">
                  <wp:extent cx="813435" cy="480695"/>
                  <wp:effectExtent l="0" t="0" r="5715" b="14605"/>
                  <wp:docPr id="14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48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445A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6" w:type="dxa"/>
            <w:noWrap/>
            <w:vAlign w:val="center"/>
          </w:tcPr>
          <w:p w14:paraId="658271F2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default"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982" w:type="dxa"/>
            <w:noWrap/>
            <w:vAlign w:val="center"/>
          </w:tcPr>
          <w:p w14:paraId="71B0C144">
            <w:pPr>
              <w:snapToGrid w:val="0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  <w:sz w:val="21"/>
                <w:szCs w:val="21"/>
              </w:rPr>
              <w:t>罗振中</w:t>
            </w:r>
          </w:p>
        </w:tc>
        <w:tc>
          <w:tcPr>
            <w:tcW w:w="4363" w:type="dxa"/>
            <w:noWrap/>
            <w:vAlign w:val="center"/>
          </w:tcPr>
          <w:p w14:paraId="40397F26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5.4.1设备设施管理：5.4.1.1-5.4.1.11</w:t>
            </w:r>
          </w:p>
          <w:p w14:paraId="76C6681A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5.4.1.14.6大坝风险控制</w:t>
            </w:r>
          </w:p>
          <w:p w14:paraId="36D99A1E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5.4.1.14.8其他设备及系统风险控制</w:t>
            </w:r>
          </w:p>
          <w:p w14:paraId="5A356154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5.4.1.15设备设施防汛防灾</w:t>
            </w:r>
          </w:p>
        </w:tc>
        <w:tc>
          <w:tcPr>
            <w:tcW w:w="1661" w:type="dxa"/>
            <w:noWrap/>
            <w:vAlign w:val="center"/>
          </w:tcPr>
          <w:p w14:paraId="1EA361DA">
            <w:pPr>
              <w:widowControl/>
              <w:adjustRightInd w:val="0"/>
              <w:snapToGrid w:val="0"/>
              <w:spacing w:beforeLines="15" w:afterLines="15"/>
              <w:jc w:val="center"/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caps w:val="0"/>
                <w:smallCaps w:val="0"/>
              </w:rPr>
              <w:drawing>
                <wp:inline distT="0" distB="0" distL="114300" distR="114300">
                  <wp:extent cx="908050" cy="461645"/>
                  <wp:effectExtent l="0" t="0" r="6350" b="14605"/>
                  <wp:docPr id="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lum bright="-18000" contrast="3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050" cy="46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E142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6" w:type="dxa"/>
            <w:noWrap/>
            <w:vAlign w:val="center"/>
          </w:tcPr>
          <w:p w14:paraId="3F6A5B26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eastAsia"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bCs/>
                <w:caps w:val="0"/>
                <w:smallCaps w:val="0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982" w:type="dxa"/>
            <w:noWrap/>
            <w:vAlign w:val="center"/>
          </w:tcPr>
          <w:p w14:paraId="7DD399F7">
            <w:pPr>
              <w:snapToGrid w:val="0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aps w:val="0"/>
                <w:smallCaps w:val="0"/>
                <w:sz w:val="21"/>
                <w:szCs w:val="21"/>
                <w:lang w:val="en-US" w:eastAsia="zh-CN"/>
              </w:rPr>
              <w:t>胡云球</w:t>
            </w:r>
          </w:p>
        </w:tc>
        <w:tc>
          <w:tcPr>
            <w:tcW w:w="4363" w:type="dxa"/>
            <w:noWrap/>
            <w:vAlign w:val="center"/>
          </w:tcPr>
          <w:p w14:paraId="247355EC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5.1目标职责</w:t>
            </w:r>
          </w:p>
          <w:p w14:paraId="555DE46D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5.3教育培训</w:t>
            </w:r>
          </w:p>
          <w:p w14:paraId="7C649AEA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5.4.1.13.10水轮发电机组设备及系统</w:t>
            </w:r>
          </w:p>
          <w:p w14:paraId="0CE64FF8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5.4.1.13.11水电厂大坝及泄洪设施</w:t>
            </w:r>
          </w:p>
          <w:p w14:paraId="4F023DE0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5.4.1.13.12引水系统、发电厂房及尾水</w:t>
            </w:r>
          </w:p>
          <w:p w14:paraId="64B0D11A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5.4.1.13.13船闸、升船机等通航设施</w:t>
            </w:r>
          </w:p>
          <w:p w14:paraId="46E5E529">
            <w:pP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5.4.1.14.5水轮机组风险控制</w:t>
            </w:r>
          </w:p>
        </w:tc>
        <w:tc>
          <w:tcPr>
            <w:tcW w:w="1661" w:type="dxa"/>
            <w:noWrap/>
            <w:vAlign w:val="center"/>
          </w:tcPr>
          <w:p w14:paraId="7931A26F">
            <w:pPr>
              <w:widowControl/>
              <w:adjustRightInd w:val="0"/>
              <w:snapToGrid w:val="0"/>
              <w:spacing w:beforeLines="15" w:afterLines="15"/>
              <w:jc w:val="center"/>
              <w:rPr>
                <w:rFonts w:ascii="Times New Roman" w:hAnsi="Times New Roman" w:eastAsia="仿宋_GB2312"/>
                <w:caps w:val="0"/>
                <w:smallCaps w:val="0"/>
              </w:rPr>
            </w:pPr>
            <w:r>
              <w:drawing>
                <wp:inline distT="0" distB="0" distL="114300" distR="114300">
                  <wp:extent cx="915670" cy="527050"/>
                  <wp:effectExtent l="0" t="0" r="17780" b="6350"/>
                  <wp:docPr id="2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-30000" contrast="5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7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9A5E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6" w:type="dxa"/>
            <w:noWrap/>
            <w:vAlign w:val="center"/>
          </w:tcPr>
          <w:p w14:paraId="702D6967"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hint="eastAsia" w:ascii="Times New Roman" w:hAnsi="Times New Roman" w:eastAsia="仿宋_GB2312"/>
                <w:bCs/>
                <w:caps w:val="0"/>
                <w:smallCap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bCs/>
                <w:caps w:val="0"/>
                <w:smallCaps w:val="0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982" w:type="dxa"/>
            <w:noWrap/>
            <w:vAlign w:val="center"/>
          </w:tcPr>
          <w:p w14:paraId="7DBE01F2">
            <w:pPr>
              <w:snapToGrid w:val="0"/>
              <w:jc w:val="center"/>
              <w:rPr>
                <w:rFonts w:hint="default" w:ascii="Times New Roman" w:hAnsi="Times New Roman" w:eastAsia="仿宋_GB2312"/>
                <w:caps w:val="0"/>
                <w:smallCaps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aps w:val="0"/>
                <w:smallCaps w:val="0"/>
                <w:sz w:val="21"/>
                <w:szCs w:val="21"/>
                <w:lang w:val="en-US" w:eastAsia="zh-CN"/>
              </w:rPr>
              <w:t>张志坚</w:t>
            </w:r>
          </w:p>
        </w:tc>
        <w:tc>
          <w:tcPr>
            <w:tcW w:w="4363" w:type="dxa"/>
            <w:noWrap/>
            <w:vAlign w:val="center"/>
          </w:tcPr>
          <w:p w14:paraId="6B64B72D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5.4.1.13.1电气一次设备及系统</w:t>
            </w:r>
          </w:p>
          <w:p w14:paraId="2D1AF292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5.6应急管理</w:t>
            </w:r>
          </w:p>
          <w:p w14:paraId="295FD94F">
            <w:pPr>
              <w:rPr>
                <w:rFonts w:hint="default"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5.7事故管理</w:t>
            </w:r>
          </w:p>
          <w:p w14:paraId="7C733A4C">
            <w:pP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</w:pPr>
            <w:r>
              <w:rPr>
                <w:rFonts w:ascii="Times New Roman" w:hAnsi="Times New Roman" w:eastAsia="仿宋_GB2312"/>
                <w:bCs/>
                <w:caps w:val="0"/>
                <w:smallCaps w:val="0"/>
                <w:sz w:val="21"/>
                <w:szCs w:val="21"/>
              </w:rPr>
              <w:t>5.8持续改进</w:t>
            </w:r>
          </w:p>
        </w:tc>
        <w:tc>
          <w:tcPr>
            <w:tcW w:w="1661" w:type="dxa"/>
            <w:noWrap/>
            <w:vAlign w:val="center"/>
          </w:tcPr>
          <w:p w14:paraId="2423BC50">
            <w:pPr>
              <w:widowControl/>
              <w:adjustRightInd w:val="0"/>
              <w:snapToGrid w:val="0"/>
              <w:spacing w:beforeLines="15" w:afterLines="15"/>
              <w:jc w:val="center"/>
              <w:rPr>
                <w:rFonts w:ascii="Times New Roman" w:hAnsi="Times New Roman" w:eastAsia="仿宋_GB2312"/>
                <w:caps w:val="0"/>
                <w:smallCaps w:val="0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"C:\\Users\\Administrator\\AppData\\Roaming\\Tencent\\Users\\26416152\\QQ\\WinTemp\\RichOle\\08$LMU_APJD8F{IX7R%(0OM.png"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drawing>
                <wp:inline distT="0" distB="0" distL="114300" distR="114300">
                  <wp:extent cx="828675" cy="361950"/>
                  <wp:effectExtent l="0" t="0" r="9525" b="0"/>
                  <wp:docPr id="21" name="图片 1" descr="08$LMU_APJD8F{IX7R%(0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" descr="08$LMU_APJD8F{IX7R%(0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</w:tbl>
    <w:p w14:paraId="49104C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4103E"/>
    <w:rsid w:val="0264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hint="default" w:ascii="仿宋_GB2312" w:hAnsi="华文中宋" w:eastAsia="仿宋_GB2312"/>
      <w:b/>
      <w:sz w:val="32"/>
      <w:lang w:val="zh-CN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spacing w:after="120" w:line="240" w:lineRule="auto"/>
      <w:ind w:firstLine="420" w:firstLineChars="100"/>
    </w:pPr>
    <w:rPr>
      <w:szCs w:val="22"/>
    </w:rPr>
  </w:style>
  <w:style w:type="paragraph" w:styleId="3">
    <w:name w:val="Body Text"/>
    <w:basedOn w:val="1"/>
    <w:qFormat/>
    <w:uiPriority w:val="0"/>
    <w:pPr>
      <w:spacing w:line="240" w:lineRule="atLeast"/>
    </w:pPr>
    <w:rPr>
      <w:rFonts w:hint="default"/>
      <w:sz w:val="21"/>
    </w:rPr>
  </w:style>
  <w:style w:type="paragraph" w:styleId="5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2025-11-03T09:33:00Z</dcterms:created>
  <dc:creator>神仙？妖怪</dc:creator>
  <cp:lastModifiedBy>神仙？妖怪</cp:lastModifiedBy>
  <dcterms:modified xsi:type="dcterms:W3CDTF">2025-11-03T09:33:23Z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729581B268C644169DCAF5C6474A5340_11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