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jc w:val="center"/>
      </w:pPr>
      <w:r>
        <w:rPr>
          <w:b/>
        </w:rPr>
        <w:t>SLINK</w:t>
      </w:r>
    </w:p>
    <w:p>
      <w:pPr>
        <w:jc w:val="center"/>
      </w:pPr>
      <w:r>
        <w:rPr>
          <w:i/>
          <w:color w:val="5F6B73"/>
          <w:sz w:val="22"/>
        </w:rPr>
        <w:t>Shared Live Intelligence NetworK</w:t>
      </w:r>
    </w:p>
    <w:p>
      <w:pPr>
        <w:pStyle w:val="Title"/>
        <w:jc w:val="center"/>
      </w:pPr>
      <w:r>
        <w:t>API &amp; Data Terms of Service</w:t>
      </w:r>
    </w:p>
    <w:p>
      <w:pPr>
        <w:jc w:val="center"/>
      </w:pPr>
      <w:r>
        <w:rPr>
          <w:i/>
          <w:color w:val="5F6B73"/>
          <w:sz w:val="22"/>
        </w:rPr>
        <w:t>Scripts • Shared Services • Data Infrastructure</w:t>
      </w:r>
    </w:p>
    <w:p>
      <w:pPr>
        <w:spacing w:before="20" w:after="100"/>
        <w:pBdr>
          <w:bottom w:val="single" w:sz="8" w:space="1" w:color="245B78"/>
        </w:pBdr>
      </w:pPr>
    </w:p>
    <w:tbl>
      <w:tblPr>
        <w:tblW w:type="auto" w:w="0"/>
        <w:jc w:val="center"/>
        <w:tblLook w:firstColumn="1" w:firstRow="1" w:lastColumn="0" w:lastRow="0" w:noHBand="0" w:noVBand="1" w:val="04A0"/>
      </w:tblPr>
      <w:tblGrid>
        <w:gridCol w:w="10080"/>
      </w:tblGrid>
      <w:tr>
        <w:tc>
          <w:tcPr>
            <w:tcW w:type="dxa" w:w="10080"/>
            <w:shd w:fill="EAF1F5"/>
            <w:tcMar>
              <w:top w:w="140" w:type="dxa"/>
              <w:start w:w="160" w:type="dxa"/>
              <w:bottom w:w="140" w:type="dxa"/>
              <w:end w:w="160" w:type="dxa"/>
            </w:tcMar>
          </w:tcPr>
          <w:p>
            <w:r>
              <w:rPr>
                <w:b/>
                <w:color w:val="245B78"/>
              </w:rPr>
              <w:t>PLAIN-LANGUAGE SUMMARY</w:t>
            </w:r>
          </w:p>
          <w:p>
            <w:pPr>
              <w:spacing w:after="0"/>
            </w:pPr>
            <w:r>
              <w:t>These terms explain how SLINK tools use Torn API access, what information may be stored or shared, how shared API capacity supports faction services, and the additional rules that apply to API keys specifically purchased for automated public-data collection.</w:t>
            </w:r>
          </w:p>
        </w:tc>
      </w:tr>
    </w:tbl>
    <w:p/>
    <w:p>
      <w:r>
        <w:rPr>
          <w:b/>
        </w:rPr>
        <w:t xml:space="preserve">Operator: </w:t>
      </w:r>
      <w:r>
        <w:t>Considious [3853023]</w:t>
      </w:r>
      <w:r>
        <w:t xml:space="preserve">    |    </w:t>
      </w:r>
      <w:r>
        <w:rPr>
          <w:b/>
        </w:rPr>
        <w:t xml:space="preserve">Faction: </w:t>
      </w:r>
      <w:r>
        <w:t>[())))))] (“Slinky's”) [46978]</w:t>
      </w:r>
      <w:r>
        <w:t xml:space="preserve">    |    </w:t>
      </w:r>
      <w:r>
        <w:rPr>
          <w:b/>
        </w:rPr>
        <w:t xml:space="preserve">Last Updated: </w:t>
      </w:r>
      <w:r>
        <w:t>August 14, 2026</w:t>
      </w:r>
    </w:p>
    <w:p>
      <w:pPr>
        <w:pStyle w:val="Heading1"/>
      </w:pPr>
      <w:r>
        <w:t>1. Scope and Purpose</w:t>
      </w:r>
    </w:p>
    <w:p>
      <w:r>
        <w:t>These Terms apply to scripts, userscripts, shared services, databases, and related Torn tools operated by Considious [3853023] for Faction [())))))] (“Slinky's”) [46978] under the SLINK - Shared Live Intelligence NetworK - project.</w:t>
      </w:r>
    </w:p>
    <w:p>
      <w:r>
        <w:t>The tools are intended to improve faction coordination, reduce unnecessary duplicate API requests, provide useful shared intelligence, and support functions including ranked-war targeting, retaliation alerts, leveling, market monitoring, alerts, and statistical analysis.</w:t>
      </w:r>
    </w:p>
    <w:p>
      <w:r>
        <w:t>By providing an API key to a tool covered by these Terms, the user authorizes that tool to use the key and resulting API data only for the purposes disclosed by these Terms and by the specific tool.</w:t>
      </w:r>
    </w:p>
    <w:p>
      <w:pPr>
        <w:pStyle w:val="Heading1"/>
      </w:pPr>
      <w:r>
        <w:t>2. General API Policy</w:t>
      </w:r>
    </w:p>
    <w:p>
      <w:pPr>
        <w:pStyle w:val="ListBullet"/>
        <w:spacing w:after="40"/>
      </w:pPr>
      <w:r>
        <w:t>Torn passwords are never requested.</w:t>
      </w:r>
    </w:p>
    <w:p>
      <w:pPr>
        <w:pStyle w:val="ListBullet"/>
        <w:spacing w:after="40"/>
      </w:pPr>
      <w:r>
        <w:t>Ordinary user API keys are not remotely stored unless a specific tool clearly states otherwise and obtains authorization for that use.</w:t>
      </w:r>
    </w:p>
    <w:p>
      <w:pPr>
        <w:pStyle w:val="ListBullet"/>
        <w:spacing w:after="40"/>
      </w:pPr>
      <w:r>
        <w:t>A key may be stored locally in the user's browser or userscript environment so an installed tool can perform authorized Torn API requests.</w:t>
      </w:r>
    </w:p>
    <w:p>
      <w:pPr>
        <w:pStyle w:val="ListBullet"/>
        <w:spacing w:after="40"/>
      </w:pPr>
      <w:r>
        <w:t>A key may be transmitted temporarily when required for authentication or an authorized request without being persistently stored by the shared service.</w:t>
      </w:r>
    </w:p>
    <w:p>
      <w:pPr>
        <w:pStyle w:val="ListBullet"/>
        <w:spacing w:after="40"/>
      </w:pPr>
      <w:r>
        <w:t>API-derived information may be retained after the request that produced it when that information is part of the disclosed shared service.</w:t>
      </w:r>
    </w:p>
    <w:p>
      <w:pPr>
        <w:pStyle w:val="ListBullet"/>
        <w:spacing w:after="40"/>
      </w:pPr>
      <w:r>
        <w:t>The SLINK uses Limited Access as its standard general-purpose key level where required. Individual tools will request only the selections they need, and some tools may function with Minimal Access. Full Access is never required.</w:t>
      </w:r>
    </w:p>
    <w:p>
      <w:pPr>
        <w:pStyle w:val="ListBullet"/>
        <w:spacing w:after="40"/>
      </w:pPr>
      <w:r>
        <w:t>Purchased API keys are a separate category and are restricted to Public access as described later in these Terms.</w:t>
      </w:r>
    </w:p>
    <w:p>
      <w:pPr>
        <w:pStyle w:val="Heading1"/>
      </w:pPr>
      <w:r>
        <w:t>3. Shared Service Participation and API Contribution</w:t>
      </w:r>
    </w:p>
    <w:p>
      <w:r>
        <w:t>Some SLINK tools depend on shared information. Use of those tools may therefore require a minimal contribution of API capacity and/or observations to maintain the live service.</w:t>
      </w:r>
    </w:p>
    <w:p>
      <w:r>
        <w:t>Where a user's faction permissions provide the selections required by a faction service, the installed tool may contribute appropriate requests to that shared service. If the user's faction position does not provide access to the required Faction API selections, that user will not be required to contribute requests their key cannot perform.</w:t>
      </w:r>
    </w:p>
    <w:p>
      <w:r>
        <w:t>Members who use other SLINK tools are asked, where practical, to voluntarily contribute approximately 10 additional API calls per minute toward compatible shared-service requests. Users may be allowed to voluntarily raise their contribution limit to further support the service.</w:t>
      </w:r>
    </w:p>
    <w:p>
      <w:pPr>
        <w:pStyle w:val="Heading1"/>
      </w:pPr>
      <w:r>
        <w:t>4. API Rate Management and Safety</w:t>
      </w:r>
    </w:p>
    <w:p>
      <w:r>
        <w:t>Participating SLINK tools maintain a combined target ceiling of 60 Torn API requests per minute per user across the Suite. Individual tools may use lower configurable limits, and shared-service contributions are included within this combined budget.</w:t>
      </w:r>
    </w:p>
    <w:p>
      <w:r>
        <w:t>This ceiling is intentionally conservative and is designed to preserve capacity for other Torn API use. Because users may also operate third-party tools outside the SLINK, the Suite cannot guarantee that its own ceiling will prevent the user's total Torn API usage from reaching Torn's limits.</w:t>
      </w:r>
    </w:p>
    <w:p>
      <w:r>
        <w:t>The service will attempt to minimize unnecessary requests by sharing cached information, scheduling future checks when a target's state is already known, coordinating requests between active clients, and distributing required checks across participating users.</w:t>
      </w:r>
    </w:p>
    <w:p>
      <w:r>
        <w:t>If Torn returns a rate-limit response, participating SLINK tools are intended to suspend discretionary Torn API requests for approximately two minutes before cautiously resuming. This circuit-breaker behavior is intended to avoid repeatedly striking Torn's limiter after available API capacity has been exhausted.</w:t>
      </w:r>
    </w:p>
    <w:p>
      <w:pPr>
        <w:pStyle w:val="Heading1"/>
      </w:pPr>
      <w:r>
        <w:t>5. Slinky's Membership and Authorization</w:t>
      </w:r>
    </w:p>
    <w:p>
      <w:r>
        <w:t>Faction-specific services are intended exclusively for current members of Slinky's [46978]. A user's Torn API key may be used to verify current faction membership, and membership may be periodically revalidated.</w:t>
      </w:r>
    </w:p>
    <w:p>
      <w:r>
        <w:t>Leaving Slinky's may result in automatic loss of access to faction-restricted services. Historical, aggregated, or target/faction intelligence previously contributed to the service may remain where retention is part of the service's disclosed purpose.</w:t>
      </w:r>
    </w:p>
    <w:p>
      <w:pPr>
        <w:pStyle w:val="Heading1"/>
      </w:pPr>
      <w:r>
        <w:t>6. War Panel</w:t>
      </w:r>
    </w:p>
    <w:p>
      <w:r>
        <w:t>The War Panel supports ranked-war targeting and shared enemy-faction intelligence. It may use information visible on the ranked-war page the user has manually loaded, together with authorized Torn API requests.</w:t>
      </w:r>
    </w:p>
    <w:p>
      <w:r>
        <w:t>Enemy faction and player information gathered through authorized requests may be cached and distributed to authorized Slinky's members so every member does not need to independently request the same information.</w:t>
      </w:r>
    </w:p>
    <w:tbl>
      <w:tblPr>
        <w:tblW w:type="auto" w:w="0"/>
        <w:jc w:val="center"/>
        <w:tblLayout w:type="fixed"/>
        <w:tblLook w:firstColumn="1" w:firstRow="1" w:lastColumn="0" w:lastRow="0" w:noHBand="0" w:noVBand="1" w:val="04A0"/>
      </w:tblPr>
      <w:tblGrid>
        <w:gridCol w:w="2376"/>
        <w:gridCol w:w="8280"/>
      </w:tblGrid>
      <w:tr>
        <w:tc>
          <w:tcPr>
            <w:tcW w:type="dxa" w:w="2376"/>
            <w:shd w:fill="EAF1F5"/>
            <w:tcMar>
              <w:top w:w="90" w:type="dxa"/>
              <w:start w:w="110" w:type="dxa"/>
              <w:bottom w:w="90" w:type="dxa"/>
              <w:end w:w="110" w:type="dxa"/>
            </w:tcMar>
            <w:vAlign w:val="center"/>
          </w:tcPr>
          <w:p>
            <w:r>
              <w:rPr>
                <w:b/>
                <w:color w:val="172A3A"/>
              </w:rPr>
              <w:t>Data Storage</w:t>
            </w:r>
          </w:p>
        </w:tc>
        <w:tc>
          <w:tcPr>
            <w:tcW w:type="dxa" w:w="8280"/>
            <w:tcMar>
              <w:top w:w="90" w:type="dxa"/>
              <w:start w:w="110" w:type="dxa"/>
              <w:bottom w:w="90" w:type="dxa"/>
              <w:end w:w="110" w:type="dxa"/>
            </w:tcMar>
            <w:vAlign w:val="center"/>
          </w:tcPr>
          <w:p>
            <w:r>
              <w:t>Temporary and/or persistent, depending on the information collected.</w:t>
            </w:r>
          </w:p>
        </w:tc>
      </w:tr>
      <w:tr>
        <w:tc>
          <w:tcPr>
            <w:tcW w:type="dxa" w:w="2376"/>
            <w:shd w:fill="EAF1F5"/>
            <w:tcMar>
              <w:top w:w="90" w:type="dxa"/>
              <w:start w:w="110" w:type="dxa"/>
              <w:bottom w:w="90" w:type="dxa"/>
              <w:end w:w="110" w:type="dxa"/>
            </w:tcMar>
            <w:vAlign w:val="center"/>
          </w:tcPr>
          <w:p>
            <w:r>
              <w:rPr>
                <w:b/>
                <w:color w:val="172A3A"/>
              </w:rPr>
              <w:t>Data Sharing</w:t>
            </w:r>
          </w:p>
        </w:tc>
        <w:tc>
          <w:tcPr>
            <w:tcW w:type="dxa" w:w="8280"/>
            <w:tcMar>
              <w:top w:w="90" w:type="dxa"/>
              <w:start w:w="110" w:type="dxa"/>
              <w:bottom w:w="90" w:type="dxa"/>
              <w:end w:w="110" w:type="dxa"/>
            </w:tcMar>
            <w:vAlign w:val="center"/>
          </w:tcPr>
          <w:p>
            <w:r>
              <w:t>Authorized Slinky's members / shared faction service.</w:t>
            </w:r>
          </w:p>
        </w:tc>
      </w:tr>
      <w:tr>
        <w:tc>
          <w:tcPr>
            <w:tcW w:type="dxa" w:w="2376"/>
            <w:shd w:fill="EAF1F5"/>
            <w:tcMar>
              <w:top w:w="90" w:type="dxa"/>
              <w:start w:w="110" w:type="dxa"/>
              <w:bottom w:w="90" w:type="dxa"/>
              <w:end w:w="110" w:type="dxa"/>
            </w:tcMar>
            <w:vAlign w:val="center"/>
          </w:tcPr>
          <w:p>
            <w:r>
              <w:rPr>
                <w:b/>
                <w:color w:val="172A3A"/>
              </w:rPr>
              <w:t>Purpose</w:t>
            </w:r>
          </w:p>
        </w:tc>
        <w:tc>
          <w:tcPr>
            <w:tcW w:type="dxa" w:w="8280"/>
            <w:tcMar>
              <w:top w:w="90" w:type="dxa"/>
              <w:start w:w="110" w:type="dxa"/>
              <w:bottom w:w="90" w:type="dxa"/>
              <w:end w:w="110" w:type="dxa"/>
            </w:tcMar>
            <w:vAlign w:val="center"/>
          </w:tcPr>
          <w:p>
            <w:r>
              <w:t>Ranked-war coordination, target selection, and competitive faction intelligence.</w:t>
            </w:r>
          </w:p>
        </w:tc>
      </w:tr>
      <w:tr>
        <w:tc>
          <w:tcPr>
            <w:tcW w:type="dxa" w:w="2376"/>
            <w:shd w:fill="EAF1F5"/>
            <w:tcMar>
              <w:top w:w="90" w:type="dxa"/>
              <w:start w:w="110" w:type="dxa"/>
              <w:bottom w:w="90" w:type="dxa"/>
              <w:end w:w="110" w:type="dxa"/>
            </w:tcMar>
            <w:vAlign w:val="center"/>
          </w:tcPr>
          <w:p>
            <w:r>
              <w:rPr>
                <w:b/>
                <w:color w:val="172A3A"/>
              </w:rPr>
              <w:t>Key Storage</w:t>
            </w:r>
          </w:p>
        </w:tc>
        <w:tc>
          <w:tcPr>
            <w:tcW w:type="dxa" w:w="8280"/>
            <w:tcMar>
              <w:top w:w="90" w:type="dxa"/>
              <w:start w:w="110" w:type="dxa"/>
              <w:bottom w:w="90" w:type="dxa"/>
              <w:end w:w="110" w:type="dxa"/>
            </w:tcMar>
            <w:vAlign w:val="center"/>
          </w:tcPr>
          <w:p>
            <w:r>
              <w:t>Ordinary user keys are not remotely stored; API-derived information may be shared.</w:t>
            </w:r>
          </w:p>
        </w:tc>
      </w:tr>
      <w:tr>
        <w:tc>
          <w:tcPr>
            <w:tcW w:type="dxa" w:w="2376"/>
            <w:shd w:fill="EAF1F5"/>
            <w:tcMar>
              <w:top w:w="90" w:type="dxa"/>
              <w:start w:w="110" w:type="dxa"/>
              <w:bottom w:w="90" w:type="dxa"/>
              <w:end w:w="110" w:type="dxa"/>
            </w:tcMar>
            <w:vAlign w:val="center"/>
          </w:tcPr>
          <w:p>
            <w:r>
              <w:rPr>
                <w:b/>
                <w:color w:val="172A3A"/>
              </w:rPr>
              <w:t>Access</w:t>
            </w:r>
          </w:p>
        </w:tc>
        <w:tc>
          <w:tcPr>
            <w:tcW w:type="dxa" w:w="8280"/>
            <w:tcMar>
              <w:top w:w="90" w:type="dxa"/>
              <w:start w:w="110" w:type="dxa"/>
              <w:bottom w:w="90" w:type="dxa"/>
              <w:end w:w="110" w:type="dxa"/>
            </w:tcMar>
            <w:vAlign w:val="center"/>
          </w:tcPr>
          <w:p>
            <w:r>
              <w:t>Limited Access where required; Full Access is not required.</w:t>
            </w:r>
          </w:p>
        </w:tc>
      </w:tr>
    </w:tbl>
    <w:p>
      <w:pPr>
        <w:spacing w:after="0"/>
      </w:pPr>
    </w:p>
    <w:p>
      <w:pPr>
        <w:pStyle w:val="Heading1"/>
      </w:pPr>
      <w:r>
        <w:t>7. Retaliation Panel</w:t>
      </w:r>
    </w:p>
    <w:p>
      <w:r>
        <w:t>The Retaliation Panel uses authorized Faction API information to process faction attack reports in live order and distribute relevant retaliation opportunities to authorized Slinky's members.</w:t>
      </w:r>
    </w:p>
    <w:p>
      <w:r>
        <w:t>Attack information may also contribute to persistent faction statistics and analysis, including successful attacks, losses, defends, escapes, online attacks, retaliation opportunities, and other combat statistics derived from faction attack reports.</w:t>
      </w:r>
    </w:p>
    <w:tbl>
      <w:tblPr>
        <w:tblW w:type="auto" w:w="0"/>
        <w:jc w:val="center"/>
        <w:tblLayout w:type="fixed"/>
        <w:tblLook w:firstColumn="1" w:firstRow="1" w:lastColumn="0" w:lastRow="0" w:noHBand="0" w:noVBand="1" w:val="04A0"/>
      </w:tblPr>
      <w:tblGrid>
        <w:gridCol w:w="2376"/>
        <w:gridCol w:w="8280"/>
      </w:tblGrid>
      <w:tr>
        <w:tc>
          <w:tcPr>
            <w:tcW w:type="dxa" w:w="2376"/>
            <w:shd w:fill="EAF1F5"/>
            <w:tcMar>
              <w:top w:w="90" w:type="dxa"/>
              <w:start w:w="110" w:type="dxa"/>
              <w:bottom w:w="90" w:type="dxa"/>
              <w:end w:w="110" w:type="dxa"/>
            </w:tcMar>
            <w:vAlign w:val="center"/>
          </w:tcPr>
          <w:p>
            <w:r>
              <w:rPr>
                <w:b/>
                <w:color w:val="172A3A"/>
              </w:rPr>
              <w:t>Data Storage</w:t>
            </w:r>
          </w:p>
        </w:tc>
        <w:tc>
          <w:tcPr>
            <w:tcW w:type="dxa" w:w="8280"/>
            <w:tcMar>
              <w:top w:w="90" w:type="dxa"/>
              <w:start w:w="110" w:type="dxa"/>
              <w:bottom w:w="90" w:type="dxa"/>
              <w:end w:w="110" w:type="dxa"/>
            </w:tcMar>
            <w:vAlign w:val="center"/>
          </w:tcPr>
          <w:p>
            <w:r>
              <w:t>Persistent where required for faction statistics, event history, or analysis.</w:t>
            </w:r>
          </w:p>
        </w:tc>
      </w:tr>
      <w:tr>
        <w:tc>
          <w:tcPr>
            <w:tcW w:type="dxa" w:w="2376"/>
            <w:shd w:fill="EAF1F5"/>
            <w:tcMar>
              <w:top w:w="90" w:type="dxa"/>
              <w:start w:w="110" w:type="dxa"/>
              <w:bottom w:w="90" w:type="dxa"/>
              <w:end w:w="110" w:type="dxa"/>
            </w:tcMar>
            <w:vAlign w:val="center"/>
          </w:tcPr>
          <w:p>
            <w:r>
              <w:rPr>
                <w:b/>
                <w:color w:val="172A3A"/>
              </w:rPr>
              <w:t>Data Sharing</w:t>
            </w:r>
          </w:p>
        </w:tc>
        <w:tc>
          <w:tcPr>
            <w:tcW w:type="dxa" w:w="8280"/>
            <w:tcMar>
              <w:top w:w="90" w:type="dxa"/>
              <w:start w:w="110" w:type="dxa"/>
              <w:bottom w:w="90" w:type="dxa"/>
              <w:end w:w="110" w:type="dxa"/>
            </w:tcMar>
            <w:vAlign w:val="center"/>
          </w:tcPr>
          <w:p>
            <w:r>
              <w:t>Authorized Slinky's members and the service operator.</w:t>
            </w:r>
          </w:p>
        </w:tc>
      </w:tr>
      <w:tr>
        <w:tc>
          <w:tcPr>
            <w:tcW w:type="dxa" w:w="2376"/>
            <w:shd w:fill="EAF1F5"/>
            <w:tcMar>
              <w:top w:w="90" w:type="dxa"/>
              <w:start w:w="110" w:type="dxa"/>
              <w:bottom w:w="90" w:type="dxa"/>
              <w:end w:w="110" w:type="dxa"/>
            </w:tcMar>
            <w:vAlign w:val="center"/>
          </w:tcPr>
          <w:p>
            <w:r>
              <w:rPr>
                <w:b/>
                <w:color w:val="172A3A"/>
              </w:rPr>
              <w:t>Purpose</w:t>
            </w:r>
          </w:p>
        </w:tc>
        <w:tc>
          <w:tcPr>
            <w:tcW w:type="dxa" w:w="8280"/>
            <w:tcMar>
              <w:top w:w="90" w:type="dxa"/>
              <w:start w:w="110" w:type="dxa"/>
              <w:bottom w:w="90" w:type="dxa"/>
              <w:end w:w="110" w:type="dxa"/>
            </w:tcMar>
            <w:vAlign w:val="center"/>
          </w:tcPr>
          <w:p>
            <w:r>
              <w:t>Retaliation coordination and non-malicious statistical analysis of faction combat activity.</w:t>
            </w:r>
          </w:p>
        </w:tc>
      </w:tr>
      <w:tr>
        <w:tc>
          <w:tcPr>
            <w:tcW w:type="dxa" w:w="2376"/>
            <w:shd w:fill="EAF1F5"/>
            <w:tcMar>
              <w:top w:w="90" w:type="dxa"/>
              <w:start w:w="110" w:type="dxa"/>
              <w:bottom w:w="90" w:type="dxa"/>
              <w:end w:w="110" w:type="dxa"/>
            </w:tcMar>
            <w:vAlign w:val="center"/>
          </w:tcPr>
          <w:p>
            <w:r>
              <w:rPr>
                <w:b/>
                <w:color w:val="172A3A"/>
              </w:rPr>
              <w:t>Key Storage</w:t>
            </w:r>
          </w:p>
        </w:tc>
        <w:tc>
          <w:tcPr>
            <w:tcW w:type="dxa" w:w="8280"/>
            <w:tcMar>
              <w:top w:w="90" w:type="dxa"/>
              <w:start w:w="110" w:type="dxa"/>
              <w:bottom w:w="90" w:type="dxa"/>
              <w:end w:w="110" w:type="dxa"/>
            </w:tcMar>
            <w:vAlign w:val="center"/>
          </w:tcPr>
          <w:p>
            <w:r>
              <w:t>Ordinary user keys are not remotely stored; derived faction data may be stored/shared.</w:t>
            </w:r>
          </w:p>
        </w:tc>
      </w:tr>
      <w:tr>
        <w:tc>
          <w:tcPr>
            <w:tcW w:type="dxa" w:w="2376"/>
            <w:shd w:fill="EAF1F5"/>
            <w:tcMar>
              <w:top w:w="90" w:type="dxa"/>
              <w:start w:w="110" w:type="dxa"/>
              <w:bottom w:w="90" w:type="dxa"/>
              <w:end w:w="110" w:type="dxa"/>
            </w:tcMar>
            <w:vAlign w:val="center"/>
          </w:tcPr>
          <w:p>
            <w:r>
              <w:rPr>
                <w:b/>
                <w:color w:val="172A3A"/>
              </w:rPr>
              <w:t>Access</w:t>
            </w:r>
          </w:p>
        </w:tc>
        <w:tc>
          <w:tcPr>
            <w:tcW w:type="dxa" w:w="8280"/>
            <w:tcMar>
              <w:top w:w="90" w:type="dxa"/>
              <w:start w:w="110" w:type="dxa"/>
              <w:bottom w:w="90" w:type="dxa"/>
              <w:end w:w="110" w:type="dxa"/>
            </w:tcMar>
            <w:vAlign w:val="center"/>
          </w:tcPr>
          <w:p>
            <w:r>
              <w:t>Faction API selections available to the user's faction position; Limited Access where required.</w:t>
            </w:r>
          </w:p>
        </w:tc>
      </w:tr>
    </w:tbl>
    <w:p>
      <w:pPr>
        <w:spacing w:after="0"/>
      </w:pPr>
    </w:p>
    <w:p>
      <w:pPr>
        <w:pStyle w:val="Heading1"/>
      </w:pPr>
      <w:r>
        <w:t>8. Leveling Target Service</w:t>
      </w:r>
    </w:p>
    <w:p>
      <w:r>
        <w:t>The Leveling Target Service is designed to identify useful leveling targets while reducing competition and unnecessary API usage. It may combine established leveling lists, Slinky's target information, API observations, and information observed from Torn pages that users manually visit.</w:t>
      </w:r>
    </w:p>
    <w:p>
      <w:r>
        <w:t>Shared information may include target status, hospitalization history, activity indicators, Federal Jail or Hiding Out status, Fair Fight estimates, competition measurements, scheduling information, and other data reasonably necessary for target selection.</w:t>
      </w:r>
    </w:p>
    <w:p>
      <w:r>
        <w:t>Observations may be synchronized between authorized clients so members benefit from information already collected by other Slinky's members. The service may coordinate API work between active clients and distribute target recommendations to reduce unnecessary competition between Slinky's members themselves.</w:t>
      </w:r>
    </w:p>
    <w:tbl>
      <w:tblPr>
        <w:tblW w:type="auto" w:w="0"/>
        <w:jc w:val="center"/>
        <w:tblLayout w:type="fixed"/>
        <w:tblLook w:firstColumn="1" w:firstRow="1" w:lastColumn="0" w:lastRow="0" w:noHBand="0" w:noVBand="1" w:val="04A0"/>
      </w:tblPr>
      <w:tblGrid>
        <w:gridCol w:w="2376"/>
        <w:gridCol w:w="8280"/>
      </w:tblGrid>
      <w:tr>
        <w:tc>
          <w:tcPr>
            <w:tcW w:type="dxa" w:w="2376"/>
            <w:shd w:fill="EAF1F5"/>
            <w:tcMar>
              <w:top w:w="90" w:type="dxa"/>
              <w:start w:w="110" w:type="dxa"/>
              <w:bottom w:w="90" w:type="dxa"/>
              <w:end w:w="110" w:type="dxa"/>
            </w:tcMar>
            <w:vAlign w:val="center"/>
          </w:tcPr>
          <w:p>
            <w:r>
              <w:rPr>
                <w:b/>
                <w:color w:val="172A3A"/>
              </w:rPr>
              <w:t>Data Storage</w:t>
            </w:r>
          </w:p>
        </w:tc>
        <w:tc>
          <w:tcPr>
            <w:tcW w:type="dxa" w:w="8280"/>
            <w:tcMar>
              <w:top w:w="90" w:type="dxa"/>
              <w:start w:w="110" w:type="dxa"/>
              <w:bottom w:w="90" w:type="dxa"/>
              <w:end w:w="110" w:type="dxa"/>
            </w:tcMar>
            <w:vAlign w:val="center"/>
          </w:tcPr>
          <w:p>
            <w:r>
              <w:t>Persistent shared target intelligence and event history.</w:t>
            </w:r>
          </w:p>
        </w:tc>
      </w:tr>
      <w:tr>
        <w:tc>
          <w:tcPr>
            <w:tcW w:type="dxa" w:w="2376"/>
            <w:shd w:fill="EAF1F5"/>
            <w:tcMar>
              <w:top w:w="90" w:type="dxa"/>
              <w:start w:w="110" w:type="dxa"/>
              <w:bottom w:w="90" w:type="dxa"/>
              <w:end w:w="110" w:type="dxa"/>
            </w:tcMar>
            <w:vAlign w:val="center"/>
          </w:tcPr>
          <w:p>
            <w:r>
              <w:rPr>
                <w:b/>
                <w:color w:val="172A3A"/>
              </w:rPr>
              <w:t>Data Sharing</w:t>
            </w:r>
          </w:p>
        </w:tc>
        <w:tc>
          <w:tcPr>
            <w:tcW w:type="dxa" w:w="8280"/>
            <w:tcMar>
              <w:top w:w="90" w:type="dxa"/>
              <w:start w:w="110" w:type="dxa"/>
              <w:bottom w:w="90" w:type="dxa"/>
              <w:end w:w="110" w:type="dxa"/>
            </w:tcMar>
            <w:vAlign w:val="center"/>
          </w:tcPr>
          <w:p>
            <w:r>
              <w:t>Authorized Slinky's members / shared faction service.</w:t>
            </w:r>
          </w:p>
        </w:tc>
      </w:tr>
      <w:tr>
        <w:tc>
          <w:tcPr>
            <w:tcW w:type="dxa" w:w="2376"/>
            <w:shd w:fill="EAF1F5"/>
            <w:tcMar>
              <w:top w:w="90" w:type="dxa"/>
              <w:start w:w="110" w:type="dxa"/>
              <w:bottom w:w="90" w:type="dxa"/>
              <w:end w:w="110" w:type="dxa"/>
            </w:tcMar>
            <w:vAlign w:val="center"/>
          </w:tcPr>
          <w:p>
            <w:r>
              <w:rPr>
                <w:b/>
                <w:color w:val="172A3A"/>
              </w:rPr>
              <w:t>Purpose</w:t>
            </w:r>
          </w:p>
        </w:tc>
        <w:tc>
          <w:tcPr>
            <w:tcW w:type="dxa" w:w="8280"/>
            <w:tcMar>
              <w:top w:w="90" w:type="dxa"/>
              <w:start w:w="110" w:type="dxa"/>
              <w:bottom w:w="90" w:type="dxa"/>
              <w:end w:w="110" w:type="dxa"/>
            </w:tcMar>
            <w:vAlign w:val="center"/>
          </w:tcPr>
          <w:p>
            <w:r>
              <w:t>Efficient leveling, target discovery, competition reduction, and coordinated API scheduling.</w:t>
            </w:r>
          </w:p>
        </w:tc>
      </w:tr>
      <w:tr>
        <w:tc>
          <w:tcPr>
            <w:tcW w:type="dxa" w:w="2376"/>
            <w:shd w:fill="EAF1F5"/>
            <w:tcMar>
              <w:top w:w="90" w:type="dxa"/>
              <w:start w:w="110" w:type="dxa"/>
              <w:bottom w:w="90" w:type="dxa"/>
              <w:end w:w="110" w:type="dxa"/>
            </w:tcMar>
            <w:vAlign w:val="center"/>
          </w:tcPr>
          <w:p>
            <w:r>
              <w:rPr>
                <w:b/>
                <w:color w:val="172A3A"/>
              </w:rPr>
              <w:t>Key Storage</w:t>
            </w:r>
          </w:p>
        </w:tc>
        <w:tc>
          <w:tcPr>
            <w:tcW w:type="dxa" w:w="8280"/>
            <w:tcMar>
              <w:top w:w="90" w:type="dxa"/>
              <w:start w:w="110" w:type="dxa"/>
              <w:bottom w:w="90" w:type="dxa"/>
              <w:end w:w="110" w:type="dxa"/>
            </w:tcMar>
            <w:vAlign w:val="center"/>
          </w:tcPr>
          <w:p>
            <w:r>
              <w:t>Ordinary user keys are not remotely stored.</w:t>
            </w:r>
          </w:p>
        </w:tc>
      </w:tr>
      <w:tr>
        <w:tc>
          <w:tcPr>
            <w:tcW w:type="dxa" w:w="2376"/>
            <w:shd w:fill="EAF1F5"/>
            <w:tcMar>
              <w:top w:w="90" w:type="dxa"/>
              <w:start w:w="110" w:type="dxa"/>
              <w:bottom w:w="90" w:type="dxa"/>
              <w:end w:w="110" w:type="dxa"/>
            </w:tcMar>
            <w:vAlign w:val="center"/>
          </w:tcPr>
          <w:p>
            <w:r>
              <w:rPr>
                <w:b/>
                <w:color w:val="172A3A"/>
              </w:rPr>
              <w:t>Access</w:t>
            </w:r>
          </w:p>
        </w:tc>
        <w:tc>
          <w:tcPr>
            <w:tcW w:type="dxa" w:w="8280"/>
            <w:tcMar>
              <w:top w:w="90" w:type="dxa"/>
              <w:start w:w="110" w:type="dxa"/>
              <w:bottom w:w="90" w:type="dxa"/>
              <w:end w:w="110" w:type="dxa"/>
            </w:tcMar>
            <w:vAlign w:val="center"/>
          </w:tcPr>
          <w:p>
            <w:r>
              <w:t>Minimal or Limited Access, depending on the information required by the service.</w:t>
            </w:r>
          </w:p>
        </w:tc>
      </w:tr>
    </w:tbl>
    <w:p>
      <w:pPr>
        <w:spacing w:after="0"/>
      </w:pPr>
    </w:p>
    <w:p>
      <w:pPr>
        <w:pStyle w:val="Heading1"/>
      </w:pPr>
      <w:r>
        <w:t>9. Purchased API Keys</w:t>
      </w:r>
    </w:p>
    <w:p>
      <w:r>
        <w:t>Some API keys may be voluntarily sold or otherwise explicitly provided for dedicated automated data-collection purposes. Purchased keys are treated differently from ordinary member keys.</w:t>
      </w:r>
    </w:p>
    <w:p>
      <w:r>
        <w:rPr>
          <w:b/>
          <w:color w:val="172A3A"/>
        </w:rPr>
        <w:t>Only Public-access API keys will be purchased or accepted for this purpose.</w:t>
      </w:r>
    </w:p>
    <w:p>
      <w:r>
        <w:t>Before compensation is accepted, the key owner must be informed that the key will be stored and used for automated public-data collection. Purchased keys may be securely stored by the service and used independently of whether the key owner is actively using a SLINK script.</w:t>
      </w:r>
    </w:p>
    <w:p>
      <w:r>
        <w:t>Permitted uses may include:</w:t>
      </w:r>
    </w:p>
    <w:p>
      <w:pPr>
        <w:pStyle w:val="ListBullet"/>
        <w:spacing w:after="40"/>
      </w:pPr>
      <w:r>
        <w:t>Item market monitoring, historical market information, and market-watch services.</w:t>
      </w:r>
    </w:p>
    <w:p>
      <w:pPr>
        <w:pStyle w:val="ListBullet"/>
        <w:spacing w:after="40"/>
      </w:pPr>
      <w:r>
        <w:t>Bazaar monitoring and alerts.</w:t>
      </w:r>
    </w:p>
    <w:p>
      <w:pPr>
        <w:pStyle w:val="ListBullet"/>
        <w:spacing w:after="40"/>
      </w:pPr>
      <w:r>
        <w:t>Hall of Fame cataloguing and player discovery.</w:t>
      </w:r>
    </w:p>
    <w:p>
      <w:pPr>
        <w:pStyle w:val="ListBullet"/>
        <w:spacing w:after="40"/>
      </w:pPr>
      <w:r>
        <w:t>Public player information and status/activity observations available through Public API access.</w:t>
      </w:r>
    </w:p>
    <w:p>
      <w:pPr>
        <w:pStyle w:val="ListBullet"/>
        <w:spacing w:after="40"/>
      </w:pPr>
      <w:r>
        <w:t>Faction cataloguing and public faction information.</w:t>
      </w:r>
    </w:p>
    <w:p>
      <w:pPr>
        <w:pStyle w:val="ListBullet"/>
        <w:spacing w:after="40"/>
      </w:pPr>
      <w:r>
        <w:t>Company cataloguing and public company information.</w:t>
      </w:r>
    </w:p>
    <w:p>
      <w:pPr>
        <w:pStyle w:val="ListBullet"/>
        <w:spacing w:after="40"/>
      </w:pPr>
      <w:r>
        <w:t>Building and maintaining leveling-target datasets.</w:t>
      </w:r>
    </w:p>
    <w:p>
      <w:pPr>
        <w:pStyle w:val="ListBullet"/>
        <w:spacing w:after="40"/>
      </w:pPr>
      <w:r>
        <w:t>Statistical analysis and historical datasets derived from Public API information.</w:t>
      </w:r>
    </w:p>
    <w:p>
      <w:pPr>
        <w:pStyle w:val="ListBullet"/>
        <w:spacing w:after="40"/>
      </w:pPr>
      <w:r>
        <w:t>Distributing public-data API workload across SLINK services.</w:t>
      </w:r>
    </w:p>
    <w:p>
      <w:r>
        <w:t>Purchased keys will not be used to retrieve private information requiring Minimal, Limited, Full, or other private permissions.</w:t>
      </w:r>
    </w:p>
    <w:tbl>
      <w:tblPr>
        <w:tblW w:type="auto" w:w="0"/>
        <w:jc w:val="center"/>
        <w:tblLayout w:type="fixed"/>
        <w:tblLook w:firstColumn="1" w:firstRow="1" w:lastColumn="0" w:lastRow="0" w:noHBand="0" w:noVBand="1" w:val="04A0"/>
      </w:tblPr>
      <w:tblGrid>
        <w:gridCol w:w="2376"/>
        <w:gridCol w:w="8280"/>
      </w:tblGrid>
      <w:tr>
        <w:tc>
          <w:tcPr>
            <w:tcW w:type="dxa" w:w="2376"/>
            <w:shd w:fill="EAF1F5"/>
            <w:tcMar>
              <w:top w:w="90" w:type="dxa"/>
              <w:start w:w="110" w:type="dxa"/>
              <w:bottom w:w="90" w:type="dxa"/>
              <w:end w:w="110" w:type="dxa"/>
            </w:tcMar>
            <w:vAlign w:val="center"/>
          </w:tcPr>
          <w:p>
            <w:r>
              <w:rPr>
                <w:b/>
                <w:color w:val="172A3A"/>
              </w:rPr>
              <w:t>Data Storage</w:t>
            </w:r>
          </w:p>
        </w:tc>
        <w:tc>
          <w:tcPr>
            <w:tcW w:type="dxa" w:w="8280"/>
            <w:tcMar>
              <w:top w:w="90" w:type="dxa"/>
              <w:start w:w="110" w:type="dxa"/>
              <w:bottom w:w="90" w:type="dxa"/>
              <w:end w:w="110" w:type="dxa"/>
            </w:tcMar>
            <w:vAlign w:val="center"/>
          </w:tcPr>
          <w:p>
            <w:r>
              <w:t>Persistent.</w:t>
            </w:r>
          </w:p>
        </w:tc>
      </w:tr>
      <w:tr>
        <w:tc>
          <w:tcPr>
            <w:tcW w:type="dxa" w:w="2376"/>
            <w:shd w:fill="EAF1F5"/>
            <w:tcMar>
              <w:top w:w="90" w:type="dxa"/>
              <w:start w:w="110" w:type="dxa"/>
              <w:bottom w:w="90" w:type="dxa"/>
              <w:end w:w="110" w:type="dxa"/>
            </w:tcMar>
            <w:vAlign w:val="center"/>
          </w:tcPr>
          <w:p>
            <w:r>
              <w:rPr>
                <w:b/>
                <w:color w:val="172A3A"/>
              </w:rPr>
              <w:t>Data Sharing</w:t>
            </w:r>
          </w:p>
        </w:tc>
        <w:tc>
          <w:tcPr>
            <w:tcW w:type="dxa" w:w="8280"/>
            <w:tcMar>
              <w:top w:w="90" w:type="dxa"/>
              <w:start w:w="110" w:type="dxa"/>
              <w:bottom w:w="90" w:type="dxa"/>
              <w:end w:w="110" w:type="dxa"/>
            </w:tcMar>
            <w:vAlign w:val="center"/>
          </w:tcPr>
          <w:p>
            <w:r>
              <w:t>Service operator; derived public information may be shared with authorized Slinky's services/users.</w:t>
            </w:r>
          </w:p>
        </w:tc>
      </w:tr>
      <w:tr>
        <w:tc>
          <w:tcPr>
            <w:tcW w:type="dxa" w:w="2376"/>
            <w:shd w:fill="EAF1F5"/>
            <w:tcMar>
              <w:top w:w="90" w:type="dxa"/>
              <w:start w:w="110" w:type="dxa"/>
              <w:bottom w:w="90" w:type="dxa"/>
              <w:end w:w="110" w:type="dxa"/>
            </w:tcMar>
            <w:vAlign w:val="center"/>
          </w:tcPr>
          <w:p>
            <w:r>
              <w:rPr>
                <w:b/>
                <w:color w:val="172A3A"/>
              </w:rPr>
              <w:t>Purpose</w:t>
            </w:r>
          </w:p>
        </w:tc>
        <w:tc>
          <w:tcPr>
            <w:tcW w:type="dxa" w:w="8280"/>
            <w:tcMar>
              <w:top w:w="90" w:type="dxa"/>
              <w:start w:w="110" w:type="dxa"/>
              <w:bottom w:w="90" w:type="dxa"/>
              <w:end w:w="110" w:type="dxa"/>
            </w:tcMar>
            <w:vAlign w:val="center"/>
          </w:tcPr>
          <w:p>
            <w:r>
              <w:t>Public-data collection, market monitoring, target discovery, cataloguing, statistical analysis, and service operation.</w:t>
            </w:r>
          </w:p>
        </w:tc>
      </w:tr>
      <w:tr>
        <w:tc>
          <w:tcPr>
            <w:tcW w:type="dxa" w:w="2376"/>
            <w:shd w:fill="EAF1F5"/>
            <w:tcMar>
              <w:top w:w="90" w:type="dxa"/>
              <w:start w:w="110" w:type="dxa"/>
              <w:bottom w:w="90" w:type="dxa"/>
              <w:end w:w="110" w:type="dxa"/>
            </w:tcMar>
            <w:vAlign w:val="center"/>
          </w:tcPr>
          <w:p>
            <w:r>
              <w:rPr>
                <w:b/>
                <w:color w:val="172A3A"/>
              </w:rPr>
              <w:t>Key Storage</w:t>
            </w:r>
          </w:p>
        </w:tc>
        <w:tc>
          <w:tcPr>
            <w:tcW w:type="dxa" w:w="8280"/>
            <w:tcMar>
              <w:top w:w="90" w:type="dxa"/>
              <w:start w:w="110" w:type="dxa"/>
              <w:bottom w:w="90" w:type="dxa"/>
              <w:end w:w="110" w:type="dxa"/>
            </w:tcMar>
            <w:vAlign w:val="center"/>
          </w:tcPr>
          <w:p>
            <w:r>
              <w:t>Purchased Public keys may be securely stored for disclosed automated use; the key itself is not distributed to users.</w:t>
            </w:r>
          </w:p>
        </w:tc>
      </w:tr>
      <w:tr>
        <w:tc>
          <w:tcPr>
            <w:tcW w:type="dxa" w:w="2376"/>
            <w:shd w:fill="EAF1F5"/>
            <w:tcMar>
              <w:top w:w="90" w:type="dxa"/>
              <w:start w:w="110" w:type="dxa"/>
              <w:bottom w:w="90" w:type="dxa"/>
              <w:end w:w="110" w:type="dxa"/>
            </w:tcMar>
            <w:vAlign w:val="center"/>
          </w:tcPr>
          <w:p>
            <w:r>
              <w:rPr>
                <w:b/>
                <w:color w:val="172A3A"/>
              </w:rPr>
              <w:t>Access</w:t>
            </w:r>
          </w:p>
        </w:tc>
        <w:tc>
          <w:tcPr>
            <w:tcW w:type="dxa" w:w="8280"/>
            <w:tcMar>
              <w:top w:w="90" w:type="dxa"/>
              <w:start w:w="110" w:type="dxa"/>
              <w:bottom w:w="90" w:type="dxa"/>
              <w:end w:w="110" w:type="dxa"/>
            </w:tcMar>
            <w:vAlign w:val="center"/>
          </w:tcPr>
          <w:p>
            <w:r>
              <w:t>Public only.</w:t>
            </w:r>
          </w:p>
        </w:tc>
      </w:tr>
    </w:tbl>
    <w:p>
      <w:pPr>
        <w:spacing w:after="0"/>
      </w:pPr>
    </w:p>
    <w:p>
      <w:pPr>
        <w:pStyle w:val="Heading1"/>
      </w:pPr>
      <w:r>
        <w:t>10. Data Aggregation and Deduplication</w:t>
      </w:r>
    </w:p>
    <w:p>
      <w:r>
        <w:t>Information contributed by multiple users may be combined into aggregate datasets. The service may deduplicate observations so multiple clients reporting the same event do not artificially inflate statistics.</w:t>
      </w:r>
    </w:p>
    <w:p>
      <w:r>
        <w:t>Aggregated information may be used to improve scheduling, target prioritization, competition estimates, faction tools, market or public-data tools, and other functionality described by these Terms.</w:t>
      </w:r>
    </w:p>
    <w:p>
      <w:pPr>
        <w:pStyle w:val="Heading1"/>
      </w:pPr>
      <w:r>
        <w:t>11. Security and Revocation</w:t>
      </w:r>
    </w:p>
    <w:p>
      <w:pPr>
        <w:pStyle w:val="ListBullet"/>
        <w:spacing w:after="40"/>
      </w:pPr>
      <w:r>
        <w:t>API keys will never intentionally be exposed to other faction members.</w:t>
      </w:r>
    </w:p>
    <w:p>
      <w:pPr>
        <w:pStyle w:val="ListBullet"/>
        <w:spacing w:after="40"/>
      </w:pPr>
      <w:r>
        <w:t>Ordinary member keys will not be remotely retained unless a specific service clearly discloses that behavior and obtains authorization.</w:t>
      </w:r>
    </w:p>
    <w:p>
      <w:pPr>
        <w:pStyle w:val="ListBullet"/>
        <w:spacing w:after="40"/>
      </w:pPr>
      <w:r>
        <w:t>Purchased Public API keys are the primary exception and may be securely stored for the automated uses specifically disclosed above.</w:t>
      </w:r>
    </w:p>
    <w:p>
      <w:pPr>
        <w:pStyle w:val="ListBullet"/>
        <w:spacing w:after="40"/>
      </w:pPr>
      <w:r>
        <w:t>Users may revoke or replace their Torn API key at any time through Torn.</w:t>
      </w:r>
    </w:p>
    <w:p>
      <w:pPr>
        <w:pStyle w:val="ListBullet"/>
        <w:spacing w:after="40"/>
      </w:pPr>
      <w:r>
        <w:t>Access to Slinky's-restricted services may be revoked when faction membership or required authorization is no longer valid.</w:t>
      </w:r>
    </w:p>
    <w:p>
      <w:pPr>
        <w:pStyle w:val="Heading1"/>
      </w:pPr>
      <w:r>
        <w:t>12. Tool-Specific Disclosures</w:t>
      </w:r>
    </w:p>
    <w:p>
      <w:r>
        <w:t>This document provides the blanket terms for the SLINK. Each tool that requests an API key should also present a concise tool-specific disclosure at or near the point where the key is supplied, identifying the relevant data use, storage/sharing behavior, purpose, and required access level.</w:t>
      </w:r>
    </w:p>
    <w:p>
      <w:r>
        <w:t>If a tool introduces materially different API permissions, persistent key storage, a new category of shared data, or a substantially different purpose of use, that behavior should be disclosed before the new use is implemented.</w:t>
      </w:r>
    </w:p>
    <w:p>
      <w:pPr>
        <w:pStyle w:val="Heading1"/>
      </w:pPr>
      <w:r>
        <w:t>13. Changes to These Terms</w:t>
      </w:r>
    </w:p>
    <w:p>
      <w:r>
        <w:t>These Terms may be updated as the SLINK and its shared services develop. Material changes involving new API permissions, storage of ordinary user API keys, new categories of shared data, or substantially different uses of contributed API information will be disclosed before those new uses are implemented.</w:t>
      </w:r>
    </w:p>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F6B73"/>
        <w:sz w:val="16"/>
      </w:rPr>
      <w:t>SLINK - Shared Live Intelligence NetworK  •  Considious [3853023]  •  Slinky's [46978]  •  August 14,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F6B73"/>
        <w:sz w:val="16"/>
      </w:rPr>
      <w:t>SLINK  |  API &amp; DATA TERMS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2A3A"/>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245B78"/>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2A3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Label">
    <w:name w:val="TOC Label"/>
    <w:pPr>
      <w:spacing w:after="40"/>
    </w:pPr>
    <w:rPr>
      <w:rFonts w:ascii="Aptos" w:hAnsi="Aptos"/>
      <w:b/>
      <w:color w:val="245B7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