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4C60C111" w:rsidR="00B3103E" w:rsidRDefault="00BF2C8B" w:rsidP="00C1561E">
      <w:pPr>
        <w:spacing w:line="276" w:lineRule="auto"/>
        <w:jc w:val="both"/>
      </w:pPr>
      <w:r>
        <w:t>Per tal d’homologar la correcta integració amb el servei</w:t>
      </w:r>
      <w:r w:rsidR="00BE2745">
        <w:t xml:space="preserve"> </w:t>
      </w:r>
      <w:r w:rsidR="005F18AA">
        <w:t>ACTIC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637" w:type="dxa"/>
        <w:tblLook w:val="04A0" w:firstRow="1" w:lastRow="0" w:firstColumn="1" w:lastColumn="0" w:noHBand="0" w:noVBand="1"/>
      </w:tblPr>
      <w:tblGrid>
        <w:gridCol w:w="2394"/>
        <w:gridCol w:w="2398"/>
        <w:gridCol w:w="2146"/>
        <w:gridCol w:w="2146"/>
        <w:gridCol w:w="3912"/>
        <w:gridCol w:w="1641"/>
      </w:tblGrid>
      <w:tr w:rsidR="00947656" w14:paraId="7B0F32EA" w14:textId="77777777" w:rsidTr="00DE6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B2CA967" w14:textId="77777777" w:rsidR="00947656" w:rsidRDefault="00947656" w:rsidP="00AB416E">
            <w:pPr>
              <w:jc w:val="center"/>
            </w:pPr>
            <w:r>
              <w:t>Prova realitzada</w:t>
            </w:r>
          </w:p>
        </w:tc>
        <w:tc>
          <w:tcPr>
            <w:tcW w:w="2398" w:type="dxa"/>
          </w:tcPr>
          <w:p w14:paraId="7B6BDEA8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146" w:type="dxa"/>
          </w:tcPr>
          <w:p w14:paraId="4DF39C18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7449D82D" w14:textId="401703A5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3912" w:type="dxa"/>
          </w:tcPr>
          <w:p w14:paraId="4FF72E02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641" w:type="dxa"/>
          </w:tcPr>
          <w:p w14:paraId="58ACDFB6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BE2745" w14:paraId="37BAE514" w14:textId="77777777" w:rsidTr="00DE6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BDE29DA" w14:textId="71731878" w:rsidR="00BE2745" w:rsidRDefault="005F18AA" w:rsidP="00BE2745">
            <w:pPr>
              <w:jc w:val="center"/>
            </w:pPr>
            <w:r>
              <w:t>ACTIC_CERTIFICAT</w:t>
            </w:r>
          </w:p>
        </w:tc>
        <w:tc>
          <w:tcPr>
            <w:tcW w:w="2398" w:type="dxa"/>
          </w:tcPr>
          <w:p w14:paraId="04F84D6A" w14:textId="77777777" w:rsidR="00BE2745" w:rsidRDefault="00BE2745" w:rsidP="00BE2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44BE9E58" w14:textId="77777777" w:rsidR="00BE2745" w:rsidRDefault="00BE2745" w:rsidP="00BE2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5FCD70B5" w14:textId="77777777" w:rsidR="00BE2745" w:rsidRDefault="00BE2745" w:rsidP="00BE2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2" w:type="dxa"/>
          </w:tcPr>
          <w:p w14:paraId="6769A851" w14:textId="1E257015" w:rsidR="00BE2745" w:rsidRDefault="00BE2745" w:rsidP="00BE2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Resposta d’enviament</w:t>
            </w:r>
          </w:p>
        </w:tc>
        <w:tc>
          <w:tcPr>
            <w:tcW w:w="1641" w:type="dxa"/>
          </w:tcPr>
          <w:p w14:paraId="5B6B2016" w14:textId="77777777" w:rsidR="00BE2745" w:rsidRDefault="00BE2745" w:rsidP="00BE2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A0C5C2" w14:textId="77777777" w:rsidR="00AB416E" w:rsidRPr="00BE2745" w:rsidRDefault="00AB416E" w:rsidP="00BE2745">
      <w:pPr>
        <w:spacing w:after="0" w:line="240" w:lineRule="auto"/>
        <w:jc w:val="both"/>
        <w:rPr>
          <w:sz w:val="20"/>
          <w:szCs w:val="20"/>
        </w:rPr>
      </w:pPr>
    </w:p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6351031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BE2745">
        <w:t>SCT_DENUNCIES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A507533" w14:textId="77777777" w:rsidR="00336BA7" w:rsidRDefault="00336BA7" w:rsidP="00336BA7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6BACF686" w14:textId="77777777" w:rsidR="00336BA7" w:rsidRDefault="00336BA7" w:rsidP="00336BA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</w:t>
      </w:r>
      <w:proofErr w:type="spellStart"/>
      <w:r>
        <w:rPr>
          <w:i/>
        </w:rPr>
        <w:t>DatosAutorizacion</w:t>
      </w:r>
      <w:proofErr w:type="spellEnd"/>
      <w:r>
        <w:rPr>
          <w:i/>
        </w:rPr>
        <w:t>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 xml:space="preserve">pàgina web del </w:t>
        </w:r>
        <w:proofErr w:type="spellStart"/>
        <w:r>
          <w:rPr>
            <w:rStyle w:val="Hipervnculo"/>
          </w:rPr>
          <w:t>Municat</w:t>
        </w:r>
        <w:proofErr w:type="spellEnd"/>
      </w:hyperlink>
      <w:r>
        <w:t>.</w:t>
      </w:r>
    </w:p>
    <w:p w14:paraId="657A5A14" w14:textId="77777777" w:rsidR="00336BA7" w:rsidRDefault="00336BA7" w:rsidP="00336BA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790AB1B5" w:rsidR="007467BA" w:rsidRPr="008E226F" w:rsidRDefault="007467BA" w:rsidP="005F18AA">
      <w:pPr>
        <w:pStyle w:val="Prrafodelista"/>
        <w:spacing w:line="276" w:lineRule="auto"/>
        <w:jc w:val="both"/>
      </w:pPr>
    </w:p>
    <w:sectPr w:rsidR="007467BA" w:rsidRPr="008E226F" w:rsidSect="00FA0F53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8CFB" w14:textId="77777777" w:rsidR="00FA0F53" w:rsidRDefault="00FA0F53" w:rsidP="00C34149">
      <w:pPr>
        <w:spacing w:after="0" w:line="240" w:lineRule="auto"/>
      </w:pPr>
      <w:r>
        <w:separator/>
      </w:r>
    </w:p>
  </w:endnote>
  <w:endnote w:type="continuationSeparator" w:id="0">
    <w:p w14:paraId="13B75F42" w14:textId="77777777" w:rsidR="00FA0F53" w:rsidRDefault="00FA0F53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2CA6" w14:textId="77777777" w:rsidR="00FA0F53" w:rsidRDefault="00FA0F53" w:rsidP="00C34149">
      <w:pPr>
        <w:spacing w:after="0" w:line="240" w:lineRule="auto"/>
      </w:pPr>
      <w:r>
        <w:separator/>
      </w:r>
    </w:p>
  </w:footnote>
  <w:footnote w:type="continuationSeparator" w:id="0">
    <w:p w14:paraId="33386758" w14:textId="77777777" w:rsidR="00FA0F53" w:rsidRDefault="00FA0F53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3BB6D24B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 w:rsidR="005F18AA">
                            <w:t>ACTIC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20CAF49B" w14:textId="3BB6D24B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 w:rsidR="005F18AA">
                      <w:t>ACTIC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085661">
    <w:abstractNumId w:val="2"/>
  </w:num>
  <w:num w:numId="2" w16cid:durableId="2103723439">
    <w:abstractNumId w:val="0"/>
  </w:num>
  <w:num w:numId="3" w16cid:durableId="765271527">
    <w:abstractNumId w:val="1"/>
  </w:num>
  <w:num w:numId="4" w16cid:durableId="4753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36BA7"/>
    <w:rsid w:val="003A6E24"/>
    <w:rsid w:val="003B3655"/>
    <w:rsid w:val="003D4AA6"/>
    <w:rsid w:val="00423FBB"/>
    <w:rsid w:val="00481B47"/>
    <w:rsid w:val="00586842"/>
    <w:rsid w:val="00592F59"/>
    <w:rsid w:val="005F18AA"/>
    <w:rsid w:val="006A6C4F"/>
    <w:rsid w:val="006D311B"/>
    <w:rsid w:val="007467BA"/>
    <w:rsid w:val="0077659F"/>
    <w:rsid w:val="007D1EB4"/>
    <w:rsid w:val="007F139F"/>
    <w:rsid w:val="0081182D"/>
    <w:rsid w:val="00827B5B"/>
    <w:rsid w:val="008432DD"/>
    <w:rsid w:val="0087477B"/>
    <w:rsid w:val="008B09A6"/>
    <w:rsid w:val="008C376D"/>
    <w:rsid w:val="008D0BB7"/>
    <w:rsid w:val="008E226F"/>
    <w:rsid w:val="009033B5"/>
    <w:rsid w:val="00907294"/>
    <w:rsid w:val="00947656"/>
    <w:rsid w:val="00950292"/>
    <w:rsid w:val="009F1C75"/>
    <w:rsid w:val="00A912FD"/>
    <w:rsid w:val="00A97A09"/>
    <w:rsid w:val="00AA6B3A"/>
    <w:rsid w:val="00AB416E"/>
    <w:rsid w:val="00AC5E1F"/>
    <w:rsid w:val="00B3103E"/>
    <w:rsid w:val="00B443C1"/>
    <w:rsid w:val="00B4661B"/>
    <w:rsid w:val="00B71AFD"/>
    <w:rsid w:val="00B9073B"/>
    <w:rsid w:val="00BB6B73"/>
    <w:rsid w:val="00BD058F"/>
    <w:rsid w:val="00BE2745"/>
    <w:rsid w:val="00BF2C8B"/>
    <w:rsid w:val="00BF69D5"/>
    <w:rsid w:val="00C1561E"/>
    <w:rsid w:val="00C34149"/>
    <w:rsid w:val="00C575F7"/>
    <w:rsid w:val="00C605E7"/>
    <w:rsid w:val="00CA1E89"/>
    <w:rsid w:val="00CF6E4E"/>
    <w:rsid w:val="00D03E8D"/>
    <w:rsid w:val="00D45E9C"/>
    <w:rsid w:val="00D6198D"/>
    <w:rsid w:val="00D80FE5"/>
    <w:rsid w:val="00DE6299"/>
    <w:rsid w:val="00E36D8B"/>
    <w:rsid w:val="00E4277B"/>
    <w:rsid w:val="00E57828"/>
    <w:rsid w:val="00ED0DC3"/>
    <w:rsid w:val="00F05A08"/>
    <w:rsid w:val="00F44097"/>
    <w:rsid w:val="00F554D3"/>
    <w:rsid w:val="00F77B16"/>
    <w:rsid w:val="00F978CD"/>
    <w:rsid w:val="00FA0F53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B785-2400-4692-9CE8-06773C9D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</cp:lastModifiedBy>
  <cp:revision>23</cp:revision>
  <dcterms:created xsi:type="dcterms:W3CDTF">2021-07-06T09:54:00Z</dcterms:created>
  <dcterms:modified xsi:type="dcterms:W3CDTF">2024-03-06T10:06:00Z</dcterms:modified>
</cp:coreProperties>
</file>