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 Objects and Units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9EEF3"/>
          </w:tcPr>
          <w:p>
            <w:r>
              <w:rPr>
                <w:b/>
                <w:sz w:val="18"/>
              </w:rPr>
              <w:t>Object</w:t>
            </w:r>
          </w:p>
        </w:tc>
        <w:tc>
          <w:tcPr>
            <w:tcW w:type="dxa" w:w="3408"/>
            <w:vAlign w:val="center"/>
            <w:shd w:fill="E9EEF3"/>
          </w:tcPr>
          <w:p>
            <w:r>
              <w:rPr>
                <w:b/>
                <w:sz w:val="18"/>
              </w:rPr>
              <w:t>Meaning</w:t>
            </w:r>
          </w:p>
        </w:tc>
        <w:tc>
          <w:tcPr>
            <w:tcW w:type="dxa" w:w="3408"/>
            <w:vAlign w:val="center"/>
            <w:shd w:fill="E9EEF3"/>
          </w:tcPr>
          <w:p>
            <w:r>
              <w:rPr>
                <w:b/>
                <w:sz w:val="18"/>
              </w:rPr>
              <w:t>Unit / Role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Candidate site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Possible ground-station location indexed by i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Facility decision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Satellite-time row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Satellite j at time t, flattened into row 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Demand node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Visibility arc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Feasible link from row r to site i when elevation is above threshold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Binary feasibility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Uniform coverage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Fraction of satellite-time rows served when all rows have equal weight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Row coverage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Weighted coverage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Fraction of demand weight served under city-point or WorldPop demand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Demand-weighted coverage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Visibility upper bound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Maximum possible coverage before station-budget limits bind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Geometry ceiling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Backhaul feasibility b_i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Whether site i can connect to terrestrial network infrastructure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Hard eligibility constraint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Geopolitical feasibility g_i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Whether site i is allowed under the policy/risk scenario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Hard eligibility constraint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Opening cost f_i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Fixed facility cost used as a normalized proxy for CAPEX/OPEX burden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Objective coefficient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Service cost c_ri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Latency-weighted assignment cost based on satellite-site slant range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Objective coefficient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