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New-Money Underwriting</w:t>
      </w:r>
    </w:p>
    <w:p>
      <w:r>
        <w:rPr>
          <w:sz w:val="22"/>
          <w:b/>
        </w:rPr>
        <w:t xml:space="preserve">Decision Header</w:t>
      </w:r>
    </w:p>
    <w:p>
      <w:r>
        <w:rPr>
          <w:sz w:val="20"/>
        </w:rPr>
        <w:t xml:space="preserve">Expected content: Identify the borrower, report date, request type, decision sought, exposure, risk rating, and preparer; keep the decision visible without unsupported conclusions.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Request and Proposed Structure</w:t>
      </w:r>
    </w:p>
    <w:p>
      <w:r>
        <w:rPr>
          <w:sz w:val="20"/>
        </w:rPr>
        <w:t xml:space="preserve">Expected content: Define requested amount, purpose, tenor, pricing, amortization, collateral, covenants, and proposed facility structure from synthetic inputs.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Borrower, Ownership, and Management</w:t>
      </w:r>
    </w:p>
    <w:p>
      <w:r>
        <w:rPr>
          <w:sz w:val="20"/>
        </w:rPr>
        <w:t xml:space="preserve">Expected content: Identify legal borrower, ownership, sponsors/guarantors, management responsibilities, and relevant experience with support for each claim.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REPORT-NM-SECTION-03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Purpose and Sources/Uses</w:t>
      </w:r>
    </w:p>
    <w:p>
      <w:r>
        <w:rPr>
          <w:sz w:val="20"/>
        </w:rPr>
        <w:t xml:space="preserve">Expected content: Reconcile the requested use of funds to total sources, uses, equity contribution, refinancing, and any funding gap.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REPORT-NM-SECTION-04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Business and Industry Analysis</w:t>
      </w:r>
    </w:p>
    <w:p>
      <w:r>
        <w:rPr>
          <w:sz w:val="20"/>
        </w:rPr>
        <w:t xml:space="preserve">Expected content: Connect business model, industry dynamics, competitive position, and downside sensitivities to repayment capacity.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REPORT-NM-SECTION-05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Historical Financial Performance</w:t>
      </w:r>
    </w:p>
    <w:p>
      <w:r>
        <w:rPr>
          <w:sz w:val="20"/>
        </w:rPr>
        <w:t xml:space="preserve">Expected content: Present comparable filing periods for revenue, operating income, net income, margins, and material trends with period and unit labels.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REPORT-NM-SECTION-06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Base and Downside Projections</w:t>
      </w:r>
    </w:p>
    <w:p>
      <w:r>
        <w:rPr>
          <w:sz w:val="20"/>
        </w:rPr>
        <w:t xml:space="preserve">Expected content: Present assumptions, base/downside cases, revenue and margin drivers, debt service, and sensitivity results; mark projections synthetic.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REPORT-NM-SECTION-07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Primary and Secondary Repayment Sources</w:t>
      </w:r>
    </w:p>
    <w:p>
      <w:r>
        <w:rPr>
          <w:sz w:val="20"/>
        </w:rPr>
        <w:t xml:space="preserve">Expected content: Identify operating cash flow as primary repayment and collateral, guarantor support, asset sale, or refinancing as secondary sources with limits.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REPORT-NM-SECTION-08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Leverage, Coverage, and Liquidity</w:t>
      </w:r>
    </w:p>
    <w:p>
      <w:r>
        <w:rPr>
          <w:sz w:val="20"/>
        </w:rPr>
        <w:t xml:space="preserve">Expected content: Combine proposed debt with historical facts and synthetic structure to show leverage, coverage, liquidity, and stress-case headroom.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REPORT-NM-SECTION-09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Collateral and Enterprise Support</w:t>
      </w:r>
    </w:p>
    <w:p>
      <w:r>
        <w:rPr>
          <w:sz w:val="20"/>
        </w:rPr>
        <w:t xml:space="preserve">Expected content: Describe collateral, valuation basis, lien position, guarantees, and enterprise support; identify assumptions requiring approval.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REPORT-NM-SECTION-10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Covenants and Reporting Requirements</w:t>
      </w:r>
    </w:p>
    <w:p>
      <w:r>
        <w:rPr>
          <w:sz w:val="20"/>
        </w:rPr>
        <w:t xml:space="preserve">Expected content: Specify financial/operating covenants, testing dates, reporting packages, cure rights, and source data required for monitoring.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REPORT-NM-SECTION-11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Policy Exceptions</w:t>
      </w:r>
    </w:p>
    <w:p>
      <w:r>
        <w:rPr>
          <w:sz w:val="20"/>
        </w:rPr>
        <w:t xml:space="preserve">Expected content: List each policy exception, rationale, compensating control, approving authority, and unresolved documentation; do not bury exceptions in prose.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REPORT-NM-SECTION-12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Key Risks and Mitigants</w:t>
      </w:r>
    </w:p>
    <w:p>
      <w:r>
        <w:rPr>
          <w:sz w:val="20"/>
        </w:rPr>
        <w:t xml:space="preserve">Expected content: List material downside risks, their evidence, mitigants, monitoring signals, and residual risk; do not invent management actions.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REPORT-NM-SECTION-13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Recommendation, Conditions, and Approval Routing</w:t>
      </w:r>
    </w:p>
    <w:p>
      <w:r>
        <w:rPr>
          <w:sz w:val="20"/>
        </w:rPr>
        <w:t xml:space="preserve">Expected content: State the proposed decision, conditions, approval path, delegated authority, and escalation triggers in an executable form.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REPORT-NM-SECTION-14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Sources and Filing Provenance</w:t>
      </w:r>
    </w:p>
    <w:p>
      <w:r>
        <w:rPr>
          <w:sz w:val="20"/>
        </w:rPr>
        <w:t xml:space="preserve">Expected content: List every filing accession, period, concept/fact reference, source URL, and synthetic input used in the report; distinguish evidence from inference.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REPORT-NM-SECTION-15</w:t>
      </w:r>
    </w:p>
    <w:p>
      <w:r>
        <w:rPr>
          <w:sz w:val="20"/>
        </w:rPr>
        <w:t xml:space="preserve">Placeholder: complete from the approved source brief and scenario overlay.</w:t>
      </w:r>
    </w:p>
    <w:sectPr/>
  </w:body>
</w:document>
</file>