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8"/>
          <w:b/>
        </w:rPr>
        <w:t xml:space="preserve">Watchlist/Early Warning</w:t>
      </w:r>
    </w:p>
    <w:p>
      <w:r>
        <w:rPr>
          <w:sz w:val="22"/>
          <w:b/>
        </w:rPr>
        <w:t xml:space="preserve">Decision Header</w:t>
      </w:r>
    </w:p>
    <w:p>
      <w:r>
        <w:rPr>
          <w:sz w:val="20"/>
        </w:rPr>
        <w:t xml:space="preserve">Expected content: Identify the borrower, report date, request type, decision sought, exposure, risk rating, and preparer; keep the decision visible without unsupported conclusions.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REPORT-WL-SECTION-01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Watchlist Trigger and Event Timeline</w:t>
      </w:r>
    </w:p>
    <w:p>
      <w:r>
        <w:rPr>
          <w:sz w:val="20"/>
        </w:rPr>
        <w:t xml:space="preserve">Expected content: Identify the trigger, dates, chronology, source of each event, and why the event meets watchlist criteria.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REPORT-WL-SECTION-02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Current Exposure</w:t>
      </w:r>
    </w:p>
    <w:p>
      <w:r>
        <w:rPr>
          <w:sz w:val="20"/>
        </w:rPr>
        <w:t xml:space="preserve">Expected content: State current funded/unfunded exposure, utilization, collateral, maturity, and risk concentration.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REPORT-WL-SECTION-03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Operating and Financial Trend Analysis</w:t>
      </w:r>
    </w:p>
    <w:p>
      <w:r>
        <w:rPr>
          <w:sz w:val="20"/>
        </w:rPr>
        <w:t xml:space="preserve">Expected content: Show deterioration or improvement in operating, financial, and cash-flow trends across comparable periods.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REPORT-WL-SECTION-04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Liquidity Runway</w:t>
      </w:r>
    </w:p>
    <w:p>
      <w:r>
        <w:rPr>
          <w:sz w:val="20"/>
        </w:rPr>
        <w:t xml:space="preserve">Expected content: Calculate available liquidity and months of runway using explicit cash-burn, availability, and maturity assumptions.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REPORT-WL-SECTION-05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Debt Maturities and Refinancing Risk</w:t>
      </w:r>
    </w:p>
    <w:p>
      <w:r>
        <w:rPr>
          <w:sz w:val="20"/>
        </w:rPr>
        <w:t xml:space="preserve">Expected content: Map maturities, refinancing dependencies, market access assumptions, and contingency actions.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REPORT-WL-SECTION-06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Covenant Forecast</w:t>
      </w:r>
    </w:p>
    <w:p>
      <w:r>
        <w:rPr>
          <w:sz w:val="20"/>
        </w:rPr>
        <w:t xml:space="preserve">Expected content: Forecast covenant metrics over the monitoring horizon, including downside breach timing and headroom.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REPORT-WL-SECTION-07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Management Response</w:t>
      </w:r>
    </w:p>
    <w:p>
      <w:r>
        <w:rPr>
          <w:sz w:val="20"/>
        </w:rPr>
        <w:t xml:space="preserve">Expected content: Record management actions, commitments, dates, and evidence of execution; separate statements from verified outcomes.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REPORT-WL-SECTION-08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Risk Rating or Classification Rationale</w:t>
      </w:r>
    </w:p>
    <w:p>
      <w:r>
        <w:rPr>
          <w:sz w:val="20"/>
        </w:rPr>
        <w:t xml:space="preserve">Expected content: State current/proposed classification and the specific observable facts and policy criteria supporting it.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REPORT-WL-SECTION-09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Monitoring Plan and Cadence</w:t>
      </w:r>
    </w:p>
    <w:p>
      <w:r>
        <w:rPr>
          <w:sz w:val="20"/>
        </w:rPr>
        <w:t xml:space="preserve">Expected content: Define metrics, data sources, owner, review frequency, thresholds, and escalation route.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REPORT-WL-SECTION-10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Lender Action Plan</w:t>
      </w:r>
    </w:p>
    <w:p>
      <w:r>
        <w:rPr>
          <w:sz w:val="20"/>
        </w:rPr>
        <w:t xml:space="preserve">Expected content: Specify immediate lender actions, information requests, approval steps, and contingency actions.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REPORT-WL-SECTION-11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Recommendation</w:t>
      </w:r>
    </w:p>
    <w:p>
      <w:r>
        <w:rPr>
          <w:sz w:val="20"/>
        </w:rPr>
        <w:t xml:space="preserve">Expected content: Give a concise watchlist, continue, restrict, amend, escalate, or exit recommendation with conditions and decision authority.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REPORT-WL-SECTION-12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Sources and Filing Provenance</w:t>
      </w:r>
    </w:p>
    <w:p>
      <w:r>
        <w:rPr>
          <w:sz w:val="20"/>
        </w:rPr>
        <w:t xml:space="preserve">Expected content: List every filing accession, period, concept/fact reference, source URL, and synthetic input used in the report; distinguish evidence from inference.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REPORT-WL-SECTION-13</w:t>
      </w:r>
    </w:p>
    <w:p>
      <w:r>
        <w:rPr>
          <w:sz w:val="20"/>
        </w:rPr>
        <w:t xml:space="preserve">Placeholder: complete from the approved source brief and scenario overlay.</w:t>
      </w:r>
    </w:p>
    <w:sectPr/>
  </w:body>
</w:document>
</file>