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宋体"/>
          <w:b/>
          <w:color w:val="000000"/>
          <w:sz w:val="44"/>
        </w:rPr>
        <w:t>Differential Transformer</w:t>
        <w:br/>
      </w:r>
      <w:r>
        <w:rPr>
          <w:rFonts w:ascii="Calibri" w:hAnsi="Calibri" w:eastAsia="宋体"/>
          <w:b/>
          <w:color w:val="000000"/>
          <w:sz w:val="44"/>
        </w:rPr>
        <w:t>方法精读与六阶段复现报告</w:t>
      </w:r>
    </w:p>
    <w:p>
      <w:pPr>
        <w:spacing w:after="160"/>
      </w:pPr>
      <w:r>
        <w:rPr>
          <w:rFonts w:ascii="Calibri" w:hAnsi="Calibri" w:eastAsia="宋体"/>
          <w:color w:val="000000"/>
        </w:rPr>
        <w:t>修订日期 2026年10月11日</w:t>
      </w:r>
    </w:p>
    <w:p>
      <w:pPr>
        <w:pStyle w:val="Heading1"/>
      </w:pPr>
      <w:r>
        <w:t>一 研究问题与阅读结论</w:t>
      </w:r>
    </w:p>
    <w:p>
      <w:r>
        <w:rPr>
          <w:rFonts w:ascii="Calibri" w:hAnsi="Calibri" w:eastAsia="宋体"/>
          <w:color w:val="000000"/>
        </w:rPr>
        <w:t>当decoder处理长上下文时，注意力不仅可能选中与当前预测相关的内容，也可能给许多背景token分配非零权重。这些权重乘上value后进入残差流，后续网络需要继续区分有用与无用贡献。Differential Transformer提出一个具体问题：能否在注意力内部学习两种相关性，并通过相减减少共同干扰，同时保留两支之间有区别的目标信息？论文发表于ICLR 2025。本报告面向理解方法、数学和实验设计的读者，而不是只整理排行榜分数。</w:t>
      </w:r>
    </w:p>
    <w:p>
      <w:r>
        <w:rPr>
          <w:rFonts w:ascii="Calibri" w:hAnsi="Calibri" w:eastAsia="宋体"/>
          <w:color w:val="000000"/>
        </w:rPr>
        <w:t>本篇比较对象是已经采用pre RMSNorm、RoPE、SwiGLU与无bias投影的现代decoder。Attention Is All You Need提供QKV和多头的必要背景，但原始encoder decoder结构并非本篇的直接实验基线。创新集中在两张softmax图的可学习差分，以及与之配套的逐头归一化和尺度控制；已有的位置编码、门控前馈和残差结构不能一并计为本篇首次提出。</w:t>
      </w:r>
    </w:p>
    <w:p>
      <w:r>
        <w:rPr>
          <w:rFonts w:ascii="Calibri" w:hAnsi="Calibri" w:eastAsia="宋体"/>
          <w:color w:val="000000"/>
        </w:rPr>
        <w:t>阅读结论分为两层。代数上，匹配的共同贡献确实可以被抵消，但有用共同成分也可能消失，不匹配干扰甚至可能被放大。学习上，网络还必须自行学出这种匹配关系。本地六阶段完成了无训练机制检查和小规模检索对照；test答案正确率普通32.29%、差分30.47%，未显示全面优势。更多pairs时差分正确率较高但答案NLL更差，因此不能从一个指标宣称抗干扰成功，也不能据此否定原论文大模型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920"/>
      </w:tblGrid>
      <w:tr>
        <w:trPr>
          <w:cantSplit/>
          <w:tblHeader/>
        </w:trPr>
        <w:tc>
          <w:tcPr>
            <w:tcW w:type="dxa" w:w="1800"/>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阶段</w:t>
            </w:r>
          </w:p>
        </w:tc>
        <w:tc>
          <w:tcPr>
            <w:tcW w:type="dxa" w:w="792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本轮实际产物</w:t>
            </w:r>
          </w:p>
        </w:tc>
      </w:tr>
      <w:tr>
        <w:trPr>
          <w:cantSplit/>
        </w:trPr>
        <w:tc>
          <w:tcPr>
            <w:tcW w:type="dxa" w:w="180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1 机制背景</w:t>
            </w:r>
          </w:p>
        </w:tc>
        <w:tc>
          <w:tcPr>
            <w:tcW w:type="dxa" w:w="79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主源核对 公式形状 共同项与反例</w:t>
            </w:r>
          </w:p>
        </w:tc>
      </w:tr>
      <w:tr>
        <w:trPr>
          <w:cantSplit/>
        </w:trPr>
        <w:tc>
          <w:tcPr>
            <w:tcW w:type="dxa" w:w="1800"/>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2 任务基线</w:t>
            </w:r>
          </w:p>
        </w:tc>
        <w:tc>
          <w:tcPr>
            <w:tcW w:type="dxa" w:w="79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新合成任务 两架构与三seed配对</w:t>
            </w:r>
          </w:p>
        </w:tc>
      </w:tr>
      <w:tr>
        <w:trPr>
          <w:cantSplit/>
        </w:trPr>
        <w:tc>
          <w:tcPr>
            <w:tcW w:type="dxa" w:w="180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3 优化对照</w:t>
            </w:r>
          </w:p>
        </w:tc>
        <w:tc>
          <w:tcPr>
            <w:tcW w:type="dxa" w:w="79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两种峰值学习率 固定1000步预算</w:t>
            </w:r>
          </w:p>
        </w:tc>
      </w:tr>
      <w:tr>
        <w:trPr>
          <w:cantSplit/>
        </w:trPr>
        <w:tc>
          <w:tcPr>
            <w:tcW w:type="dxa" w:w="1800"/>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4 核心消融</w:t>
            </w:r>
          </w:p>
        </w:tc>
        <w:tc>
          <w:tcPr>
            <w:tcW w:type="dxa" w:w="79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固定λ0 固定λ1 去逐头norm</w:t>
            </w:r>
          </w:p>
        </w:tc>
      </w:tr>
      <w:tr>
        <w:trPr>
          <w:cantSplit/>
        </w:trPr>
        <w:tc>
          <w:tcPr>
            <w:tcW w:type="dxa" w:w="180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5 锁定评价</w:t>
            </w:r>
          </w:p>
        </w:tc>
        <w:tc>
          <w:tcPr>
            <w:tcW w:type="dxa" w:w="79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按dev锁配置 后评价test及两类OOD</w:t>
            </w:r>
          </w:p>
        </w:tc>
      </w:tr>
      <w:tr>
        <w:trPr>
          <w:cantSplit/>
        </w:trPr>
        <w:tc>
          <w:tcPr>
            <w:tcW w:type="dxa" w:w="1800"/>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6 部署归档</w:t>
            </w:r>
          </w:p>
        </w:tc>
        <w:tc>
          <w:tcPr>
            <w:tcW w:type="dxa" w:w="79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重载 推理 保存预测 独立重算</w:t>
            </w:r>
          </w:p>
        </w:tc>
      </w:tr>
    </w:tbl>
    <w:p>
      <w:pPr>
        <w:spacing w:after="0"/>
      </w:pPr>
    </w:p>
    <w:p>
      <w:r>
        <w:rPr>
          <w:rFonts w:ascii="Calibri" w:hAnsi="Calibri" w:eastAsia="宋体"/>
          <w:color w:val="000000"/>
        </w:rPr>
        <w:t>正式训练为21条轨迹、每条1000步、共21000步，另有一次两步smoke和一次零步准备错误。648条确定性算子条件不计训练。报告将作者原规模实验、本地算子证据与本地任务观察分开，并以可手算例子贯穿“权重变化为何不等于任务成功”。六阶段是已完成的本轮范围，末页扩展均为尚未执行的下一轮建议。</w:t>
      </w:r>
    </w:p>
    <w:p>
      <w:hyperlink r:id="rId10">
        <w:r>
          <w:rPr>
            <w:color w:val="234B70"/>
          </w:rPr>
          <w:t>ICLR 2025 官方会议论文</w:t>
        </w:r>
      </w:hyperlink>
    </w:p>
    <w:p>
      <w:pPr>
        <w:pStyle w:val="Heading1"/>
        <w:pageBreakBefore/>
      </w:pPr>
      <w:r>
        <w:t>二 标准注意力与双支形状</w:t>
      </w:r>
    </w:p>
    <w:p>
      <w:r>
        <w:rPr>
          <w:rFonts w:ascii="Calibri" w:hAnsi="Calibri" w:eastAsia="宋体"/>
          <w:color w:val="000000"/>
        </w:rPr>
        <w:t>把输入写成token逐行的矩阵X，序列长度N、隐藏宽度D。线性投影生成查询Q、索引K和内容V；QK内积表达当前位置与各可见位置的匹配，除以根号d控制随维度增长的尺度，softmax沿key轴归一化。每行概率乘V后得到内容的加权平均。注意力权重只有结合value才能解释为输出贡献：高权重作用在接近零的value上可能贡献很小，两个方向相反的value也可能互相抵消。</w:t>
      </w:r>
    </w:p>
    <w:p>
      <w:pPr>
        <w:keepNext/>
        <w:keepLines/>
        <w:spacing w:before="60" w:after="140"/>
        <w:jc w:val="center"/>
      </w:pPr>
      <m:oMath>
        <m:r>
          <m:t>Q=X</m:t>
        </m:r>
        <m:sSub>
          <m:e>
            <m:r>
              <m:t>W</m:t>
            </m:r>
          </m:e>
          <m:sub>
            <m:r>
              <m:t>Q</m:t>
            </m:r>
          </m:sub>
        </m:sSub>
        <m:r>
          <m:t xml:space="preserve">,   </m:t>
        </m:r>
        <m:r>
          <m:t>K=X</m:t>
        </m:r>
        <m:sSub>
          <m:e>
            <m:r>
              <m:t>W</m:t>
            </m:r>
          </m:e>
          <m:sub>
            <m:r>
              <m:t>K</m:t>
            </m:r>
          </m:sub>
        </m:sSub>
        <m:r>
          <m:t xml:space="preserve">,   </m:t>
        </m:r>
        <m:r>
          <m:t>V=X</m:t>
        </m:r>
        <m:sSub>
          <m:e>
            <m:r>
              <m:t>W</m:t>
            </m:r>
          </m:e>
          <m:sub>
            <m:r>
              <m:t>V</m:t>
            </m:r>
          </m:sub>
        </m:sSub>
        <m:r>
          <m:t xml:space="preserve">,   </m:t>
        </m:r>
        <m:r>
          <m:t>P=softmax(Q</m:t>
        </m:r>
        <m:sSup>
          <m:e>
            <m:r>
              <m:t>K</m:t>
            </m:r>
          </m:e>
          <m:sup>
            <m:r>
              <m:t>T</m:t>
            </m:r>
          </m:sup>
        </m:sSup>
        <m:r>
          <m:t>/</m:t>
        </m:r>
        <m:rad>
          <m:radPr>
            <m:degHide m:val="on"/>
          </m:radPr>
          <m:deg/>
          <m:e>
            <m:r>
              <m:t>d</m:t>
            </m:r>
          </m:e>
        </m:rad>
        <m:r>
          <m:t xml:space="preserve">+M),   </m:t>
        </m:r>
        <m:r>
          <m:t>Z=PV</m:t>
        </m:r>
      </m:oMath>
    </w:p>
    <w:p>
      <w:r>
        <w:rPr>
          <w:rFonts w:ascii="Calibri" w:hAnsi="Calibri" w:eastAsia="宋体"/>
          <w:color w:val="000000"/>
        </w:rPr>
        <w:t>差分结构为每个head产生两组Q/K，分别计算P1和P2，再相减；两支必须共享同一个V，才能明确比较它们对相同内容的取舍。相减发生在两次softmax之后。把两组logits先相减再做一次softmax，会得到另一种算子，失去本篇行和与共同平移性质。mask也应加在两支softmax之前。</w:t>
      </w:r>
    </w:p>
    <w:p>
      <w:pPr>
        <w:keepNext/>
        <w:keepLines/>
        <w:spacing w:before="60" w:after="140"/>
        <w:jc w:val="center"/>
      </w:pPr>
      <m:oMath>
        <m:sSub>
          <m:e>
            <m:r>
              <m:t>P</m:t>
            </m:r>
          </m:e>
          <m:sub>
            <m:r>
              <m:t>i</m:t>
            </m:r>
          </m:sub>
        </m:sSub>
        <m:r>
          <m:t>=softmax(</m:t>
        </m:r>
        <m:sSub>
          <m:e>
            <m:r>
              <m:t>Q</m:t>
            </m:r>
          </m:e>
          <m:sub>
            <m:r>
              <m:t>i</m:t>
            </m:r>
          </m:sub>
        </m:sSub>
        <m:sSubSup>
          <m:e>
            <m:r>
              <m:t>K</m:t>
            </m:r>
          </m:e>
          <m:sub>
            <m:r>
              <m:t>i</m:t>
            </m:r>
          </m:sub>
          <m:sup>
            <m:r>
              <m:t>T</m:t>
            </m:r>
          </m:sup>
        </m:sSubSup>
        <m:r>
          <m:t>/</m:t>
        </m:r>
        <m:rad>
          <m:radPr>
            <m:degHide m:val="on"/>
          </m:radPr>
          <m:deg/>
          <m:e>
            <m:r>
              <m:t>d</m:t>
            </m:r>
          </m:e>
        </m:rad>
        <m:r>
          <m:t xml:space="preserve">+M),   </m:t>
        </m:r>
        <m:r>
          <m:t>Z=(</m:t>
        </m:r>
        <m:sSub>
          <m:e>
            <m:r>
              <m:t>P</m:t>
            </m:r>
          </m:e>
          <m:sub>
            <m:r>
              <m:t>1</m:t>
            </m:r>
          </m:sub>
        </m:sSub>
        <m:r>
          <m:t>−λ</m:t>
        </m:r>
        <m:sSub>
          <m:e>
            <m:r>
              <m:t>P</m:t>
            </m:r>
          </m:e>
          <m:sub>
            <m:r>
              <m:t>2</m:t>
            </m:r>
          </m:sub>
        </m:sSub>
        <m:r>
          <m:t>)V</m:t>
        </m:r>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5112"/>
      </w:tblGrid>
      <w:tr>
        <w:trPr>
          <w:cantSplit/>
          <w:tblHeader/>
        </w:trPr>
        <w:tc>
          <w:tcPr>
            <w:tcW w:type="dxa" w:w="2016"/>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对象</w:t>
            </w:r>
          </w:p>
        </w:tc>
        <w:tc>
          <w:tcPr>
            <w:tcW w:type="dxa" w:w="2592"/>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单差分head形状</w:t>
            </w:r>
          </w:p>
        </w:tc>
        <w:tc>
          <w:tcPr>
            <w:tcW w:type="dxa" w:w="5112"/>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作用</w:t>
            </w:r>
          </w:p>
        </w:tc>
      </w:tr>
      <w:tr>
        <w:trPr>
          <w:cantSplit/>
        </w:trPr>
        <w:tc>
          <w:tcPr>
            <w:tcW w:type="dxa" w:w="20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X</w:t>
            </w:r>
          </w:p>
        </w:tc>
        <w:tc>
          <w:tcPr>
            <w:tcW w:type="dxa" w:w="259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N × D</w:t>
            </w:r>
          </w:p>
        </w:tc>
        <w:tc>
          <w:tcPr>
            <w:tcW w:type="dxa" w:w="511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公共残差流</w:t>
            </w:r>
          </w:p>
        </w:tc>
      </w:tr>
      <w:tr>
        <w:trPr>
          <w:cantSplit/>
        </w:trPr>
        <w:tc>
          <w:tcPr>
            <w:tcW w:type="dxa" w:w="20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Q1 Q2 K1 K2</w:t>
            </w:r>
          </w:p>
        </w:tc>
        <w:tc>
          <w:tcPr>
            <w:tcW w:type="dxa" w:w="259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N × d</w:t>
            </w:r>
          </w:p>
        </w:tc>
        <w:tc>
          <w:tcPr>
            <w:tcW w:type="dxa" w:w="511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两种相关性</w:t>
            </w:r>
          </w:p>
        </w:tc>
      </w:tr>
      <w:tr>
        <w:trPr>
          <w:cantSplit/>
        </w:trPr>
        <w:tc>
          <w:tcPr>
            <w:tcW w:type="dxa" w:w="20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P1 P2</w:t>
            </w:r>
          </w:p>
        </w:tc>
        <w:tc>
          <w:tcPr>
            <w:tcW w:type="dxa" w:w="259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N × N</w:t>
            </w:r>
          </w:p>
        </w:tc>
        <w:tc>
          <w:tcPr>
            <w:tcW w:type="dxa" w:w="511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各自合法概率图</w:t>
            </w:r>
          </w:p>
        </w:tc>
      </w:tr>
      <w:tr>
        <w:trPr>
          <w:cantSplit/>
        </w:trPr>
        <w:tc>
          <w:tcPr>
            <w:tcW w:type="dxa" w:w="20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共享V</w:t>
            </w:r>
          </w:p>
        </w:tc>
        <w:tc>
          <w:tcPr>
            <w:tcW w:type="dxa" w:w="259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N × 2d</w:t>
            </w:r>
          </w:p>
        </w:tc>
        <w:tc>
          <w:tcPr>
            <w:tcW w:type="dxa" w:w="511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同一内容空间</w:t>
            </w:r>
          </w:p>
        </w:tc>
      </w:tr>
      <w:tr>
        <w:trPr>
          <w:cantSplit/>
        </w:trPr>
        <w:tc>
          <w:tcPr>
            <w:tcW w:type="dxa" w:w="20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Z</w:t>
            </w:r>
          </w:p>
        </w:tc>
        <w:tc>
          <w:tcPr>
            <w:tcW w:type="dxa" w:w="259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N × 2d</w:t>
            </w:r>
          </w:p>
        </w:tc>
        <w:tc>
          <w:tcPr>
            <w:tcW w:type="dxa" w:w="511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有符号聚合结果</w:t>
            </w:r>
          </w:p>
        </w:tc>
      </w:tr>
    </w:tbl>
    <w:p>
      <w:pPr>
        <w:spacing w:after="0"/>
      </w:pPr>
    </w:p>
    <w:p>
      <w:pPr>
        <w:keepNext/>
        <w:keepLines/>
        <w:spacing w:before="60" w:after="140"/>
        <w:jc w:val="center"/>
      </w:pPr>
      <m:oMath>
        <m:sSub>
          <m:e>
            <m:r>
              <m:t>h</m:t>
            </m:r>
          </m:e>
          <m:sub>
            <m:r>
              <m:rPr>
                <m:sty m:val="p"/>
              </m:rPr>
              <m:t>diff</m:t>
            </m:r>
          </m:sub>
        </m:sSub>
        <m:r>
          <m:t xml:space="preserve">=D/(2d),   </m:t>
        </m:r>
        <m:sSub>
          <m:e>
            <m:r>
              <m:t>h</m:t>
            </m:r>
          </m:e>
          <m:sub>
            <m:r>
              <m:rPr>
                <m:sty m:val="p"/>
              </m:rPr>
              <m:t>base</m:t>
            </m:r>
          </m:sub>
        </m:sSub>
        <m:r>
          <m:t>=D/d=2</m:t>
        </m:r>
        <m:sSub>
          <m:e>
            <m:r>
              <m:t>h</m:t>
            </m:r>
          </m:e>
          <m:sub>
            <m:r>
              <m:rPr>
                <m:sty m:val="p"/>
              </m:rPr>
              <m:t>diff</m:t>
            </m:r>
          </m:sub>
        </m:sSub>
      </m:oMath>
    </w:p>
    <w:p>
      <w:r>
        <w:rPr>
          <w:rFonts w:ascii="Calibri" w:hAnsi="Calibri" w:eastAsia="宋体"/>
          <w:color w:val="000000"/>
        </w:rPr>
        <w:t>总Q和K通道均为2hd=D，总V通道为h乘2d=D，拼接仍回到D。实现可先把Q/K排成2h个d维通道，再两两分为一个差分head；V排成h个2d维通道。当前本地D64、d16，因此普通为4头，差分为2头，每个差分V宽32。不能同时固定“头数相同”和每头维度相同后仍声称容量配平。双支数量增加与差分头数减半要一起计算，随后再计λ与norm附加参数。</w:t>
      </w:r>
    </w:p>
    <w:p>
      <w:r>
        <w:rPr>
          <w:rFonts w:ascii="Calibri" w:hAnsi="Calibri" w:eastAsia="宋体"/>
          <w:color w:val="000000"/>
        </w:rPr>
        <w:t>全模块还包含输出投影W_O与残差。每个head独立处理后，按通道拼接，经W_O回写残差流。图中的符号表达只描述这一子层；最终预测还经过后续层、前馈、末端归一化和词表投影。注意力图的视觉集中并不自动证明模型使用了目标key，需用输入反事实和最终预测检验。</w:t>
      </w:r>
    </w:p>
    <w:p>
      <w:pPr>
        <w:pStyle w:val="Heading1"/>
        <w:pageBreakBefore/>
      </w:pPr>
      <w:r>
        <w:t>三 两个token的可手算例子</w:t>
      </w:r>
    </w:p>
    <w:p>
      <w:r>
        <w:rPr>
          <w:rFonts w:ascii="Calibri" w:hAnsi="Calibri" w:eastAsia="宋体"/>
          <w:color w:val="000000"/>
        </w:rPr>
        <w:t>考虑序列第二个位置查询前两个可见token，两者都满足因果约束。令两支logits分别为(log3,0)与(0,log3)，就得到以下严格正、和为1的softmax行；它们不是随意捏造的非法概率。令两个value分别为(2,0)与(0,2)。这些数只说明算子，未声称训练后的网络一定产生这种模式。</w:t>
      </w:r>
    </w:p>
    <w:p>
      <w:pPr>
        <w:keepNext/>
        <w:keepLines/>
        <w:spacing w:before="60" w:after="140"/>
        <w:jc w:val="center"/>
      </w:pPr>
      <m:oMath>
        <m:sSub>
          <m:e>
            <m:r>
              <m:t>p</m:t>
            </m:r>
          </m:e>
          <m:sub>
            <m:r>
              <m:t>1</m:t>
            </m:r>
          </m:sub>
        </m:sSub>
        <m:r>
          <m:t xml:space="preserve">=(3/4,   1/4),   </m:t>
        </m:r>
        <m:sSub>
          <m:e>
            <m:r>
              <m:t>p</m:t>
            </m:r>
          </m:e>
          <m:sub>
            <m:r>
              <m:t>2</m:t>
            </m:r>
          </m:sub>
        </m:sSub>
        <m:r>
          <m:t xml:space="preserve">=(1/4,   3/4),   </m:t>
        </m:r>
        <m:r>
          <m:t>V=(</m:t>
        </m:r>
        <m:m>
          <m:mPr>
            <m:baseJc m:val="center"/>
            <m:plcHide m:val="on"/>
            <m:mcs>
              <m:mc>
                <m:mcPr>
                  <m:count m:val="2"/>
                  <m:mcJc m:val="center"/>
                </m:mcPr>
              </m:mc>
            </m:mcs>
          </m:mPr>
          <m:mr>
            <m:e>
              <m:r>
                <m:t>2</m:t>
              </m:r>
            </m:e>
            <m:e>
              <m:r>
                <m:t>0</m:t>
              </m:r>
            </m:e>
          </m:mr>
          <m:mr>
            <m:e>
              <m:r>
                <m:t>0</m:t>
              </m:r>
            </m:e>
            <m:e>
              <m:r>
                <m:t>2</m:t>
              </m:r>
            </m:e>
          </m:mr>
        </m:m>
        <m:r>
          <m:t>)</m:t>
        </m:r>
      </m:oMath>
    </w:p>
    <w:p>
      <w:pPr>
        <w:keepNext/>
        <w:keepLines/>
        <w:spacing w:before="60" w:after="140"/>
        <w:jc w:val="center"/>
      </w:pPr>
      <m:oMath>
        <m:r>
          <m:t>λ=1:</m:t>
        </m:r>
        <m:r>
          <m:t>w=</m:t>
        </m:r>
        <m:sSub>
          <m:e>
            <m:r>
              <m:t>p</m:t>
            </m:r>
          </m:e>
          <m:sub>
            <m:r>
              <m:t>1</m:t>
            </m:r>
          </m:sub>
        </m:sSub>
        <m:r>
          <m:t>−</m:t>
        </m:r>
        <m:sSub>
          <m:e>
            <m:r>
              <m:t>p</m:t>
            </m:r>
          </m:e>
          <m:sub>
            <m:r>
              <m:t>2</m:t>
            </m:r>
          </m:sub>
        </m:sSub>
        <m:r>
          <m:t xml:space="preserve">=(1/2,   −1/2),   </m:t>
        </m:r>
        <m:r>
          <m:t>w</m:t>
        </m:r>
        <m:r>
          <m:t>1</m:t>
        </m:r>
        <m:r>
          <m:t xml:space="preserve">=0,   </m:t>
        </m:r>
        <m:r>
          <m:t xml:space="preserve">wV=(1,   −1)</m:t>
        </m:r>
      </m:oMath>
    </w:p>
    <w:p>
      <w:r>
        <w:rPr>
          <w:rFonts w:ascii="Calibri" w:hAnsi="Calibri" w:eastAsia="宋体"/>
          <w:color w:val="000000"/>
        </w:rPr>
        <w:t>负权重在这里是相减的正常结果。行和为零只表示对常量内容的总系数为零，不表示每个系数或输出为零；两个不同的value使差异保留下来。这类似比较两种内容的对比信号，已不再是两者的凸平均。若把两个value都同时加c，输出不变；若两个value本身相同，则该行输出为零。这种不变性既可能去背景，也可能删除重要的共享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00"/>
        <w:gridCol w:w="3384"/>
      </w:tblGrid>
      <w:tr>
        <w:trPr>
          <w:cantSplit/>
          <w:tblHeader/>
        </w:trPr>
        <w:tc>
          <w:tcPr>
            <w:tcW w:type="dxa" w:w="2736"/>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λ或条件</w:t>
            </w:r>
          </w:p>
        </w:tc>
        <w:tc>
          <w:tcPr>
            <w:tcW w:type="dxa" w:w="360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有符号权重w</w:t>
            </w:r>
          </w:p>
        </w:tc>
        <w:tc>
          <w:tcPr>
            <w:tcW w:type="dxa" w:w="338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归一化前输出</w:t>
            </w:r>
          </w:p>
        </w:tc>
      </w:tr>
      <w:tr>
        <w:trPr>
          <w:cantSplit/>
        </w:trPr>
        <w:tc>
          <w:tcPr>
            <w:tcW w:type="dxa" w:w="273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λ0</w:t>
            </w:r>
          </w:p>
        </w:tc>
        <w:tc>
          <w:tcPr>
            <w:tcW w:type="dxa" w:w="360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(3/4, 1/4)</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(3/2, 1/2)</w:t>
            </w:r>
          </w:p>
        </w:tc>
      </w:tr>
      <w:tr>
        <w:trPr>
          <w:cantSplit/>
        </w:trPr>
        <w:tc>
          <w:tcPr>
            <w:tcW w:type="dxa" w:w="273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λ1/2</w:t>
            </w:r>
          </w:p>
        </w:tc>
        <w:tc>
          <w:tcPr>
            <w:tcW w:type="dxa" w:w="360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(5/8, −1/8)</w:t>
            </w:r>
          </w:p>
        </w:tc>
        <w:tc>
          <w:tcPr>
            <w:tcW w:type="dxa" w:w="338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(5/4, −1/4)</w:t>
            </w:r>
          </w:p>
        </w:tc>
      </w:tr>
      <w:tr>
        <w:trPr>
          <w:cantSplit/>
        </w:trPr>
        <w:tc>
          <w:tcPr>
            <w:tcW w:type="dxa" w:w="273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λ1</w:t>
            </w:r>
          </w:p>
        </w:tc>
        <w:tc>
          <w:tcPr>
            <w:tcW w:type="dxa" w:w="360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(1/2, −1/2)</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 −1)</w:t>
            </w:r>
          </w:p>
        </w:tc>
      </w:tr>
      <w:tr>
        <w:trPr>
          <w:cantSplit/>
        </w:trPr>
        <w:tc>
          <w:tcPr>
            <w:tcW w:type="dxa" w:w="273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P2等于P1 且λ1</w:t>
            </w:r>
          </w:p>
        </w:tc>
        <w:tc>
          <w:tcPr>
            <w:tcW w:type="dxa" w:w="360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(0, 0)</w:t>
            </w:r>
          </w:p>
        </w:tc>
        <w:tc>
          <w:tcPr>
            <w:tcW w:type="dxa" w:w="338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(0, 0)</w:t>
            </w:r>
          </w:p>
        </w:tc>
      </w:tr>
    </w:tbl>
    <w:p>
      <w:pPr>
        <w:spacing w:after="0"/>
      </w:pPr>
    </w:p>
    <w:p>
      <w:pPr>
        <w:keepNext/>
        <w:keepLines/>
        <w:spacing w:before="60" w:after="140"/>
        <w:jc w:val="center"/>
      </w:pPr>
      <m:oMath>
        <m:r>
          <m:t>W</m:t>
        </m:r>
        <m:r>
          <m:t>1</m:t>
        </m:r>
        <m:r>
          <m:t>=(1−λ)</m:t>
        </m:r>
        <m:r>
          <m:t>1</m:t>
        </m:r>
        <m:r>
          <m:t xml:space="preserve">,   </m:t>
        </m:r>
        <m:r>
          <m:t>W(V+</m:t>
        </m:r>
        <m:r>
          <m:t>1</m:t>
        </m:r>
        <m:sSup>
          <m:e>
            <m:r>
              <m:t>c</m:t>
            </m:r>
          </m:e>
          <m:sup>
            <m:r>
              <m:t>T</m:t>
            </m:r>
          </m:sup>
        </m:sSup>
        <m:r>
          <m:t>)=WV+(1−λ)</m:t>
        </m:r>
        <m:r>
          <m:t>1</m:t>
        </m:r>
        <m:sSup>
          <m:e>
            <m:r>
              <m:t>c</m:t>
            </m:r>
          </m:e>
          <m:sup>
            <m:r>
              <m:t>T</m:t>
            </m:r>
          </m:sup>
        </m:sSup>
      </m:oMath>
    </w:p>
    <w:p>
      <w:r>
        <w:rPr>
          <w:rFonts w:ascii="Calibri" w:hAnsi="Calibri" w:eastAsia="宋体"/>
          <w:color w:val="000000"/>
        </w:rPr>
        <w:t>完全相同两图的对照尤其重要：λ1时输出确实为零，但它同时删除目标，不能称为成功降噪。对非零例子z=(1,−1)，若g为全1、λ_init=.2，完整head输出约为.8(1,−1)，精确分母还含epsilon；后尺度固定使用λ_init，所以不会因当前λ1被清零。这个计算也说明，应分别报告归一化前后的量，而不能把线性抵消公式直接套到RMSNorm之后。</w:t>
      </w:r>
    </w:p>
    <w:p>
      <w:r>
        <w:rPr>
          <w:rFonts w:ascii="Calibri" w:hAnsi="Calibri" w:eastAsia="宋体"/>
          <w:color w:val="000000"/>
        </w:rPr>
        <w:t>每支P可以计算Shannon熵；差分W含负数，不能直接当概率计算熵或把行和零解读为“不关注任何内容”。若需要描述W，可报告正质量、负质量、各token的加权value贡献，或明确标注归一化绝对值的集中度；后者已经丢失方向。读者可自测：在两value不相同时，为什么零行和仍能编码差异？答案必须诉诸矩阵乘法，而不是概率直觉。</w:t>
      </w:r>
    </w:p>
    <w:p>
      <w:pPr>
        <w:pStyle w:val="Heading1"/>
        <w:pageBreakBefore/>
      </w:pPr>
      <w:r>
        <w:t>四 lambda参数化与完整梯度链</w:t>
      </w:r>
    </w:p>
    <w:p>
      <w:r>
        <w:rPr>
          <w:rFonts w:ascii="Calibri" w:hAnsi="Calibri" w:eastAsia="宋体"/>
          <w:color w:val="000000"/>
        </w:rPr>
        <w:t>λ是每层共享于各head的标量，不是按token变化的门。官方用四条长度d的可学习向量构造它；这些向量独立于输入Q/K，即使代码名称类似lambda_q，也不能解释为某个token的查询。零起算层号ℓ下，深度常数如下。随机小向量使两个指数通常不完全相等，所以实际初始λ不必恰好等于λ_init；此参数化也没有把λ硬限制在0到1。</w:t>
      </w:r>
    </w:p>
    <w:p>
      <w:pPr>
        <w:keepNext/>
        <w:keepLines/>
        <w:spacing w:before="60" w:after="140"/>
        <w:jc w:val="center"/>
      </w:pPr>
      <m:oMath>
        <m:r>
          <m:t>λ=</m:t>
        </m:r>
        <m:sSup>
          <m:e>
            <m:r>
              <m:t>e</m:t>
            </m:r>
          </m:e>
          <m:sup>
            <m:sSubSup>
              <m:e>
                <m:r>
                  <m:t>u</m:t>
                </m:r>
              </m:e>
              <m:sub>
                <m:r>
                  <m:t>1</m:t>
                </m:r>
              </m:sub>
              <m:sup>
                <m:r>
                  <m:t>T</m:t>
                </m:r>
              </m:sup>
            </m:sSubSup>
            <m:sSub>
              <m:e>
                <m:r>
                  <m:t>v</m:t>
                </m:r>
              </m:e>
              <m:sub>
                <m:r>
                  <m:t>1</m:t>
                </m:r>
              </m:sub>
            </m:sSub>
          </m:sup>
        </m:sSup>
        <m:r>
          <m:t>−</m:t>
        </m:r>
        <m:sSup>
          <m:e>
            <m:r>
              <m:t>e</m:t>
            </m:r>
          </m:e>
          <m:sup>
            <m:sSubSup>
              <m:e>
                <m:r>
                  <m:t>u</m:t>
                </m:r>
              </m:e>
              <m:sub>
                <m:r>
                  <m:t>2</m:t>
                </m:r>
              </m:sub>
              <m:sup>
                <m:r>
                  <m:t>T</m:t>
                </m:r>
              </m:sup>
            </m:sSubSup>
            <m:sSub>
              <m:e>
                <m:r>
                  <m:t>v</m:t>
                </m:r>
              </m:e>
              <m:sub>
                <m:r>
                  <m:t>2</m:t>
                </m:r>
              </m:sub>
            </m:sSub>
          </m:sup>
        </m:sSup>
        <m:r>
          <m:t>+</m:t>
        </m:r>
        <m:sSub>
          <m:e>
            <m:r>
              <m:t>λ</m:t>
            </m:r>
          </m:e>
          <m:sub>
            <m:r>
              <m:rPr>
                <m:sty m:val="p"/>
              </m:rPr>
              <m:t>init</m:t>
            </m:r>
          </m:sub>
        </m:sSub>
        <m:r>
          <m:t xml:space="preserve">,   </m:t>
        </m:r>
        <m:sSub>
          <m:e>
            <m:r>
              <m:t>λ</m:t>
            </m:r>
          </m:e>
          <m:sub>
            <m:r>
              <m:rPr>
                <m:sty m:val="p"/>
              </m:rPr>
              <m:t>init</m:t>
            </m:r>
          </m:sub>
        </m:sSub>
        <m:r>
          <m:t>(ℓ)=0.8−0.6</m:t>
        </m:r>
        <m:sSup>
          <m:e>
            <m:r>
              <m:t>e</m:t>
            </m:r>
          </m:e>
          <m:sup>
            <m:r>
              <m:t>−0.3ℓ</m:t>
            </m:r>
          </m:sup>
        </m:sSup>
      </m:oMath>
    </w:p>
    <w:p>
      <w:pPr>
        <w:keepNext/>
        <w:keepLines/>
        <w:spacing w:before="60" w:after="140"/>
        <w:jc w:val="center"/>
      </w:pPr>
      <m:oMath>
        <m:f>
          <m:fPr>
            <m:type m:val="bar"/>
          </m:fPr>
          <m:num>
            <m:r>
              <m:t>∂λ</m:t>
            </m:r>
          </m:num>
          <m:den>
            <m:r>
              <m:t>∂</m:t>
            </m:r>
            <m:sSub>
              <m:e>
                <m:r>
                  <m:t>u</m:t>
                </m:r>
              </m:e>
              <m:sub>
                <m:r>
                  <m:t>1</m:t>
                </m:r>
              </m:sub>
            </m:sSub>
          </m:den>
        </m:f>
        <m:r>
          <m:t>=</m:t>
        </m:r>
        <m:sSup>
          <m:e>
            <m:r>
              <m:t>e</m:t>
            </m:r>
          </m:e>
          <m:sup>
            <m:sSubSup>
              <m:e>
                <m:r>
                  <m:t>u</m:t>
                </m:r>
              </m:e>
              <m:sub>
                <m:r>
                  <m:t>1</m:t>
                </m:r>
              </m:sub>
              <m:sup>
                <m:r>
                  <m:t>T</m:t>
                </m:r>
              </m:sup>
            </m:sSubSup>
            <m:sSub>
              <m:e>
                <m:r>
                  <m:t>v</m:t>
                </m:r>
              </m:e>
              <m:sub>
                <m:r>
                  <m:t>1</m:t>
                </m:r>
              </m:sub>
            </m:sSub>
          </m:sup>
        </m:sSup>
        <m:sSub>
          <m:e>
            <m:r>
              <m:t>v</m:t>
            </m:r>
          </m:e>
          <m:sub>
            <m:r>
              <m:t>1</m:t>
            </m:r>
          </m:sub>
        </m:sSub>
        <m:r>
          <m:t xml:space="preserve">,   </m:t>
        </m:r>
        <m:f>
          <m:fPr>
            <m:type m:val="bar"/>
          </m:fPr>
          <m:num>
            <m:r>
              <m:t>∂λ</m:t>
            </m:r>
          </m:num>
          <m:den>
            <m:r>
              <m:t>∂</m:t>
            </m:r>
            <m:sSub>
              <m:e>
                <m:r>
                  <m:t>u</m:t>
                </m:r>
              </m:e>
              <m:sub>
                <m:r>
                  <m:t>2</m:t>
                </m:r>
              </m:sub>
            </m:sSub>
          </m:den>
        </m:f>
        <m:r>
          <m:t>=−</m:t>
        </m:r>
        <m:sSup>
          <m:e>
            <m:r>
              <m:t>e</m:t>
            </m:r>
          </m:e>
          <m:sup>
            <m:sSubSup>
              <m:e>
                <m:r>
                  <m:t>u</m:t>
                </m:r>
              </m:e>
              <m:sub>
                <m:r>
                  <m:t>2</m:t>
                </m:r>
              </m:sub>
              <m:sup>
                <m:r>
                  <m:t>T</m:t>
                </m:r>
              </m:sup>
            </m:sSubSup>
            <m:sSub>
              <m:e>
                <m:r>
                  <m:t>v</m:t>
                </m:r>
              </m:e>
              <m:sub>
                <m:r>
                  <m:t>2</m:t>
                </m:r>
              </m:sub>
            </m:sSub>
          </m:sup>
        </m:sSup>
        <m:sSub>
          <m:e>
            <m:r>
              <m:t>v</m:t>
            </m:r>
          </m:e>
          <m:sub>
            <m:r>
              <m:t>2</m:t>
            </m:r>
          </m:sub>
        </m:sSub>
      </m:oMath>
    </w:p>
    <w:p>
      <w:r>
        <w:rPr>
          <w:rFonts w:ascii="Calibri" w:hAnsi="Calibri" w:eastAsia="宋体"/>
          <w:color w:val="000000"/>
        </w:rPr>
        <w:t>对v的导数交换u/v即可。四向量若全为零，四条一阶导数也为零，任务梯度不能自行启动这条双线性路径；官方采用标准差.1的随机向量。指数参数化可能放大梯度，因此实际优化还需观察λ、激活、有限值和裁剪。本地局部有限差分只核验实现的导数，不证明多步AdamW一定稳定或找到有意义的差分图。</w:t>
      </w:r>
    </w:p>
    <w:p>
      <w:pPr>
        <w:keepNext/>
        <w:keepLines/>
        <w:spacing w:before="60" w:after="140"/>
        <w:jc w:val="center"/>
      </w:pPr>
      <m:oMath>
        <m:r>
          <m:t>ρ=</m:t>
        </m:r>
        <m:rad>
          <m:radPr>
            <m:degHide m:val="on"/>
          </m:radPr>
          <m:deg/>
          <m:e>
            <m:sSup>
              <m:e>
                <m:r>
                  <m:t>m</m:t>
                </m:r>
              </m:e>
              <m:sup>
                <m:r>
                  <m:t>−1</m:t>
                </m:r>
              </m:sup>
            </m:sSup>
            <m:nary>
              <m:naryPr>
                <m:chr m:val="∑"/>
                <m:limLoc m:val="subSup"/>
                <m:grow m:val="1"/>
                <m:subHide m:val="off"/>
                <m:supHide m:val="on"/>
              </m:naryPr>
              <m:sub>
                <m:r>
                  <m:t>j</m:t>
                </m:r>
              </m:sub>
              <m:sup/>
              <m:e>
                <m:sSubSup>
                  <m:e>
                    <m:r>
                      <m:t>z</m:t>
                    </m:r>
                  </m:e>
                  <m:sub>
                    <m:r>
                      <m:t>j</m:t>
                    </m:r>
                  </m:sub>
                  <m:sup>
                    <m:r>
                      <m:t>2</m:t>
                    </m:r>
                  </m:sup>
                </m:sSubSup>
              </m:e>
            </m:nary>
            <m:r>
              <m:t>+ϵ</m:t>
            </m:r>
          </m:e>
        </m:rad>
        <m:r>
          <m:t xml:space="preserve">,   </m:t>
        </m:r>
        <m:sSub>
          <m:e>
            <m:r>
              <m:t>R</m:t>
            </m:r>
          </m:e>
          <m:sub>
            <m:r>
              <m:t>g</m:t>
            </m:r>
          </m:sub>
        </m:sSub>
        <m:r>
          <m:t xml:space="preserve">(z)=diag(g)z/ρ,   </m:t>
        </m:r>
        <m:r>
          <m:t>H=(1−</m:t>
        </m:r>
        <m:sSub>
          <m:e>
            <m:r>
              <m:t>λ</m:t>
            </m:r>
          </m:e>
          <m:sub>
            <m:r>
              <m:rPr>
                <m:sty m:val="p"/>
              </m:rPr>
              <m:t>init</m:t>
            </m:r>
          </m:sub>
        </m:sSub>
        <m:r>
          <m:t>)</m:t>
        </m:r>
        <m:sSub>
          <m:e>
            <m:r>
              <m:t>R</m:t>
            </m:r>
          </m:e>
          <m:sub>
            <m:r>
              <m:t>g</m:t>
            </m:r>
          </m:sub>
        </m:sSub>
        <m:r>
          <m:t xml:space="preserve">(z),   </m:t>
        </m:r>
        <m:r>
          <m:t>m=2d</m:t>
        </m:r>
      </m:oMath>
    </w:p>
    <w:p>
      <w:r>
        <w:rPr>
          <w:rFonts w:ascii="Calibri" w:hAnsi="Calibri" w:eastAsia="宋体"/>
          <w:color w:val="000000"/>
        </w:rPr>
        <w:t>RMS统计沿每个token每个head的2d通道计算，不跨head、不减均值。官方只设置一条长度2d的affine增益g，广播给所有head和token；统计独立不等于每头独立一套增益。论文图中的GroupNorm表示分头归一化，源码实际使用RMSNorm。注意力输入的pre RMSNorm沿D通道处理，与此处内部逐头norm位置不同。</w:t>
      </w:r>
    </w:p>
    <w:p>
      <w:pPr>
        <w:keepNext/>
        <w:keepLines/>
        <w:spacing w:before="60" w:after="140"/>
        <w:jc w:val="center"/>
      </w:pPr>
      <m:oMath>
        <m:sSub>
          <m:e>
            <m:r>
              <m:t>J</m:t>
            </m:r>
          </m:e>
          <m:sub>
            <m:r>
              <m:t>R</m:t>
            </m:r>
          </m:sub>
        </m:sSub>
        <m:r>
          <m:t>(z)=diag(g)</m:t>
        </m:r>
        <m:d>
          <m:dPr>
            <m:sepChr m:val=""/>
          </m:dPr>
          <m:e>
            <m:r>
              <m:t>I</m:t>
            </m:r>
            <m:r>
              <m:t>/</m:t>
            </m:r>
            <m:r>
              <m:t>ρ</m:t>
            </m:r>
            <m:r>
              <m:t>−</m:t>
            </m:r>
            <m:r>
              <m:t>z</m:t>
            </m:r>
            <m:sSup>
              <m:e>
                <m:r>
                  <m:t>z</m:t>
                </m:r>
              </m:e>
              <m:sup>
                <m:r>
                  <m:t>T</m:t>
                </m:r>
              </m:sup>
            </m:sSup>
            <m:r>
              <m:t>/</m:t>
            </m:r>
            <m:r>
              <m:t>(</m:t>
            </m:r>
            <m:r>
              <m:t>m</m:t>
            </m:r>
            <m:sSup>
              <m:e>
                <m:r>
                  <m:t>ρ</m:t>
                </m:r>
              </m:e>
              <m:sup>
                <m:r>
                  <m:t>3</m:t>
                </m:r>
              </m:sup>
            </m:sSup>
            <m:r>
              <m:t>)</m:t>
            </m:r>
          </m:e>
        </m:d>
      </m:oMath>
    </w:p>
    <w:p>
      <w:pPr>
        <w:keepNext/>
        <w:keepLines/>
        <w:spacing w:before="60" w:after="140"/>
        <w:jc w:val="center"/>
      </w:pPr>
      <m:oMath>
        <m:f>
          <m:fPr>
            <m:type m:val="bar"/>
          </m:fPr>
          <m:num>
            <m:r>
              <m:t>∂Z</m:t>
            </m:r>
          </m:num>
          <m:den>
            <m:r>
              <m:t>∂λ</m:t>
            </m:r>
          </m:den>
        </m:f>
        <m:r>
          <m:t>=−</m:t>
        </m:r>
        <m:sSub>
          <m:e>
            <m:r>
              <m:t>P</m:t>
            </m:r>
          </m:e>
          <m:sub>
            <m:r>
              <m:t>2</m:t>
            </m:r>
          </m:sub>
        </m:sSub>
        <m:r>
          <m:t xml:space="preserve">V,   </m:t>
        </m:r>
        <m:f>
          <m:fPr>
            <m:type m:val="bar"/>
          </m:fPr>
          <m:num>
            <m:r>
              <m:t>∂</m:t>
            </m:r>
            <m:sSub>
              <m:e>
                <m:r>
                  <m:t>H</m:t>
                </m:r>
              </m:e>
              <m:sub>
                <m:r>
                  <m:t>t</m:t>
                </m:r>
              </m:sub>
            </m:sSub>
          </m:num>
          <m:den>
            <m:r>
              <m:t>∂λ</m:t>
            </m:r>
          </m:den>
        </m:f>
        <m:r>
          <m:t>=−(1−</m:t>
        </m:r>
        <m:sSub>
          <m:e>
            <m:r>
              <m:t>λ</m:t>
            </m:r>
          </m:e>
          <m:sub>
            <m:r>
              <m:rPr>
                <m:sty m:val="p"/>
              </m:rPr>
              <m:t>init</m:t>
            </m:r>
          </m:sub>
        </m:sSub>
        <m:r>
          <m:t>)</m:t>
        </m:r>
        <m:sSub>
          <m:e>
            <m:r>
              <m:t>J</m:t>
            </m:r>
          </m:e>
          <m:sub>
            <m:r>
              <m:t>R</m:t>
            </m:r>
          </m:sub>
        </m:sSub>
        <m:r>
          <m:t>(</m:t>
        </m:r>
        <m:sSub>
          <m:e>
            <m:r>
              <m:t>z</m:t>
            </m:r>
          </m:e>
          <m:sub>
            <m:r>
              <m:t>t</m:t>
            </m:r>
          </m:sub>
        </m:sSub>
        <m:r>
          <m:t>)(</m:t>
        </m:r>
        <m:sSub>
          <m:e>
            <m:r>
              <m:t>P</m:t>
            </m:r>
          </m:e>
          <m:sub>
            <m:r>
              <m:t>2</m:t>
            </m:r>
          </m:sub>
        </m:sSub>
        <m:r>
          <m:t>V</m:t>
        </m:r>
        <m:sSub>
          <m:e>
            <m:r>
              <m:t>)</m:t>
            </m:r>
          </m:e>
          <m:sub>
            <m:r>
              <m:t>t</m:t>
            </m:r>
          </m:sub>
        </m:sSub>
      </m:oMath>
    </w:p>
    <w:p>
      <w:r>
        <w:rPr>
          <w:rFonts w:ascii="Calibri" w:hAnsi="Calibri" w:eastAsia="宋体"/>
          <w:color w:val="000000"/>
        </w:rPr>
        <w:t>最后一式将单token输出视为列向量；损失梯度继续乘输出投影及上游梯度，再乘λ对四向量的导数。第二支Q/K梯度还经过softmax Jacobian diag(p2)−p2p2ᵀ和系数−λ。只写−P2V会遗漏归一化的方向耦合；把后尺度误写1−λ还会增加错误的导数项，并把λ1输出人为清零。官方RMS含FP32计算细节，本地float64代数检查不等同逐位复刻官方kernel。</w:t>
      </w:r>
    </w:p>
    <w:p>
      <w:pPr>
        <w:pStyle w:val="Heading1"/>
        <w:pageBreakBefore/>
      </w:pPr>
      <w:r>
        <w:t>五 因果位置与方法伪代码</w:t>
      </w:r>
    </w:p>
    <w:p>
      <w:r>
        <w:rPr>
          <w:rFonts w:ascii="Calibri" w:hAnsi="Calibri" w:eastAsia="宋体"/>
          <w:color w:val="000000"/>
        </w:rPr>
        <w:t>decoder的每个位置只能访问自己及更早token；两支均需在softmax之前施加同一上三角屏蔽，并屏蔽PAD key。先softmax再将未来概率置零会改变归一化，而只屏蔽一支仍会泄漏未来。每行至少保留一个有效key以避免全屏蔽行的未定义softmax。注意力mask决定能读取什么，label mask决定哪些预测计入损失，两者不能互相替代。</w:t>
      </w:r>
    </w:p>
    <w:p>
      <w:pPr>
        <w:keepNext/>
        <w:keepLines/>
        <w:spacing w:before="60" w:after="140"/>
        <w:jc w:val="center"/>
      </w:pPr>
      <m:oMath>
        <m:sSub>
          <m:e>
            <m:r>
              <m:t>M</m:t>
            </m:r>
          </m:e>
          <m:sub>
            <m:r>
              <m:t>ts</m:t>
            </m:r>
          </m:sub>
        </m:sSub>
        <m:r>
          <m:t>=0</m:t>
        </m:r>
        <m:r>
          <m:rPr>
            <m:sty m:val="p"/>
          </m:rPr>
          <m:t> </m:t>
        </m:r>
        <m:r>
          <m:t xml:space="preserve">(s≤t),   </m:t>
        </m:r>
        <m:sSub>
          <m:e>
            <m:r>
              <m:t>M</m:t>
            </m:r>
          </m:e>
          <m:sub>
            <m:r>
              <m:t>ts</m:t>
            </m:r>
          </m:sub>
        </m:sSub>
        <m:r>
          <m:t>=−∞</m:t>
        </m:r>
        <m:r>
          <m:rPr>
            <m:sty m:val="p"/>
          </m:rPr>
          <m:t> </m:t>
        </m:r>
        <m:r>
          <m:t>(s&gt;t)</m:t>
        </m:r>
      </m:oMath>
    </w:p>
    <w:p>
      <w:r>
        <w:rPr>
          <w:rFonts w:ascii="Calibri" w:hAnsi="Calibri" w:eastAsia="宋体"/>
          <w:color w:val="000000"/>
        </w:rPr>
        <w:t>RoPE旋转两支Q/K而不旋转V，使内积依赖相对位置。连续偶奇坐标配对与分半配对的实现必须一致；形状一样不代表位置约定可以混用。共同平移位置后的点积与范数检查可以发现旋转错误，但不能证明模型在超长位置仍能泛化。官方源码采用interleaved约定，本地也以相邻偶奇维度配对，base为10000。</w:t>
      </w:r>
    </w:p>
    <w:p>
      <w:pPr>
        <w:keepNext/>
        <w:keepLines/>
        <w:spacing w:before="60" w:after="140"/>
        <w:jc w:val="center"/>
      </w:pPr>
      <m:oMath>
        <m:r>
          <m:t>(</m:t>
        </m:r>
        <m:sSub>
          <m:e>
            <m:r>
              <m:t>R</m:t>
            </m:r>
          </m:e>
          <m:sub>
            <m:r>
              <m:t>t</m:t>
            </m:r>
          </m:sub>
        </m:sSub>
        <m:r>
          <m:t>q</m:t>
        </m:r>
        <m:sSup>
          <m:e>
            <m:r>
              <m:t>)</m:t>
            </m:r>
          </m:e>
          <m:sup>
            <m:r>
              <m:t>T</m:t>
            </m:r>
          </m:sup>
        </m:sSup>
        <m:r>
          <m:t>(</m:t>
        </m:r>
        <m:sSub>
          <m:e>
            <m:r>
              <m:t>R</m:t>
            </m:r>
          </m:e>
          <m:sub>
            <m:r>
              <m:t>s</m:t>
            </m:r>
          </m:sub>
        </m:sSub>
        <m:r>
          <m:t>k)=</m:t>
        </m:r>
        <m:sSup>
          <m:e>
            <m:r>
              <m:t>q</m:t>
            </m:r>
          </m:e>
          <m:sup>
            <m:r>
              <m:t>T</m:t>
            </m:r>
          </m:sup>
        </m:sSup>
        <m:sSub>
          <m:e>
            <m:r>
              <m:t>R</m:t>
            </m:r>
          </m:e>
          <m:sub>
            <m:r>
              <m:t>s−t</m:t>
            </m:r>
          </m:sub>
        </m:sSub>
        <m:r>
          <m:t>k</m:t>
        </m:r>
      </m:oMath>
    </w:p>
    <w:p>
      <w:pPr>
        <w:keepNext/>
        <w:keepLines/>
        <w:spacing w:before="60" w:after="140"/>
        <w:jc w:val="center"/>
      </w:pPr>
      <m:oMath>
        <m:r>
          <m:t xml:space="preserve">Y=X+DiffMHA(RMSNorm(X)),   </m:t>
        </m:r>
        <m:sSub>
          <m:e>
            <m:r>
              <m:t>X</m:t>
            </m:r>
          </m:e>
          <m:sub>
            <m:r>
              <m:rPr>
                <m:sty m:val="p"/>
              </m:rPr>
              <m:t>next</m:t>
            </m:r>
          </m:sub>
        </m:sSub>
        <m:r>
          <m:t>=Y+SwiGLU(RMSNorm(Y))</m:t>
        </m:r>
      </m:oMath>
    </w:p>
    <w:p>
      <w:pPr>
        <w:keepLines/>
        <w:spacing w:line="259" w:lineRule="auto" w:after="140"/>
      </w:pPr>
      <w:r>
        <w:rPr>
          <w:rFonts w:ascii="Consolas" w:hAnsi="Consolas" w:eastAsia="宋体"/>
          <w:color w:val="000000"/>
          <w:sz w:val="18"/>
        </w:rPr>
        <w:t>输入 X[B,N,D] 与 padding[B,N]</w:t>
        <w:br/>
        <w:t>U = pre_RMSNorm(X)</w:t>
        <w:br/>
        <w:t>Q,K = linear(U) -&gt; [B,2h,N,d] -&gt; RoPE</w:t>
        <w:br/>
        <w:t>Q1,Q2,K1,K2 = 按每个差分head分组</w:t>
        <w:br/>
        <w:t>V = linear(U) -&gt; [B,h,N,2d]</w:t>
        <w:br/>
        <w:t>P1 = softmax(Q1@K1.T / sqrt(d) + mask)</w:t>
        <w:br/>
        <w:t>P2 = softmax(Q2@K2.T / sqrt(d) + mask)</w:t>
        <w:br/>
        <w:t>Z = (P1 - lambda*P2) @ V</w:t>
        <w:br/>
        <w:t>H = head_RMSNorm(Z) * (1 - lambda_init)</w:t>
        <w:br/>
        <w:t>Y = X + out_projection(concat_heads(H))</w:t>
        <w:br/>
        <w:t>返回 Y + SwiGLU(pre_RMSNorm(Y))</w:t>
      </w:r>
    </w:p>
    <w:p>
      <w:r>
        <w:rPr>
          <w:rFonts w:ascii="Calibri" w:hAnsi="Calibri" w:eastAsia="宋体"/>
          <w:color w:val="000000"/>
        </w:rPr>
        <w:t>这一顺序保留了共同V、先差分后一次PV、逐头norm与固定后尺度。residual允许旧信息绕过注意力，因此单看Z趋零也不能直接推出完整网络丢失所有信息；但该head的目标传输可能确已消失。机制诊断应同时看注意力子层和最终预测，避免把残差补偿误认为差分自身保留信号。</w:t>
      </w:r>
    </w:p>
    <w:p>
      <w:r>
        <w:rPr>
          <w:rFonts w:ascii="Calibri" w:hAnsi="Calibri" w:eastAsia="宋体"/>
          <w:color w:val="000000"/>
        </w:rPr>
        <w:t>本地模型检查覆盖普通、完整差分及三种消融：改变未来输入后允许前缀logits最大差0，PAD扰动差0；取消causal mask的负对照均产生变化。FP32 RoPE范数残差最大3.81e−6，局部λ梯度与有限差分差1.62e−11。这些结果支持保存输入上的实现路径，不构成所有长度、dtype或硬件的普遍保证，也不说明训练网络已学会把语义噪声放进共同部分。</w:t>
      </w:r>
    </w:p>
    <w:p>
      <w:pPr>
        <w:pStyle w:val="Heading1"/>
        <w:pageBreakBefore/>
      </w:pPr>
      <w:r>
        <w:t>六 原论文研究设计与关键证据</w:t>
      </w:r>
    </w:p>
    <w:p>
      <w:r>
        <w:rPr>
          <w:rFonts w:ascii="Calibri" w:hAnsi="Calibri" w:eastAsia="宋体"/>
          <w:color w:val="000000"/>
        </w:rPr>
        <w:t>作者首先检验替换注意力是否能保持并改善语言模型训练，而不是仅展示一个降噪图。正文第3.1节训练约2.8B参数的3B级模型：隐藏宽度3072、28层、每支d128，普通24头、差分12头，序列4096、每批4M token、总1T token。优化采用AdamW与相应warmup和衰减。此规模同时改变训练数据量、模型容量与学习任务，不能与本地两层检索器直接比较百分比。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5544"/>
        <w:gridCol w:w="2160"/>
      </w:tblGrid>
      <w:tr>
        <w:trPr>
          <w:cantSplit/>
          <w:tblHeader/>
        </w:trPr>
        <w:tc>
          <w:tcPr>
            <w:tcW w:type="dxa" w:w="2016"/>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原文证据</w:t>
            </w:r>
          </w:p>
        </w:tc>
        <w:tc>
          <w:tcPr>
            <w:tcW w:type="dxa" w:w="554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实际设计或结果</w:t>
            </w:r>
          </w:p>
        </w:tc>
        <w:tc>
          <w:tcPr>
            <w:tcW w:type="dxa" w:w="216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精确位置</w:t>
            </w:r>
          </w:p>
        </w:tc>
      </w:tr>
      <w:tr>
        <w:trPr>
          <w:cantSplit/>
        </w:trPr>
        <w:tc>
          <w:tcPr>
            <w:tcW w:type="dxa" w:w="20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语言模型任务</w:t>
            </w:r>
          </w:p>
        </w:tc>
        <w:tc>
          <w:tcPr>
            <w:tcW w:type="dxa" w:w="554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1T token；DIFF平均60.6 OpenLLaMA v2 57.5 StableLM base alpha v2 56.8</w:t>
            </w:r>
          </w:p>
        </w:tc>
        <w:tc>
          <w:tcPr>
            <w:tcW w:type="dxa" w:w="216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第3.1节 表1</w:t>
            </w:r>
          </w:p>
        </w:tc>
      </w:tr>
      <w:tr>
        <w:trPr>
          <w:cantSplit/>
        </w:trPr>
        <w:tc>
          <w:tcPr>
            <w:tcW w:type="dxa" w:w="20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更直接架构对照</w:t>
            </w:r>
          </w:p>
        </w:tc>
        <w:tc>
          <w:tcPr>
            <w:tcW w:type="dxa" w:w="554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350B token；zero shot平均56.2比55.4；5 shot 58.0比56.4</w:t>
            </w:r>
          </w:p>
        </w:tc>
        <w:tc>
          <w:tcPr>
            <w:tcW w:type="dxa" w:w="216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附录B 表8</w:t>
            </w:r>
          </w:p>
        </w:tc>
      </w:tr>
      <w:tr>
        <w:trPr>
          <w:cantSplit/>
        </w:trPr>
        <w:tc>
          <w:tcPr>
            <w:tcW w:type="dxa" w:w="20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参数扩展</w:t>
            </w:r>
          </w:p>
        </w:tc>
        <w:tc>
          <w:tcPr>
            <w:tcW w:type="dxa" w:w="554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830M至13.1B 40K步；拟合6.8B差分对应约11B普通</w:t>
            </w:r>
          </w:p>
        </w:tc>
        <w:tc>
          <w:tcPr>
            <w:tcW w:type="dxa" w:w="216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第3.2节 图3a</w:t>
            </w:r>
          </w:p>
        </w:tc>
      </w:tr>
      <w:tr>
        <w:trPr>
          <w:cantSplit/>
        </w:trPr>
        <w:tc>
          <w:tcPr>
            <w:tcW w:type="dxa" w:w="20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token扩展</w:t>
            </w:r>
          </w:p>
        </w:tc>
        <w:tc>
          <w:tcPr>
            <w:tcW w:type="dxa" w:w="554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拟合160B差分对应251B普通 即63.7%</w:t>
            </w:r>
          </w:p>
        </w:tc>
        <w:tc>
          <w:tcPr>
            <w:tcW w:type="dxa" w:w="216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第3.2节 图3b</w:t>
            </w:r>
          </w:p>
        </w:tc>
      </w:tr>
      <w:tr>
        <w:trPr>
          <w:cantSplit/>
        </w:trPr>
        <w:tc>
          <w:tcPr>
            <w:tcW w:type="dxa" w:w="20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机制消融</w:t>
            </w:r>
          </w:p>
        </w:tc>
        <w:tc>
          <w:tcPr>
            <w:tcW w:type="dxa" w:w="554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1.4B对照头数 宽度 GroupNorm与λ_init</w:t>
            </w:r>
          </w:p>
        </w:tc>
        <w:tc>
          <w:tcPr>
            <w:tcW w:type="dxa" w:w="216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第3.8节 表6</w:t>
            </w:r>
          </w:p>
        </w:tc>
      </w:tr>
    </w:tbl>
    <w:p>
      <w:pPr>
        <w:spacing w:after="0"/>
      </w:pPr>
    </w:p>
    <w:p>
      <w:r>
        <w:rPr>
          <w:rFonts w:ascii="Calibri" w:hAnsi="Calibri" w:eastAsia="宋体"/>
          <w:color w:val="000000"/>
        </w:rPr>
        <w:t>表1外部模型并非全都有完整同列结果：StableLM 3B 4E1T部分任务缺数，不能补造平均值。外部训练配方比较与附录B同设置架构对照的证据力度也不同；后者平均改善不等于每项任务改善，例如zero shot BoolQ差分60.1低于普通62.9。论文“约65%参数或训练token”来自特定语言建模曲线拟合，不是任何任务、硬件或预算都节省35%的定理；11B与251B等对应点还包含拟合插值，不能说成全部是直接训练出的配对模型。</w:t>
      </w:r>
    </w:p>
    <w:p>
      <w:r>
        <w:rPr>
          <w:rFonts w:ascii="Calibri" w:hAnsi="Calibri" w:eastAsia="宋体"/>
          <w:color w:val="000000"/>
        </w:rPr>
        <w:t>随后作者把3B 350B检查点扩展到64K上下文，并考察长上下文损失、多needle检索、问答与摘要幻觉、上下文学习以及激活异常值。这些实验形成从基础建模、规模规律到可能作用路径的证据组合。第3.8节还比较减半head、改变head宽度、附加归一化和不同初始λ，帮助排除“只是头数变化”这种解释；本地固定λ0/1不是完整重做这些作者消融。</w:t>
      </w:r>
    </w:p>
    <w:p>
      <w:r>
        <w:rPr>
          <w:rFonts w:ascii="Calibri" w:hAnsi="Calibri" w:eastAsia="宋体"/>
          <w:color w:val="000000"/>
        </w:rPr>
        <w:t>原论文关键主张是差分注意力在所测大规模设置中呈现更集中的相关内容选择和多任务收益。它没有给出“所有噪声必然消失”的数学保证。本报告只引用官方会议PDF及固定官方代码，不执行其大模型代码。以下本地实验分别检验算子条件、低成本学习可行性和工程闭环；原规模语言建模、64K、幻觉、异常值与GPU效率均列为未复现。</w:t>
      </w:r>
    </w:p>
    <w:p>
      <w:pPr>
        <w:pStyle w:val="Heading1"/>
        <w:pageBreakBefore/>
      </w:pPr>
      <w:r>
        <w:t>七 共同干扰与反例的算子实验</w:t>
      </w:r>
    </w:p>
    <w:p>
      <w:r>
        <w:rPr>
          <w:rFonts w:ascii="Calibri" w:hAnsi="Calibri" w:eastAsia="宋体"/>
          <w:color w:val="000000"/>
        </w:rPr>
        <w:t>为使“降噪”成为可证伪陈述，算子实验先固定V的四行为目标v、零值、a与−a，再分别控制两支概率图。共同条件让两支干扰权重同为.75/.25，因此每支都有非零的共同干扰贡献；不匹配条件让第一支为.5/.5、第二支为1/0，此时第一支原本干扰为零，减去第二支反而引入干扰；相同图条件检验减法是否连目标一起消除。</w:t>
      </w:r>
    </w:p>
    <w:p>
      <w:pPr>
        <w:keepNext/>
        <w:keepLines/>
        <w:spacing w:before="60" w:after="140"/>
        <w:jc w:val="center"/>
      </w:pPr>
      <m:oMath>
        <m:r>
          <m:t>Z=(</m:t>
        </m:r>
        <m:sSub>
          <m:e>
            <m:r>
              <m:t>S</m:t>
            </m:r>
          </m:e>
          <m:sub>
            <m:r>
              <m:t>1</m:t>
            </m:r>
          </m:sub>
        </m:sSub>
        <m:r>
          <m:t>−λ</m:t>
        </m:r>
        <m:sSub>
          <m:e>
            <m:r>
              <m:t>S</m:t>
            </m:r>
          </m:e>
          <m:sub>
            <m:r>
              <m:t>2</m:t>
            </m:r>
          </m:sub>
        </m:sSub>
        <m:r>
          <m:t>)+(</m:t>
        </m:r>
        <m:sSub>
          <m:e>
            <m:r>
              <m:t>N</m:t>
            </m:r>
          </m:e>
          <m:sub>
            <m:r>
              <m:t>1</m:t>
            </m:r>
          </m:sub>
        </m:sSub>
        <m:r>
          <m:t>−λ</m:t>
        </m:r>
        <m:sSub>
          <m:e>
            <m:r>
              <m:t>N</m:t>
            </m:r>
          </m:e>
          <m:sub>
            <m:r>
              <m:t>2</m:t>
            </m:r>
          </m:sub>
        </m:sSub>
        <m:r>
          <m:t xml:space="preserve">),   </m:t>
        </m:r>
        <m:sSub>
          <m:e>
            <m:r>
              <m:t>N</m:t>
            </m:r>
          </m:e>
          <m:sub>
            <m:r>
              <m:t>1</m:t>
            </m:r>
          </m:sub>
        </m:sSub>
        <m:r>
          <m:t>=</m:t>
        </m:r>
        <m:sSub>
          <m:e>
            <m:r>
              <m:t>N</m:t>
            </m:r>
          </m:e>
          <m:sub>
            <m:r>
              <m:t>2</m:t>
            </m:r>
          </m:sub>
        </m:sSub>
        <m:r>
          <m:t>⇒</m:t>
        </m:r>
        <m:sSub>
          <m:e>
            <m:r>
              <m:t>Z</m:t>
            </m:r>
          </m:e>
          <m:sub>
            <m:r>
              <m:t>N</m:t>
            </m:r>
          </m:sub>
        </m:sSub>
        <m:r>
          <m:t>=(1−λ)</m:t>
        </m:r>
        <m:sSub>
          <m:e>
            <m:r>
              <m:t>N</m:t>
            </m:r>
          </m:e>
          <m:sub>
            <m:r>
              <m:t>1</m:t>
            </m:r>
          </m:sub>
        </m:sSub>
      </m:oMath>
    </w:p>
    <w:p>
      <w:pPr>
        <w:keepNext/>
        <w:jc w:val="center"/>
      </w:pPr>
      <w:r>
        <w:drawing>
          <wp:inline xmlns:a="http://schemas.openxmlformats.org/drawingml/2006/main" xmlns:pic="http://schemas.openxmlformats.org/drawingml/2006/picture">
            <wp:extent cx="6172200" cy="2584609"/>
            <wp:docPr id="1" name="Picture 1" descr="图1 确定性构造的归一化前贡献 共同项可抵消 不匹配项可增加 相同图丢失信号"/>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72200" cy="2584609"/>
                    </a:xfrm>
                    <a:prstGeom prst="rect"/>
                  </pic:spPr>
                </pic:pic>
              </a:graphicData>
            </a:graphic>
          </wp:inline>
        </w:drawing>
      </w:r>
    </w:p>
    <w:p>
      <w:pPr>
        <w:spacing w:after="160"/>
      </w:pPr>
      <w:r>
        <w:rPr>
          <w:rFonts w:ascii="Calibri" w:hAnsi="Calibri" w:eastAsia="宋体"/>
          <w:color w:val="000000"/>
          <w:sz w:val="18"/>
        </w:rPr>
        <w:t>图1 确定性构造的归一化前贡献 共同项可抵消 不匹配项可增加 相同图丢失信号</w:t>
      </w:r>
    </w:p>
    <w:p>
      <w:r>
        <w:rPr>
          <w:rFonts w:ascii="Calibri" w:hAnsi="Calibri" w:eastAsia="宋体"/>
          <w:color w:val="000000"/>
        </w:rPr>
        <w:t>网格包含三条件、三β、两V维度、三幅度、四λ和三λ_init，共648行；后者只改变归一化后尺度，所以归一化前为216个唯一fixture。λ取0/.2/.5/1，幅度取.1/1/10，使用float64与固定epsilon；这不是648次训练或独立随机样本。基础5029项检查通过，核心代数残差最大1.33e−15，λ有限差分差8.64e−12；补充非均匀affine的完整norm梯度链差3.37e−11。</w:t>
      </w:r>
    </w:p>
    <w:p>
      <w:r>
        <w:rPr>
          <w:rFonts w:ascii="Calibri" w:hAnsi="Calibri" w:eastAsia="宋体"/>
          <w:color w:val="000000"/>
        </w:rPr>
        <w:t>代表β.4、V维2、幅度1、λ_init.2：λ1共同干扰范数0、目标gain约.6；不匹配干扰约.4；相同图干扰0但目标gain也0。post_clean_error的参考是当前差分信号再经同一RMSNorm，因此相同图时参考本身也为零，误差零不能称为信号保留或任务成功。必须并读固定目标误差、gain与noise；RMSNorm之后的信号与噪声不再可加拆分。</w:t>
      </w:r>
    </w:p>
    <w:p>
      <w:r>
        <w:rPr>
          <w:rFonts w:ascii="Calibri" w:hAnsi="Calibri" w:eastAsia="宋体"/>
          <w:color w:val="000000"/>
        </w:rPr>
        <w:t>这组实验确认的是有条件的代数机制和反例。概率图由构造给出，虽然保存logits可重建合法softmax，却没有训练网络自己识别干扰。两支究竟能否把背景学成共同贡献、目标学成差异，仍是任务实验要解决的问题。完整fixture、CSV、运行前protocol、events及独立重算使结论可检查，而不把数值恒等式包装成真实语言理解。</w:t>
      </w:r>
    </w:p>
    <w:p>
      <w:pPr>
        <w:pStyle w:val="Heading1"/>
        <w:pageBreakBefore/>
      </w:pPr>
      <w:r>
        <w:t>八 从prompt到损失与生成</w:t>
      </w:r>
    </w:p>
    <w:p>
      <w:r>
        <w:rPr>
          <w:rFonts w:ascii="Calibri" w:hAnsi="Calibri" w:eastAsia="宋体"/>
          <w:color w:val="000000"/>
        </w:rPr>
        <w:t>本地任务让模型在打乱的key value块中，根据末尾query取回唯一匹配key的value。PAD/BOS/EOS/SEP/QUERY/ANSWER为0至5，key为6至17，value为18至29，noise为30至33。每条prompt中key各不相同，value允许重复；noise词表与key value明显分离，模型可直接识别显式干扰类别。这适合检查计算路径，但不是自然语言中使用相同词表的语义无关上下文。</w:t>
      </w:r>
    </w:p>
    <w:p>
      <w:pPr>
        <w:keepLines/>
        <w:spacing w:line="259" w:lineRule="auto" w:after="140"/>
      </w:pPr>
      <w:r>
        <w:rPr>
          <w:rFonts w:ascii="Consolas" w:hAnsi="Consolas" w:eastAsia="宋体"/>
          <w:color w:val="000000"/>
          <w:sz w:val="18"/>
        </w:rPr>
        <w:t>教学例子 context 有 (6,18) (7,19) (8,18) 和 noise30</w:t>
        <w:br/>
        <w:t>prompt = [1,6,18,3,30,7,19,3,8,18,3,4,7,5]</w:t>
        <w:br/>
        <w:t>训练 inputs = prompt + [19]   长度15</w:t>
        <w:br/>
        <w:t>labels = [-100]*13 + [19,2]  仅位置13和14有效</w:t>
        <w:br/>
        <w:t>位置13的 ANSWER 预测 value19</w:t>
        <w:br/>
        <w:t>位置14读入 gold19 预测 EOS2</w:t>
        <w:br/>
        <w:t>其余prompt和右侧PAD位置不计损失</w:t>
      </w:r>
    </w:p>
    <w:p>
      <w:pPr>
        <w:keepNext/>
        <w:keepLines/>
        <w:spacing w:before="60" w:after="140"/>
        <w:jc w:val="center"/>
      </w:pPr>
      <m:oMath>
        <m:r>
          <m:t>L=−</m:t>
        </m:r>
        <m:f>
          <m:fPr>
            <m:type m:val="bar"/>
          </m:fPr>
          <m:num>
            <m:argPr>
              <m:scrLvl m:val="0"/>
            </m:argPr>
            <m:r>
              <m:t>1</m:t>
            </m:r>
          </m:num>
          <m:den>
            <m:argPr>
              <m:scrLvl m:val="0"/>
            </m:argPr>
            <m:r>
              <m:t>2</m:t>
            </m:r>
          </m:den>
        </m:f>
        <m:r>
          <m:t>{</m:t>
        </m:r>
        <m:r>
          <m:rPr>
            <m:sty m:val="p"/>
          </m:rPr>
          <m:t>log</m:t>
        </m:r>
        <m:r>
          <m:t>p(19∣</m:t>
        </m:r>
        <m:r>
          <m:rPr>
            <m:sty m:val="p"/>
          </m:rPr>
          <m:t>prompt</m:t>
        </m:r>
        <m:r>
          <m:t>)+</m:t>
        </m:r>
        <m:r>
          <m:rPr>
            <m:sty m:val="p"/>
          </m:rPr>
          <m:t>log</m:t>
        </m:r>
        <m:r>
          <m:t>p(2∣</m:t>
        </m:r>
        <m:r>
          <m:rPr>
            <m:sty m:val="p"/>
          </m:rPr>
          <m:t>prompt</m:t>
        </m:r>
        <m:r>
          <m:t xml:space="preserve">,   19)}</m:t>
        </m:r>
      </m:oMath>
    </w:p>
    <w:p>
      <w:r>
        <w:rPr>
          <w:rFonts w:ascii="Calibri" w:hAnsi="Calibri" w:eastAsia="宋体"/>
          <w:color w:val="000000"/>
        </w:rPr>
        <w:t>embedding得到[B,N,64]，两层因果decoder处理后，末端RMSNorm和独立词表投影输出[B,N,34] logits。位置13无法读取位置14的gold19，因为两支causal mask都屏蔽未来；仅损失mask本身并不能防止泄漏。训练输入无需EOS，位置14的标签就是后继EOS。批处理右侧补PAD，key mask屏蔽PAD，labels以−100忽略prompt和padding。这里是两标签监督，并非对整条prompt计算语言建模损失。</w:t>
      </w:r>
    </w:p>
    <w:p>
      <w:r>
        <w:rPr>
          <w:rFonts w:ascii="Calibri" w:hAnsi="Calibri" w:eastAsia="宋体"/>
          <w:color w:val="000000"/>
        </w:rPr>
        <w:t>自由生成从纯prompt开始：取每条样本最后真实位置的argmax，追加预测value，再次前向生成下一token，遇EOS停止，最多两步；不把teacher forcing的gold答案塞回自由生成路径。若第一步预测18、第二步EOS，则answerAcc0、整答案EM0、两token正确率50%。这解释了EOS很容易时tokenAcc可以约65%，而实际检索正确率仅约30%。</w:t>
      </w:r>
    </w:p>
    <w:p>
      <w:r>
        <w:rPr>
          <w:rFonts w:ascii="Calibri" w:hAnsi="Calibri" w:eastAsia="宋体"/>
          <w:color w:val="000000"/>
        </w:rPr>
        <w:t>答案NLL取第一有效位置对gold value的负对数概率；两标签平均NLL另外报告。teacher forcing在第二步读取gold value，自由生成读取自己预测，二者第二步不必一致。本项目更多noise条件中确有不同，不能混报。教学例子不计新增数据或模型前向；冻结数据为train4096、dev/test各256、更多pairs和更多noise各256，共5120条完整prompt全局去重，但token与子结构有意共享。</w:t>
      </w:r>
    </w:p>
    <w:p>
      <w:pPr>
        <w:pStyle w:val="Heading1"/>
        <w:pageBreakBefore/>
      </w:pPr>
      <w:r>
        <w:t>九 优化预算与核心消融</w:t>
      </w:r>
    </w:p>
    <w:p>
      <w:r>
        <w:rPr>
          <w:rFonts w:ascii="Calibri" w:hAnsi="Calibri" w:eastAsia="宋体"/>
          <w:color w:val="000000"/>
        </w:rPr>
        <w:t>两架构固定2层、D64、d16、SwiGLU宽176、RoPE base10000、dropout0、无bias、输入输出嵌入不共享。数据普通分布为3至6个键值对、0至3个noise；更多pairs只改为8至10对，更多noise只改为8至12个。CPU FP32两线程，AdamW β(.9,.95)、eps1e−8、weight decay0、batch32有放回、梯度裁剪1；每次1000步，50步warmup后cosine降至峰值10%。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152"/>
        <w:gridCol w:w="3528"/>
        <w:gridCol w:w="2880"/>
      </w:tblGrid>
      <w:tr>
        <w:trPr>
          <w:cantSplit/>
          <w:tblHeader/>
        </w:trPr>
        <w:tc>
          <w:tcPr>
            <w:tcW w:type="dxa" w:w="2160"/>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配置</w:t>
            </w:r>
          </w:p>
        </w:tc>
        <w:tc>
          <w:tcPr>
            <w:tcW w:type="dxa" w:w="1152"/>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峰值LR</w:t>
            </w:r>
          </w:p>
        </w:tc>
        <w:tc>
          <w:tcPr>
            <w:tcW w:type="dxa" w:w="352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dev答案正确率</w:t>
            </w:r>
          </w:p>
        </w:tc>
        <w:tc>
          <w:tcPr>
            <w:tcW w:type="dxa" w:w="288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答案NLL</w:t>
            </w:r>
          </w:p>
        </w:tc>
      </w:tr>
      <w:tr>
        <w:trPr>
          <w:cantSplit/>
        </w:trPr>
        <w:tc>
          <w:tcPr>
            <w:tcW w:type="dxa" w:w="216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普通</w:t>
            </w:r>
          </w:p>
        </w:tc>
        <w:tc>
          <w:tcPr>
            <w:tcW w:type="dxa" w:w="115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.001</w:t>
            </w:r>
          </w:p>
        </w:tc>
        <w:tc>
          <w:tcPr>
            <w:tcW w:type="dxa" w:w="352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37.76 ± 0.90%</w:t>
            </w:r>
          </w:p>
        </w:tc>
        <w:tc>
          <w:tcPr>
            <w:tcW w:type="dxa" w:w="288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1.4479</w:t>
            </w:r>
          </w:p>
        </w:tc>
      </w:tr>
      <w:tr>
        <w:trPr>
          <w:cantSplit/>
        </w:trPr>
        <w:tc>
          <w:tcPr>
            <w:tcW w:type="dxa" w:w="2160"/>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普通</w:t>
            </w:r>
          </w:p>
        </w:tc>
        <w:tc>
          <w:tcPr>
            <w:tcW w:type="dxa" w:w="115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.003</w:t>
            </w:r>
          </w:p>
        </w:tc>
        <w:tc>
          <w:tcPr>
            <w:tcW w:type="dxa" w:w="352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36.46 ± 0.81%</w:t>
            </w:r>
          </w:p>
        </w:tc>
        <w:tc>
          <w:tcPr>
            <w:tcW w:type="dxa" w:w="288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1.4790</w:t>
            </w:r>
          </w:p>
        </w:tc>
      </w:tr>
      <w:tr>
        <w:trPr>
          <w:cantSplit/>
        </w:trPr>
        <w:tc>
          <w:tcPr>
            <w:tcW w:type="dxa" w:w="216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完整差分</w:t>
            </w:r>
          </w:p>
        </w:tc>
        <w:tc>
          <w:tcPr>
            <w:tcW w:type="dxa" w:w="115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.001</w:t>
            </w:r>
          </w:p>
        </w:tc>
        <w:tc>
          <w:tcPr>
            <w:tcW w:type="dxa" w:w="352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37.89 ± 1.70%</w:t>
            </w:r>
          </w:p>
        </w:tc>
        <w:tc>
          <w:tcPr>
            <w:tcW w:type="dxa" w:w="288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1.4609</w:t>
            </w:r>
          </w:p>
        </w:tc>
      </w:tr>
      <w:tr>
        <w:trPr>
          <w:cantSplit/>
        </w:trPr>
        <w:tc>
          <w:tcPr>
            <w:tcW w:type="dxa" w:w="2160"/>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完整差分</w:t>
            </w:r>
          </w:p>
        </w:tc>
        <w:tc>
          <w:tcPr>
            <w:tcW w:type="dxa" w:w="115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.003</w:t>
            </w:r>
          </w:p>
        </w:tc>
        <w:tc>
          <w:tcPr>
            <w:tcW w:type="dxa" w:w="352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38.15 ± 2.54%</w:t>
            </w:r>
          </w:p>
        </w:tc>
        <w:tc>
          <w:tcPr>
            <w:tcW w:type="dxa" w:w="288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1.4648</w:t>
            </w:r>
          </w:p>
        </w:tc>
      </w:tr>
      <w:tr>
        <w:trPr>
          <w:cantSplit/>
        </w:trPr>
        <w:tc>
          <w:tcPr>
            <w:tcW w:type="dxa" w:w="216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固定λ0</w:t>
            </w:r>
          </w:p>
        </w:tc>
        <w:tc>
          <w:tcPr>
            <w:tcW w:type="dxa" w:w="115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.003</w:t>
            </w:r>
          </w:p>
        </w:tc>
        <w:tc>
          <w:tcPr>
            <w:tcW w:type="dxa" w:w="352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37.63 ± 1.19%</w:t>
            </w:r>
          </w:p>
        </w:tc>
        <w:tc>
          <w:tcPr>
            <w:tcW w:type="dxa" w:w="288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1.4475</w:t>
            </w:r>
          </w:p>
        </w:tc>
      </w:tr>
      <w:tr>
        <w:trPr>
          <w:cantSplit/>
        </w:trPr>
        <w:tc>
          <w:tcPr>
            <w:tcW w:type="dxa" w:w="2160"/>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固定λ1</w:t>
            </w:r>
          </w:p>
        </w:tc>
        <w:tc>
          <w:tcPr>
            <w:tcW w:type="dxa" w:w="115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.003</w:t>
            </w:r>
          </w:p>
        </w:tc>
        <w:tc>
          <w:tcPr>
            <w:tcW w:type="dxa" w:w="352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36.59 ± 3.16%</w:t>
            </w:r>
          </w:p>
        </w:tc>
        <w:tc>
          <w:tcPr>
            <w:tcW w:type="dxa" w:w="288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1.4537</w:t>
            </w:r>
          </w:p>
        </w:tc>
      </w:tr>
      <w:tr>
        <w:trPr>
          <w:cantSplit/>
        </w:trPr>
        <w:tc>
          <w:tcPr>
            <w:tcW w:type="dxa" w:w="2160"/>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去逐头norm</w:t>
            </w:r>
          </w:p>
        </w:tc>
        <w:tc>
          <w:tcPr>
            <w:tcW w:type="dxa" w:w="115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.003</w:t>
            </w:r>
          </w:p>
        </w:tc>
        <w:tc>
          <w:tcPr>
            <w:tcW w:type="dxa" w:w="352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36.07 ± 0.81%</w:t>
            </w:r>
          </w:p>
        </w:tc>
        <w:tc>
          <w:tcPr>
            <w:tcW w:type="dxa" w:w="288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1.4969</w:t>
            </w:r>
          </w:p>
        </w:tc>
      </w:tr>
    </w:tbl>
    <w:p>
      <w:pPr>
        <w:spacing w:after="0"/>
      </w:pPr>
    </w:p>
    <w:p>
      <w:r>
        <w:rPr>
          <w:rFonts w:ascii="Calibri" w:hAnsi="Calibri" w:eastAsia="宋体"/>
          <w:color w:val="000000"/>
        </w:rPr>
        <w:t>三seed为11/22/33；共同张量按参数名和seed初始化，同seed使用相同抽样流并逐步保存batch hash。12次主训练来自两架构乘两LR乘三seed，另9次为三消融乘三seed。完整三seed候选按dev答案正确率均值降序、NLL升序、较小LR排序，均取最终1000步检查点；普通选.001，差分选.003。不是先挑最好seed再报，也没有用test挑学习率。</w:t>
      </w:r>
    </w:p>
    <w:p>
      <w:r>
        <w:rPr>
          <w:rFonts w:ascii="Calibri" w:hAnsi="Calibri" w:eastAsia="宋体"/>
          <w:color w:val="000000"/>
        </w:rPr>
        <w:t>消融在启动前继承差分选定LR.003，没有独立搜索。固定λ0保留差分头数、每头V宽度、逐头norm和固定后尺度；第二支Q/K不再获得有效任务梯度，但名义参数仍存在，因此它不是普通MHA。固定λ1检验固定减法是否足够，去norm仍保留1−λ_init后尺度。低分既可能来自机制缺失，也可能来自对该变体不合适的LR，排序不构成充分调参后的能力上限。</w:t>
      </w:r>
    </w:p>
    <w:p>
      <w:r>
        <w:rPr>
          <w:rFonts w:ascii="Calibri" w:hAnsi="Calibri" w:eastAsia="宋体"/>
          <w:color w:val="000000"/>
        </w:rPr>
        <w:t>读取训练日志时，末100步双标签CE三seed均值普通.6127、差分.5879，仍未接近零；这是已保存随机训练batch的损失汇总，不是完整训练集答案正确率。它与dev约38%的表现共同提示任务尚未充分学会，但不足以单独区分容量不足、优化不足、数据捷径或泛化差。正式训练未出现非有限数值错误不代表科学问题已解决；局部梯度检查通过也不能代替学习行为诊断。</w:t>
      </w:r>
    </w:p>
    <w:p>
      <w:pPr>
        <w:pStyle w:val="Heading1"/>
        <w:pageBreakBefore/>
      </w:pPr>
      <w:r>
        <w:t>十 锁定结果与指标冲突</w:t>
      </w:r>
    </w:p>
    <w:p>
      <w:pPr>
        <w:keepNext/>
        <w:jc w:val="center"/>
      </w:pPr>
      <w:r>
        <w:drawing>
          <wp:inline xmlns:a="http://schemas.openxmlformats.org/drawingml/2006/main" xmlns:pic="http://schemas.openxmlformats.org/drawingml/2006/picture">
            <wp:extent cx="6172200" cy="2367188"/>
            <wp:docPr id="2" name="Picture 2" descr="图2 冻结预测汇总的三seed均值与样本标准差 左为自回归答案正确率 右为答案NLL"/>
            <wp:cNvGraphicFramePr>
              <a:graphicFrameLocks noChangeAspect="1"/>
            </wp:cNvGraphicFramePr>
            <a:graphic>
              <a:graphicData uri="http://schemas.openxmlformats.org/drawingml/2006/picture">
                <pic:pic>
                  <pic:nvPicPr>
                    <pic:cNvPr id="0" name="differential_results.png"/>
                    <pic:cNvPicPr/>
                  </pic:nvPicPr>
                  <pic:blipFill>
                    <a:blip r:embed="rId12"/>
                    <a:stretch>
                      <a:fillRect/>
                    </a:stretch>
                  </pic:blipFill>
                  <pic:spPr>
                    <a:xfrm>
                      <a:off x="0" y="0"/>
                      <a:ext cx="6172200" cy="2367188"/>
                    </a:xfrm>
                    <a:prstGeom prst="rect"/>
                  </pic:spPr>
                </pic:pic>
              </a:graphicData>
            </a:graphic>
          </wp:inline>
        </w:drawing>
      </w:r>
    </w:p>
    <w:p>
      <w:pPr>
        <w:spacing w:after="160"/>
      </w:pPr>
      <w:r>
        <w:rPr>
          <w:rFonts w:ascii="Calibri" w:hAnsi="Calibri" w:eastAsia="宋体"/>
          <w:color w:val="000000"/>
          <w:sz w:val="18"/>
        </w:rPr>
        <w:t>图2 冻结预测汇总的三seed均值与样本标准差 左为自回归答案正确率 右为答案NLL</w:t>
      </w:r>
    </w:p>
    <w:p>
      <w:r>
        <w:rPr>
          <w:rFonts w:ascii="Calibri" w:hAnsi="Calibri" w:eastAsia="宋体"/>
          <w:color w:val="000000"/>
        </w:rPr>
        <w:t>按dev锁定后，对每个配置全部三seed评价预定test和两类OOD。普通与完整差分在test的Acc为32.29 ± .98%与30.47 ± .68%，答案NLL为1.5145与1.5446；在更多pairs为22.40 ± 1.26%与25.52 ± .81%，NLL为2.0639与2.2019；更多noise为33.72 ± 1.48%与31.51 ± 3.63%，NLL为1.5099与1.6454。图来自保存summary和预测，不是追加评价。</w:t>
      </w:r>
    </w:p>
    <w:p>
      <w:r>
        <w:rPr>
          <w:rFonts w:ascii="Calibri" w:hAnsi="Calibri" w:eastAsia="宋体"/>
          <w:color w:val="000000"/>
        </w:rPr>
        <w:t>更多pairs条件是最容易误读的地方。差分更常把正确答案排在第一，但平均给gold答案的对数概率更差，这两件事可以同时发生：少量错例若给gold很低概率，会显著增加NLL，即使另一些例子的argmax刚好翻转为正确。现有均值不能确定冲突具体由哪些样本造成，需要逐例配对分析才能说明；不能直接叫作概率校准好坏或推断置信错误机制。当前可说局部Acc收益与更差NLL并存，不能选择性忽略后者。</w:t>
      </w:r>
    </w:p>
    <w:p>
      <w:r>
        <w:rPr>
          <w:rFonts w:ascii="Calibri" w:hAnsi="Calibri" w:eastAsia="宋体"/>
          <w:color w:val="000000"/>
        </w:rPr>
        <w:t>差分减普通的配对Acc差分别为−1.82 ± 1.63、+3.13 ± 1.41、−2.21 ± 5.02个百分点。这些标准差反映同一划分下三个训练seed的变化，不是置信区间，也未做显著性检验。OOD每类只改变一个生成轴，不能解释成跨自然语言数据集鲁棒性。test开放后已成为既见数据，下一轮确认结论需另建数据，不能继续调参后仍称它为新留出集。</w:t>
      </w:r>
    </w:p>
    <w:p>
      <w:r>
        <w:rPr>
          <w:rFonts w:ascii="Calibri" w:hAnsi="Calibri" w:eastAsia="宋体"/>
          <w:color w:val="000000"/>
        </w:rPr>
        <w:t>test上EM恰与answerAcc一致，但指标定义仍应独立保存；普通与差分tokenAcc分别66.15%与65.23%，容易的EOS贡献约一半分母。更多noise下差分自由生成tokenAcc65.17%、teacher forcing65.76%，表明生成历史改变第二步。消融test Acc依次为λ0 30.73%、λ1 31.64%、去norm30.47%，没有形成强而一致的机制排序；它们仍受继承LR与未充分学习检索的限制。</w:t>
      </w:r>
    </w:p>
    <w:p>
      <w:pPr>
        <w:pStyle w:val="Heading1"/>
        <w:pageBreakBefore/>
      </w:pPr>
      <w:r>
        <w:t>十一 频数捷径与学习不足</w:t>
      </w:r>
    </w:p>
    <w:p>
      <w:r>
        <w:rPr>
          <w:rFonts w:ascii="Calibri" w:hAnsi="Calibri" w:eastAsia="宋体"/>
          <w:color w:val="000000"/>
        </w:rPr>
        <w:t>当模型尚未可靠掌握key到value绑定时，抗干扰比较可能主要测到另一种策略：先找出上下文出现过的value，再偏向频数较高者。训练数据允许value重复，因此不读取query也可能得到不低成绩。事后只读既有dev预测发现，以最小ID打破并列的mode value规则准确率37.5%，接近模型约38%；这条规则在看到低分后才指定，属于描述诊断，不能冒充预登记基线。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152"/>
        <w:gridCol w:w="2808"/>
        <w:gridCol w:w="2808"/>
      </w:tblGrid>
      <w:tr>
        <w:trPr>
          <w:cantSplit/>
          <w:tblHeader/>
        </w:trPr>
        <w:tc>
          <w:tcPr>
            <w:tcW w:type="dxa" w:w="2952"/>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dev目标频数分层</w:t>
            </w:r>
          </w:p>
        </w:tc>
        <w:tc>
          <w:tcPr>
            <w:tcW w:type="dxa" w:w="1152"/>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样本数</w:t>
            </w:r>
          </w:p>
        </w:tc>
        <w:tc>
          <w:tcPr>
            <w:tcW w:type="dxa" w:w="280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普通三seed均值</w:t>
            </w:r>
          </w:p>
        </w:tc>
        <w:tc>
          <w:tcPr>
            <w:tcW w:type="dxa" w:w="280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差分三seed均值</w:t>
            </w:r>
          </w:p>
        </w:tc>
      </w:tr>
      <w:tr>
        <w:trPr>
          <w:cantSplit/>
        </w:trPr>
        <w:tc>
          <w:tcPr>
            <w:tcW w:type="dxa" w:w="295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目标出现一次</w:t>
            </w:r>
          </w:p>
        </w:tc>
        <w:tc>
          <w:tcPr>
            <w:tcW w:type="dxa" w:w="115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184</w:t>
            </w:r>
          </w:p>
        </w:tc>
        <w:tc>
          <w:tcPr>
            <w:tcW w:type="dxa" w:w="280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20.47%</w:t>
            </w:r>
          </w:p>
        </w:tc>
        <w:tc>
          <w:tcPr>
            <w:tcW w:type="dxa" w:w="280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22.10%</w:t>
            </w:r>
          </w:p>
        </w:tc>
      </w:tr>
      <w:tr>
        <w:trPr>
          <w:cantSplit/>
        </w:trPr>
        <w:tc>
          <w:tcPr>
            <w:tcW w:type="dxa" w:w="2952"/>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目标出现多次</w:t>
            </w:r>
          </w:p>
        </w:tc>
        <w:tc>
          <w:tcPr>
            <w:tcW w:type="dxa" w:w="115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72</w:t>
            </w:r>
          </w:p>
        </w:tc>
        <w:tc>
          <w:tcPr>
            <w:tcW w:type="dxa" w:w="280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81.94%</w:t>
            </w:r>
          </w:p>
        </w:tc>
        <w:tc>
          <w:tcPr>
            <w:tcW w:type="dxa" w:w="280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79.17%</w:t>
            </w:r>
          </w:p>
        </w:tc>
      </w:tr>
      <w:tr>
        <w:trPr>
          <w:cantSplit/>
        </w:trPr>
        <w:tc>
          <w:tcPr>
            <w:tcW w:type="dxa" w:w="2952"/>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全部dev</w:t>
            </w:r>
          </w:p>
        </w:tc>
        <w:tc>
          <w:tcPr>
            <w:tcW w:type="dxa" w:w="115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256</w:t>
            </w:r>
          </w:p>
        </w:tc>
        <w:tc>
          <w:tcPr>
            <w:tcW w:type="dxa" w:w="280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37.76%</w:t>
            </w:r>
          </w:p>
        </w:tc>
        <w:tc>
          <w:tcPr>
            <w:tcW w:type="dxa" w:w="280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38.15%</w:t>
            </w:r>
          </w:p>
        </w:tc>
      </w:tr>
    </w:tbl>
    <w:p>
      <w:pPr>
        <w:spacing w:after="0"/>
      </w:pPr>
    </w:p>
    <w:p>
      <w:r>
        <w:rPr>
          <w:rFonts w:ascii="Calibri" w:hAnsi="Calibri" w:eastAsia="宋体"/>
          <w:color w:val="000000"/>
        </w:rPr>
        <w:t>两个主架构的预测全部落在上下文已有value中，预测属于任意并列mode的比例约87.1%至94.9%。独现目标难、重复目标易，与频数策略相符；但并列mode可能覆盖很多value，且频率与其他难度因素相关，所以高一致率不是因果证明。当前材料不能宣称模型完全忽略query，也不能计算一个未经定义的“捷径占比”。诊断没有读取test/OOD、没有改变选择，也没有新训练或模型前向。</w:t>
      </w:r>
    </w:p>
    <w:p>
      <w:r>
        <w:rPr>
          <w:rFonts w:ascii="Calibri" w:hAnsi="Calibri" w:eastAsia="宋体"/>
          <w:color w:val="000000"/>
        </w:rPr>
        <w:t>部署错例dev00003更具体：query为key6，唯一对应value21，而value19在另外两个key中出现，模型生成[19,EOS]。输出形式正确，却没完成键值绑定。这是可解释的错例线索，不是以单例证明所有错误。另一些重复目标样本做对，也可能只因频数巧合。因此继续增加noise若只延续该策略，未必能隔离差分机制：模型首先需要学会选择正确关系，然后才谈选择在干扰下是否稳定。</w:t>
      </w:r>
    </w:p>
    <w:p>
      <w:r>
        <w:rPr>
          <w:rFonts w:ascii="Calibri" w:hAnsi="Calibri" w:eastAsia="宋体"/>
          <w:color w:val="000000"/>
        </w:rPr>
        <w:t>“欠拟合”在此宜谨慎使用。有限预算训练loss未近零，dev独现目标弱，表明学习目标尚未充分实现；但没有完整训练集Acc、优化收敛对照或更大模型预算，不能严格断言是参数容量欠拟合。可能是迭代不足、关系绑定难、重复value诱导的较易局部解，或者组合泛化问题。下一轮先用训练集和dev分层曲线分开这些原因，再讨论架构本身。</w:t>
      </w:r>
    </w:p>
    <w:p>
      <w:r>
        <w:rPr>
          <w:rFonts w:ascii="Calibri" w:hAnsi="Calibri" w:eastAsia="宋体"/>
          <w:color w:val="000000"/>
        </w:rPr>
        <w:t>最有信息量的改动是去掉频数信息并显式要求query敏感：让同一context内value全唯一，并对同一context产生多个不同query与不同目标。这比继续随机加noise更直接。在未执行前不能承诺分数会提高；如果两模型都失败，说明当前任务学习条件仍不足，差分是否降噪的问题尚未被干净检验。</w:t>
      </w:r>
    </w:p>
    <w:p>
      <w:pPr>
        <w:pStyle w:val="Heading1"/>
        <w:pageBreakBefore/>
      </w:pPr>
      <w:r>
        <w:t>十二 参数公平性与实际计算成本</w:t>
      </w:r>
    </w:p>
    <w:p>
      <w:r>
        <w:rPr>
          <w:rFonts w:ascii="Calibri" w:hAnsi="Calibri" w:eastAsia="宋体"/>
          <w:color w:val="000000"/>
        </w:rPr>
        <w:t>主要公平控制包括相同D、层数、FFN、词表、数据、训练步数和学习率搜索预算，以及按公式对应的头数。普通105024参数，差分105216，多192约.183%；每层四条长度d的λ向量增加64参数，一条2d的head norm增加32，两层共192。固定λ0/1为105088、去norm105152。名义参数相近有助于比较，但固定λ0第二支无有效梯度等差别仍应记录。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520"/>
        <w:gridCol w:w="3384"/>
      </w:tblGrid>
      <w:tr>
        <w:trPr>
          <w:cantSplit/>
          <w:tblHeader/>
        </w:trPr>
        <w:tc>
          <w:tcPr>
            <w:tcW w:type="dxa" w:w="3816"/>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B32 N26 D64 两层</w:t>
            </w:r>
          </w:p>
        </w:tc>
        <w:tc>
          <w:tcPr>
            <w:tcW w:type="dxa" w:w="2520"/>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标量乘法计数或元素数</w:t>
            </w:r>
          </w:p>
        </w:tc>
        <w:tc>
          <w:tcPr>
            <w:tcW w:type="dxa" w:w="338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说明</w:t>
            </w:r>
          </w:p>
        </w:tc>
      </w:tr>
      <w:tr>
        <w:trPr>
          <w:cantSplit/>
        </w:trPr>
        <w:tc>
          <w:tcPr>
            <w:tcW w:type="dxa" w:w="38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每层QKVO投影</w:t>
            </w:r>
          </w:p>
        </w:tc>
        <w:tc>
          <w:tcPr>
            <w:tcW w:type="dxa" w:w="25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13 631 488</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两架构相同</w:t>
            </w:r>
          </w:p>
        </w:tc>
      </w:tr>
      <w:tr>
        <w:trPr>
          <w:cantSplit/>
        </w:trPr>
        <w:tc>
          <w:tcPr>
            <w:tcW w:type="dxa" w:w="38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每层QK</w:t>
            </w:r>
          </w:p>
        </w:tc>
        <w:tc>
          <w:tcPr>
            <w:tcW w:type="dxa" w:w="25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1 384 448</w:t>
            </w:r>
          </w:p>
        </w:tc>
        <w:tc>
          <w:tcPr>
            <w:tcW w:type="dxa" w:w="338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两架构相同</w:t>
            </w:r>
          </w:p>
        </w:tc>
      </w:tr>
      <w:tr>
        <w:trPr>
          <w:cantSplit/>
        </w:trPr>
        <w:tc>
          <w:tcPr>
            <w:tcW w:type="dxa" w:w="38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每层PV</w:t>
            </w:r>
          </w:p>
        </w:tc>
        <w:tc>
          <w:tcPr>
            <w:tcW w:type="dxa" w:w="25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1 384 448</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差分先合图再乘V一次</w:t>
            </w:r>
          </w:p>
        </w:tc>
      </w:tr>
      <w:tr>
        <w:trPr>
          <w:cantSplit/>
        </w:trPr>
        <w:tc>
          <w:tcPr>
            <w:tcW w:type="dxa" w:w="38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每层SwiGLU</w:t>
            </w:r>
          </w:p>
        </w:tc>
        <w:tc>
          <w:tcPr>
            <w:tcW w:type="dxa" w:w="25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28 114 944</w:t>
            </w:r>
          </w:p>
        </w:tc>
        <w:tc>
          <w:tcPr>
            <w:tcW w:type="dxa" w:w="338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两架构相同</w:t>
            </w:r>
          </w:p>
        </w:tc>
      </w:tr>
      <w:tr>
        <w:trPr>
          <w:cantSplit/>
        </w:trPr>
        <w:tc>
          <w:tcPr>
            <w:tcW w:type="dxa" w:w="38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全模型主要GEMM</w:t>
            </w:r>
          </w:p>
        </w:tc>
        <w:tc>
          <w:tcPr>
            <w:tcW w:type="dxa" w:w="25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90 841 088</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约两倍是乘加FLOPs</w:t>
            </w:r>
          </w:p>
        </w:tc>
      </w:tr>
      <w:tr>
        <w:trPr>
          <w:cantSplit/>
        </w:trPr>
        <w:tc>
          <w:tcPr>
            <w:tcW w:type="dxa" w:w="3816"/>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普通图或差分P1加P2</w:t>
            </w:r>
          </w:p>
        </w:tc>
        <w:tc>
          <w:tcPr>
            <w:tcW w:type="dxa" w:w="2520"/>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86 528元素</w:t>
            </w:r>
          </w:p>
        </w:tc>
        <w:tc>
          <w:tcPr>
            <w:tcW w:type="dxa" w:w="338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总head图数配平</w:t>
            </w:r>
          </w:p>
        </w:tc>
      </w:tr>
      <w:tr>
        <w:trPr>
          <w:cantSplit/>
        </w:trPr>
        <w:tc>
          <w:tcPr>
            <w:tcW w:type="dxa" w:w="3816"/>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额外差分图</w:t>
            </w:r>
          </w:p>
        </w:tc>
        <w:tc>
          <w:tcPr>
            <w:tcW w:type="dxa" w:w="2520"/>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43 264元素</w:t>
            </w:r>
          </w:p>
        </w:tc>
        <w:tc>
          <w:tcPr>
            <w:tcW w:type="dxa" w:w="338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本实现显式物化Pdiff</w:t>
            </w:r>
          </w:p>
        </w:tc>
      </w:tr>
    </w:tbl>
    <w:p>
      <w:pPr>
        <w:spacing w:after="0"/>
      </w:pPr>
    </w:p>
    <w:p>
      <w:r>
        <w:rPr>
          <w:rFonts w:ascii="Calibri" w:hAnsi="Calibri" w:eastAsia="宋体"/>
          <w:color w:val="000000"/>
        </w:rPr>
        <w:t>两支softmax并不必然使主要QK矩阵乘法翻倍，因为差分head数减半；共享V宽度翻倍又保持总PV乘法配平。本实现先形成Pdiff再一次乘V，如果分别计算P1V和P2V后相减，就需要重新计算那条实现路径的成本，不能沿用当前计数。将参数公平、理论GEMM公平和kernel实现效率分开，才能避免“头数少一半所以更便宜”与“分支两倍所以必然两倍贵”这两种误判。</w:t>
      </w:r>
    </w:p>
    <w:p>
      <w:r>
        <w:rPr>
          <w:rFonts w:ascii="Calibri" w:hAnsi="Calibri" w:eastAsia="宋体"/>
          <w:color w:val="000000"/>
        </w:rPr>
        <w:t>计数排除softmax、指数、逐点减法、RMSNorm、RoPE、embedding lookup、反向、优化器与autograd保存。DIFF额外图元素不是实测峰值内存；相同主要GEMM也不保证相同walltime或显存，融合kernel、访存、形状和精度均会影响结果。官方高效实现与本地CPU教学实现还不是同一系统，因此本轮不能复现作者的GPU吞吐结论。</w:t>
      </w:r>
    </w:p>
    <w:p>
      <w:r>
        <w:rPr>
          <w:rFonts w:ascii="Calibri" w:hAnsi="Calibri" w:eastAsia="宋体"/>
          <w:color w:val="000000"/>
        </w:rPr>
        <w:t>唯一部署计时为锁定差分seed11，CPU FP32两线程、无KV cache、完整prompt加最多两token greedy，warmup10次、计时30次，排除加载和IO；batch1/16中位2.924/8.599ms。没有普通模型同条件计时，故只能说明该模型本机可运行，不能说差分更快。后续公平效率实验应同时固定长度、batch、生成步数、cache和kernel，并报告峰值内存与吞吐而非只报一次时延。</w:t>
      </w:r>
    </w:p>
    <w:p>
      <w:pPr>
        <w:pStyle w:val="Heading1"/>
        <w:pageBreakBefore/>
      </w:pPr>
      <w:r>
        <w:t>十三 六阶段留痕与部署闭环</w:t>
      </w:r>
    </w:p>
    <w:p>
      <w:r>
        <w:rPr>
          <w:rFonts w:ascii="Calibri" w:hAnsi="Calibri" w:eastAsia="宋体"/>
          <w:color w:val="000000"/>
        </w:rPr>
        <w:t>本轮顺序是机制背景、任务基线、优化对照、核心消融、锁定评价、部署归档。阶段2完成6条.001轨迹，阶段3完成6条.003轨迹，阶段4完成9条消融；其余阶段没有新增正式训练。21条全部完成，正式训练失败0，总优化21000步、训练计时417.03秒。一次独立两步smoke只检查可训练性，一次准备错误发生在优化器创建前零正式步；修复重复stage事件参数后恢复原计划，没有扩网格。</w:t>
      </w:r>
    </w:p>
    <w:p>
      <w:r>
        <w:rPr>
          <w:rFonts w:ascii="Calibri" w:hAnsi="Calibri" w:eastAsia="宋体"/>
          <w:color w:val="000000"/>
        </w:rPr>
        <w:t>协议与数据在正式训练前固定。源码hash快照记录于执行期间，最终再比对，不能称全部源码预登记。选择锁、test gate、训练完成事件及程序顺序支持先锁后评，但缺少每次模型前向开始的独立时间戳，不把本地日志写成外部监控证明。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72"/>
        <w:gridCol w:w="3744"/>
      </w:tblGrid>
      <w:tr>
        <w:trPr>
          <w:cantSplit/>
          <w:tblHeader/>
        </w:trPr>
        <w:tc>
          <w:tcPr>
            <w:tcW w:type="dxa" w:w="2304"/>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证据身份</w:t>
            </w:r>
          </w:p>
        </w:tc>
        <w:tc>
          <w:tcPr>
            <w:tcW w:type="dxa" w:w="3672"/>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已支持</w:t>
            </w:r>
          </w:p>
        </w:tc>
        <w:tc>
          <w:tcPr>
            <w:tcW w:type="dxa" w:w="3744"/>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仍不支持</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算子与反例</w:t>
            </w:r>
          </w:p>
        </w:tc>
        <w:tc>
          <w:tcPr>
            <w:tcW w:type="dxa" w:w="367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共同项条件 局部梯度 反例</w:t>
            </w:r>
          </w:p>
        </w:tc>
        <w:tc>
          <w:tcPr>
            <w:tcW w:type="dxa" w:w="374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任意语义噪声必被抑制</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小任务三seed</w:t>
            </w:r>
          </w:p>
        </w:tc>
        <w:tc>
          <w:tcPr>
            <w:tcW w:type="dxa" w:w="367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固定预算的结果与分层观察</w:t>
            </w:r>
          </w:p>
        </w:tc>
        <w:tc>
          <w:tcPr>
            <w:tcW w:type="dxa" w:w="374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充分调参能力 原规模收益</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独立标准库核验</w:t>
            </w:r>
          </w:p>
        </w:tc>
        <w:tc>
          <w:tcPr>
            <w:tcW w:type="dxa" w:w="3672"/>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原始记录与指标选择一致</w:t>
            </w:r>
          </w:p>
        </w:tc>
        <w:tc>
          <w:tcPr>
            <w:tcW w:type="dxa" w:w="3744"/>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重新训练或重新模型前向</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部署闭环</w:t>
            </w:r>
          </w:p>
        </w:tc>
        <w:tc>
          <w:tcPr>
            <w:tcW w:type="dxa" w:w="3672"/>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当前权重重载一致 可生成</w:t>
            </w:r>
          </w:p>
        </w:tc>
        <w:tc>
          <w:tcPr>
            <w:tcW w:type="dxa" w:w="3744"/>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普通差分速度优劣 GPU结论</w:t>
            </w:r>
          </w:p>
        </w:tc>
      </w:tr>
    </w:tbl>
    <w:p>
      <w:pPr>
        <w:spacing w:after="0"/>
      </w:pPr>
    </w:p>
    <w:p>
      <w:r>
        <w:rPr>
          <w:rFonts w:ascii="Calibri" w:hAnsi="Calibri" w:eastAsia="宋体"/>
          <w:color w:val="000000"/>
        </w:rPr>
        <w:t>独立核验器不导入torch、不训练、不重新评价test，重算66份CSV共16896条预测及21000步LR，核对去重、批次配对、选择、hash、checkpoint元数据和算子fixture，共648192项检查通过。准确率计数一致；FP32保存值对float64重算的最大NLL差1.15e−6，在预设2e−6容差内。它增强保存证据的一致性，不是对学习结果的第二次独立重复实验。</w:t>
      </w:r>
    </w:p>
    <w:p>
      <w:r>
        <w:rPr>
          <w:rFonts w:ascii="Calibri" w:hAnsi="Calibri" w:eastAsia="宋体"/>
          <w:color w:val="000000"/>
        </w:rPr>
        <w:t>部署权重为diff_lr0.003_seed11，431686字节，独立重载logits逐位相同、最大差0。P1/P2随输入而变，不能像静态LoRA增量那样合并成一张常量权重；代码、mask、特殊token和生成规则都属于模型交付。根目录阅读入口串联01报告、02公式笔记、03实验、04归档和05留痕；继续研究应建立新协议和新确认集，保留本轮原始预测及错误。</w:t>
      </w:r>
    </w:p>
    <w:p>
      <w:pPr>
        <w:pStyle w:val="Heading1"/>
        <w:pageBreakBefore/>
      </w:pPr>
      <w:r>
        <w:t>十四 可证伪的下一轮扩展</w:t>
      </w:r>
    </w:p>
    <w:p>
      <w:r>
        <w:rPr>
          <w:rFonts w:ascii="Calibri" w:hAnsi="Calibri" w:eastAsia="宋体"/>
          <w:color w:val="000000"/>
        </w:rPr>
        <w:t>第一优先是独特value实验。假设当前低分主要来自频数捷径和绑定学习不足；改变变量为context内value从允许重复改为全唯一，对照保持key数、noise数、架构、seed和优化预算相同。记录训练与新dev的答案Acc、NLL、目标位置分层和答案候选数；完整训练集与dev都弱则先判断学习不足。建议预先将新dev Acc达到90%作为进入抗干扰比较的学习门槛，未达门槛只报告学习诊断，不把微小OOD排序解释为降噪证据。该门槛是下一轮方案，不是本轮已满足事实。</w:t>
      </w:r>
    </w:p>
    <w:p>
      <w:r>
        <w:rPr>
          <w:rFonts w:ascii="Calibri" w:hAnsi="Calibri" w:eastAsia="宋体"/>
          <w:color w:val="000000"/>
        </w:rPr>
        <w:t>第二优先是query反事实。保持context逐token不变，只把query改为另一个存在的key，并要求其value不同。定义配对双正确率、预测随目标正确变化的比例和固定query无视率；对照为频数规则，它在context不变时通常给同一输出。若答案改变时模型多数仍输出相同value，或配对双正确率未超过预先指定的简单基线，即否定“已可靠按query绑定”的当前假设。应在新数据上预登记阈值，并保留不同目标value条件，避免重复答案使不变预测被误算成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168"/>
        <w:gridCol w:w="4248"/>
      </w:tblGrid>
      <w:tr>
        <w:trPr>
          <w:cantSplit/>
          <w:tblHeader/>
        </w:trPr>
        <w:tc>
          <w:tcPr>
            <w:tcW w:type="dxa" w:w="2304"/>
            <w:vAlign w:val="center"/>
            <w:tcMar>
              <w:top w:w="90" w:type="dxa"/>
              <w:bottom w:w="90" w:type="dxa"/>
              <w:left w:w="90" w:type="dxa"/>
              <w:right w:w="90" w:type="dxa"/>
            </w:tcMar>
            <w:shd w:fill="E8EDF2"/>
          </w:tcPr>
          <w:p>
            <w:pPr>
              <w:spacing w:after="20" w:before="20" w:line="264" w:lineRule="auto"/>
            </w:pPr>
            <w:r>
              <w:rPr>
                <w:rFonts w:ascii="Calibri" w:hAnsi="Calibri" w:eastAsia="宋体"/>
                <w:b/>
                <w:color w:val="000000"/>
                <w:sz w:val="20"/>
              </w:rPr>
              <w:t>扩展假设</w:t>
            </w:r>
          </w:p>
        </w:tc>
        <w:tc>
          <w:tcPr>
            <w:tcW w:type="dxa" w:w="316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单独改变变量</w:t>
            </w:r>
          </w:p>
        </w:tc>
        <w:tc>
          <w:tcPr>
            <w:tcW w:type="dxa" w:w="4248"/>
            <w:vAlign w:val="center"/>
            <w:tcMar>
              <w:top w:w="90" w:type="dxa"/>
              <w:bottom w:w="90" w:type="dxa"/>
              <w:left w:w="90" w:type="dxa"/>
              <w:right w:w="90" w:type="dxa"/>
            </w:tcMar>
            <w:shd w:fill="E8EDF2"/>
          </w:tcPr>
          <w:p>
            <w:pPr>
              <w:spacing w:after="20" w:before="20" w:line="264" w:lineRule="auto"/>
              <w:jc w:val="center"/>
            </w:pPr>
            <w:r>
              <w:rPr>
                <w:rFonts w:ascii="Calibri" w:hAnsi="Calibri" w:eastAsia="宋体"/>
                <w:b/>
                <w:color w:val="000000"/>
                <w:sz w:val="20"/>
              </w:rPr>
              <w:t>主要对照与失败标准</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两支能学共同干扰</w:t>
            </w:r>
          </w:p>
        </w:tc>
        <w:tc>
          <w:tcPr>
            <w:tcW w:type="dxa" w:w="316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控制干扰相关性与幅度</w:t>
            </w:r>
          </w:p>
        </w:tc>
        <w:tc>
          <w:tcPr>
            <w:tcW w:type="dxa" w:w="4248"/>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不匹配条件必须报告；目标gain下降即不能只称降噪</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head norm改善优化</w:t>
            </w:r>
          </w:p>
        </w:tc>
        <w:tc>
          <w:tcPr>
            <w:tcW w:type="dxa" w:w="316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每个消融相同LR预算</w:t>
            </w:r>
          </w:p>
        </w:tc>
        <w:tc>
          <w:tcPr>
            <w:tcW w:type="dxa" w:w="424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看梯度 激活 拟合曲线；只改继承LR不够</w:t>
            </w:r>
          </w:p>
        </w:tc>
      </w:tr>
      <w:tr>
        <w:trPr>
          <w:cantSplit/>
        </w:trPr>
        <w:tc>
          <w:tcPr>
            <w:tcW w:type="dxa" w:w="2304"/>
            <w:vAlign w:val="center"/>
            <w:tcMar>
              <w:top w:w="90" w:type="dxa"/>
              <w:bottom w:w="90" w:type="dxa"/>
              <w:left w:w="90" w:type="dxa"/>
              <w:right w:w="90" w:type="dxa"/>
            </w:tcMar>
            <w:shd w:fill="FFFFFF"/>
          </w:tcPr>
          <w:p>
            <w:pPr>
              <w:spacing w:after="20" w:before="20" w:line="264" w:lineRule="auto"/>
            </w:pPr>
            <w:r>
              <w:rPr>
                <w:rFonts w:ascii="Calibri" w:hAnsi="Calibri" w:eastAsia="宋体"/>
                <w:b w:val="0"/>
                <w:color w:val="000000"/>
                <w:sz w:val="20"/>
              </w:rPr>
              <w:t>长度外推来自机制</w:t>
            </w:r>
          </w:p>
        </w:tc>
        <w:tc>
          <w:tcPr>
            <w:tcW w:type="dxa" w:w="316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匹配任务掌握度后增加pairs</w:t>
            </w:r>
          </w:p>
        </w:tc>
        <w:tc>
          <w:tcPr>
            <w:tcW w:type="dxa" w:w="4248"/>
            <w:vAlign w:val="center"/>
            <w:tcMar>
              <w:top w:w="90" w:type="dxa"/>
              <w:bottom w:w="90" w:type="dxa"/>
              <w:left w:w="90" w:type="dxa"/>
              <w:right w:w="90" w:type="dxa"/>
            </w:tcMar>
            <w:shd w:fill="FFFFFF"/>
          </w:tcPr>
          <w:p>
            <w:pPr>
              <w:spacing w:after="20" w:before="20" w:line="264" w:lineRule="auto"/>
              <w:jc w:val="center"/>
            </w:pPr>
            <w:r>
              <w:rPr>
                <w:rFonts w:ascii="Calibri" w:hAnsi="Calibri" w:eastAsia="宋体"/>
                <w:b w:val="0"/>
                <w:color w:val="000000"/>
                <w:sz w:val="20"/>
              </w:rPr>
              <w:t>保持值唯一和位置分层；NLL变差也算限制</w:t>
            </w:r>
          </w:p>
        </w:tc>
      </w:tr>
      <w:tr>
        <w:trPr>
          <w:cantSplit/>
        </w:trPr>
        <w:tc>
          <w:tcPr>
            <w:tcW w:type="dxa" w:w="2304"/>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成本可转化为实用收益</w:t>
            </w:r>
          </w:p>
        </w:tc>
        <w:tc>
          <w:tcPr>
            <w:tcW w:type="dxa" w:w="3168"/>
            <w:vAlign w:val="center"/>
            <w:tcMar>
              <w:top w:w="90" w:type="dxa"/>
              <w:bottom w:w="90" w:type="dxa"/>
              <w:left w:w="90" w:type="dxa"/>
              <w:right w:w="90" w:type="dxa"/>
            </w:tcMar>
            <w:shd w:fill="F7F9FB"/>
          </w:tcPr>
          <w:p>
            <w:pPr>
              <w:spacing w:after="20" w:before="20" w:line="264" w:lineRule="auto"/>
              <w:jc w:val="center"/>
            </w:pPr>
            <w:r>
              <w:rPr>
                <w:rFonts w:ascii="Calibri" w:hAnsi="Calibri" w:eastAsia="宋体"/>
                <w:b w:val="0"/>
                <w:color w:val="000000"/>
                <w:sz w:val="20"/>
              </w:rPr>
              <w:t>同硬件kernel与cache</w:t>
            </w:r>
          </w:p>
        </w:tc>
        <w:tc>
          <w:tcPr>
            <w:tcW w:type="dxa" w:w="4248"/>
            <w:vAlign w:val="center"/>
            <w:tcMar>
              <w:top w:w="90" w:type="dxa"/>
              <w:bottom w:w="90" w:type="dxa"/>
              <w:left w:w="90" w:type="dxa"/>
              <w:right w:w="90" w:type="dxa"/>
            </w:tcMar>
            <w:shd w:fill="F7F9FB"/>
          </w:tcPr>
          <w:p>
            <w:pPr>
              <w:spacing w:after="20" w:before="20" w:line="264" w:lineRule="auto"/>
            </w:pPr>
            <w:r>
              <w:rPr>
                <w:rFonts w:ascii="Calibri" w:hAnsi="Calibri" w:eastAsia="宋体"/>
                <w:b w:val="0"/>
                <w:color w:val="000000"/>
                <w:sz w:val="20"/>
              </w:rPr>
              <w:t>报告吞吐 内存 时延；GEMM相同不是成功标准</w:t>
            </w:r>
          </w:p>
        </w:tc>
      </w:tr>
    </w:tbl>
    <w:p>
      <w:pPr>
        <w:spacing w:after="0"/>
      </w:pPr>
    </w:p>
    <w:p>
      <w:r>
        <w:rPr>
          <w:rFonts w:ascii="Calibri" w:hAnsi="Calibri" w:eastAsia="宋体"/>
          <w:color w:val="000000"/>
        </w:rPr>
        <w:t>干扰相关性实验需把“背景”定义成作用共享V后的贡献，而非仅给token贴无关标签。可在已掌握绑定的小任务上加入成对干扰，分别产生共同与不匹配贡献，比较归一化前noise、signal gain、固定目标误差及最终Acc/NLL；如果noise降低但目标也降低或NLL恶化，就不接受全面收益。注意力可视化用于提出假设，进一步需输入移除或替换、activation干预等对照才能接近因果解释。</w:t>
      </w:r>
    </w:p>
    <w:p>
      <w:r>
        <w:rPr>
          <w:rFonts w:ascii="Calibri" w:hAnsi="Calibri" w:eastAsia="宋体"/>
          <w:color w:val="000000"/>
        </w:rPr>
        <w:t>这一轮最可迁移的方法是先锁定算子与合法反例，再让任务干净检验它需要的学习能力，最后同步读正确率、概率损失和成本。已验证的恒等式不应替代尚未完成的学习解释；一个有限预算负结果同样不能覆盖原论文所有尺度。后续建议全部未执行，应以新实验身份留痕，而不是追溯改变这轮21次训练与六阶段结论。</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ceedings.iclr.cc/paper_files/paper/2025/hash/00b67df24009747e8bbed4c2c6f9c825-Abstract-Conference.html"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Differential Transformer 方法精读与六阶段复现报告</dc:title>
  <dc:subject>论文精读与既有复现实验分析 2026年10月11日修订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