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宋体"/>
          <w:b/>
          <w:color w:val="000000"/>
          <w:sz w:val="44"/>
        </w:rPr>
        <w:t>LoRA 精读与复现研究报告</w:t>
      </w:r>
    </w:p>
    <w:p>
      <w:pPr>
        <w:spacing w:after="160"/>
      </w:pPr>
      <w:r>
        <w:rPr>
          <w:rFonts w:ascii="Calibri" w:hAnsi="Calibri" w:eastAsia="宋体"/>
          <w:color w:val="000000"/>
        </w:rPr>
        <w:t>修订日期 2026年10月11日</w:t>
      </w:r>
    </w:p>
    <w:p>
      <w:pPr>
        <w:pStyle w:val="Heading1"/>
      </w:pPr>
      <w:r>
        <w:t>研究问题与主要发现</w:t>
      </w:r>
    </w:p>
    <w:p>
      <w:r>
        <w:rPr>
          <w:rFonts w:ascii="Calibri" w:hAnsi="Calibri" w:eastAsia="宋体"/>
          <w:color w:val="000000"/>
        </w:rPr>
        <w:t>微调的目标是让预训练模型适应新任务，代价却不只是一轮训练：每个任务都保存完整权重、维护梯度与优化器状态，部署多个版本也会增加存储负担。LoRA提出一个可检验的问题：能否冻结已有知识载体，只用少量可训练因子表达足够有效的权重增量？关键不在于把模型本体压成低秩，而在于限制这次任务适配能够采取的更新方向。</w:t>
      </w:r>
    </w:p>
    <w:p>
      <w:r>
        <w:rPr>
          <w:rFonts w:ascii="Calibri" w:hAnsi="Calibri" w:eastAsia="宋体"/>
          <w:color w:val="000000"/>
        </w:rPr>
        <w:t>本项目沿着三个层次检查这个问题。第一层推导并核验低秩前向、梯度与初始化，使用合成任务构造容量匹配和容量不足的反例。第二层在BERT-tiny情感分类中逐步控制学习率、训练路径、目标投影和数据角色。第三层检查导出、重载、合并及CPU执行成本，再把缩放和两因子学习率作为探索性扩展。第十阶段与本次修订只整理现有记录，不增加训练或模型评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128"/>
      </w:tblGrid>
      <w:tr>
        <w:trPr>
          <w:cantSplit/>
          <w:tblHeader/>
        </w:trPr>
        <w:tc>
          <w:tcPr>
            <w:tcW w:type="dxa" w:w="2592"/>
            <w:vAlign w:val="center"/>
            <w:tcMar>
              <w:top w:w="90" w:type="dxa"/>
              <w:bottom w:w="90" w:type="dxa"/>
              <w:left w:w="90" w:type="dxa"/>
              <w:right w:w="90" w:type="dxa"/>
            </w:tcMar>
            <w:shd w:fill="E8EDF2"/>
          </w:tcPr>
          <w:p>
            <w:pPr>
              <w:spacing w:after="20" w:before="20" w:line="264" w:lineRule="auto"/>
            </w:pPr>
            <w:r>
              <w:rPr>
                <w:rFonts w:ascii="Calibri" w:hAnsi="Calibri" w:eastAsia="宋体"/>
                <w:b/>
                <w:color w:val="000000"/>
                <w:sz w:val="20"/>
              </w:rPr>
              <w:t>核心问题</w:t>
            </w:r>
          </w:p>
        </w:tc>
        <w:tc>
          <w:tcPr>
            <w:tcW w:type="dxa" w:w="7128"/>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本地证据给出的回答</w:t>
            </w:r>
          </w:p>
        </w:tc>
      </w:tr>
      <w:tr>
        <w:trPr>
          <w:cantSplit/>
        </w:trPr>
        <w:tc>
          <w:tcPr>
            <w:tcW w:type="dxa" w:w="2592"/>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少参数能否学习</w:t>
            </w:r>
          </w:p>
        </w:tc>
        <w:tc>
          <w:tcPr>
            <w:tcW w:type="dxa" w:w="7128"/>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低秩机制检查通过；根句任务LoRA test Acc为74.1534%</w:t>
            </w:r>
          </w:p>
        </w:tc>
      </w:tr>
      <w:tr>
        <w:trPr>
          <w:cantSplit/>
        </w:trPr>
        <w:tc>
          <w:tcPr>
            <w:tcW w:type="dxa" w:w="2592"/>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是否普遍胜过全量微调</w:t>
            </w:r>
          </w:p>
        </w:tc>
        <w:tc>
          <w:tcPr>
            <w:tcW w:type="dxa" w:w="7128"/>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不能；同阶段Full test Acc为77.0456%，调参与日程会改变排序</w:t>
            </w:r>
          </w:p>
        </w:tc>
      </w:tr>
      <w:tr>
        <w:trPr>
          <w:cantSplit/>
        </w:trPr>
        <w:tc>
          <w:tcPr>
            <w:tcW w:type="dxa" w:w="2592"/>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能否消除推理分支</w:t>
            </w:r>
          </w:p>
        </w:tc>
        <w:tc>
          <w:tcPr>
            <w:tcW w:type="dxa" w:w="7128"/>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固定适配器可合并；FP32等价、独立加载与CPU计时分别有记录</w:t>
            </w:r>
          </w:p>
        </w:tc>
      </w:tr>
      <w:tr>
        <w:trPr>
          <w:cantSplit/>
        </w:trPr>
        <w:tc>
          <w:tcPr>
            <w:tcW w:type="dxa" w:w="2592"/>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rank或学习率比是否有通用最优</w:t>
            </w:r>
          </w:p>
        </w:tc>
        <w:tc>
          <w:tcPr>
            <w:tcW w:type="dxa" w:w="7128"/>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当前证据不支持；扩展只覆盖固定小模型、数据与短预算</w:t>
            </w:r>
          </w:p>
        </w:tc>
      </w:tr>
    </w:tbl>
    <w:p>
      <w:pPr>
        <w:spacing w:after="0"/>
      </w:pPr>
    </w:p>
    <w:p>
      <w:r>
        <w:rPr>
          <w:rFonts w:ascii="Calibri" w:hAnsi="Calibri" w:eastAsia="宋体"/>
          <w:color w:val="000000"/>
        </w:rPr>
        <w:t>本文将原论文报告、代数与实现检查、本地测量分开呈现。“已验证”限定到明确的命题和检查；“观察”限定到实验条件；“未复现”标识尚未执行的基准或理论范围。原论文的GPT-3资源收益不移植到本地CPU实验，本地较低交叉熵也不直接升级成校准改善。</w:t>
      </w:r>
    </w:p>
    <w:p>
      <w:r>
        <w:rPr>
          <w:rFonts w:ascii="Calibri" w:hAnsi="Calibri" w:eastAsia="宋体"/>
          <w:color w:val="000000"/>
        </w:rPr>
        <w:t>阅读路线是背景与推导→手算和操作流程→数据与公平对照→任务、谱和部署证据→扩展与后续实验。正式BERT台账145次尝试包含失败和实现桥接；另外保留3条两步smoke检查，以及36条合成记录，其中30条有优化、6条冻结。它们不是同一种实验单位。</w:t>
      </w:r>
    </w:p>
    <w:p>
      <w:pPr>
        <w:pStyle w:val="Heading1"/>
        <w:pageBreakBefore/>
      </w:pPr>
      <w:r>
        <w:t>矩阵秩与低内在维度</w:t>
      </w:r>
    </w:p>
    <w:p>
      <w:r>
        <w:rPr>
          <w:rFonts w:ascii="Calibri" w:hAnsi="Calibri" w:eastAsia="宋体"/>
          <w:color w:val="000000"/>
        </w:rPr>
        <w:t>矩阵的秩是线性映射能够产生的独立输出方向数，也等于列空间维数。对d×k矩阵，秩至多min(d,k)。如果增量D可以写成B乘A，所有输出都先经过r维中间空间，因此rank(D)≤r；r是允许的上界，不保证训练后恰好得到rank r。增量低秩并不要求基础权重W0低秩，最终W0+D仍可能满秩。</w:t>
      </w:r>
    </w:p>
    <w:p>
      <w:pPr>
        <w:keepNext/>
        <w:keepLines/>
        <w:spacing w:before="60" w:after="140"/>
        <w:jc w:val="center"/>
      </w:pPr>
      <m:oMath>
        <m:r>
          <m:t>D=UΣ</m:t>
        </m:r>
        <m:sSup>
          <m:e>
            <m:r>
              <m:t>V</m:t>
            </m:r>
          </m:e>
          <m:sup>
            <m:r>
              <m:t>T</m:t>
            </m:r>
          </m:sup>
        </m:sSup>
        <m:r>
          <m:t xml:space="preserve">,   </m:t>
        </m:r>
        <m:sSub>
          <m:e>
            <m:r>
              <m:t>σ</m:t>
            </m:r>
          </m:e>
          <m:sub>
            <m:r>
              <m:t>1</m:t>
            </m:r>
          </m:sub>
        </m:sSub>
        <m:r>
          <m:t>≥</m:t>
        </m:r>
        <m:sSub>
          <m:e>
            <m:r>
              <m:t>σ</m:t>
            </m:r>
          </m:e>
          <m:sub>
            <m:r>
              <m:t>2</m:t>
            </m:r>
          </m:sub>
        </m:sSub>
        <m:r>
          <m:t>≥⋯≥0</m:t>
        </m:r>
      </m:oMath>
    </w:p>
    <w:p>
      <w:pPr>
        <w:keepNext/>
        <w:keepLines/>
        <w:spacing w:before="60" w:after="140"/>
        <w:jc w:val="center"/>
      </w:pPr>
      <m:oMath>
        <m:sSubSup>
          <m:e>
            <m:d>
              <m:dPr>
                <m:begChr m:val="‖"/>
                <m:sepChr m:val="−"/>
                <m:endChr m:val="‖"/>
              </m:dPr>
              <m:e>
                <m:r>
                  <m:t>D</m:t>
                </m:r>
              </m:e>
              <m:e>
                <m:sSub>
                  <m:e>
                    <m:r>
                      <m:t>D</m:t>
                    </m:r>
                  </m:e>
                  <m:sub>
                    <m:r>
                      <m:t>k</m:t>
                    </m:r>
                  </m:sub>
                </m:sSub>
              </m:e>
            </m:d>
          </m:e>
          <m:sub>
            <m:r>
              <m:t>F</m:t>
            </m:r>
          </m:sub>
          <m:sup>
            <m:r>
              <m:t>2</m:t>
            </m:r>
          </m:sup>
        </m:sSubSup>
        <m:r>
          <m:t>=</m:t>
        </m:r>
        <m:nary>
          <m:naryPr>
            <m:chr m:val="∑"/>
            <m:limLoc m:val="subSup"/>
            <m:grow m:val="1"/>
            <m:subHide m:val="off"/>
            <m:supHide m:val="on"/>
          </m:naryPr>
          <m:sub>
            <m:r>
              <m:t>i&gt;k</m:t>
            </m:r>
          </m:sub>
          <m:sup/>
          <m:e>
            <m:sSubSup>
              <m:e>
                <m:r>
                  <m:t>σ</m:t>
                </m:r>
              </m:e>
              <m:sub>
                <m:r>
                  <m:t>i</m:t>
                </m:r>
              </m:sub>
              <m:sup>
                <m:r>
                  <m:t>2</m:t>
                </m:r>
              </m:sup>
            </m:sSubSup>
          </m:e>
        </m:nary>
      </m:oMath>
    </w:p>
    <w:p>
      <w:r>
        <w:rPr>
          <w:rFonts w:ascii="Calibri" w:hAnsi="Calibri" w:eastAsia="宋体"/>
          <w:color w:val="000000"/>
        </w:rPr>
        <w:t>SVD将更新拆成输入方向、输出方向及每个方向的强度。Dk保留最大的k个奇异值，是Frobenius误差意义下最佳rank≤k逼近。小的平方能量尾部表示权重矩阵容易近似；它不自动表示分类损失几乎不变，因为输入可能更集中在被截掉的方向，下游又包含非线性。对残差R与输入二阶矩M=E[xxᵀ]，有E‖Rx‖²=tr(RMRᵀ)，只有M为单位阵时才等于‖R‖²F。</w:t>
      </w:r>
    </w:p>
    <w:p>
      <w:r>
        <w:rPr>
          <w:rFonts w:ascii="Calibri" w:hAnsi="Calibri" w:eastAsia="宋体"/>
          <w:color w:val="000000"/>
        </w:rPr>
        <w:t>“低内在维度”是另一个层次：它问一个任务能否在远小于完整参数空间的重参数化中达到指定效果。Aghajanyan等研究随机低维参数投影；这一概念依赖任务、参数化和效果标准，不是某个权重矩阵的秩。LoRA的r则是每个因子分支的宽度，一个层的rank r并不等于整个任务只有r个自由变量。</w:t>
      </w:r>
    </w:p>
    <w:p>
      <w:r>
        <w:rPr>
          <w:rFonts w:ascii="Calibri" w:hAnsi="Calibri" w:eastAsia="宋体"/>
          <w:color w:val="000000"/>
        </w:rPr>
        <w:t>因子表示还存在冗余：对可逆r×r矩阵R，BA=(BR)(R⁻¹A)。同一个有效增量能有不同因子范数与奇异值，所以仅凭A或B的范数大小，不能比较两次训练谁学到了“更多知识”。LoRA不是先对W0做SVD再截断；SVD在本项目中用于事后检查有效更新，训练时直接优化因子。</w:t>
      </w:r>
    </w:p>
    <w:p>
      <w:r>
        <w:rPr>
          <w:rFonts w:ascii="Calibri" w:hAnsi="Calibri" w:eastAsia="宋体"/>
          <w:color w:val="000000"/>
        </w:rPr>
        <w:t>这一背景形成三项检查顺序：先确认结构强制的秩上界，再测实际谱，最后用任务输出评估截断或重训练的代价。原论文关于低秩适配的经验动机不能跳过最后一步，变成任意任务最优更新都低秩的定理。</w:t>
      </w:r>
    </w:p>
    <w:p>
      <w:hyperlink r:id="rId15">
        <w:r>
          <w:rPr>
            <w:color w:val="234B70"/>
          </w:rPr>
          <w:t>低内在维度一手背景 2012.13255v1</w:t>
        </w:r>
      </w:hyperlink>
    </w:p>
    <w:p>
      <w:pPr>
        <w:pStyle w:val="Heading1"/>
        <w:pageBreakBefore/>
      </w:pPr>
      <w:r>
        <w:t>从前向计算到参数成本</w:t>
      </w:r>
    </w:p>
    <w:p>
      <w:pPr>
        <w:keepNext/>
        <w:keepLines/>
        <w:spacing w:before="60" w:after="140"/>
        <w:jc w:val="center"/>
      </w:pPr>
      <m:oMath>
        <m:r>
          <m:t>W=</m:t>
        </m:r>
        <m:sSub>
          <m:e>
            <m:r>
              <m:t>W</m:t>
            </m:r>
          </m:e>
          <m:sub>
            <m:r>
              <m:t>0</m:t>
            </m:r>
          </m:sub>
        </m:sSub>
        <m:r>
          <m:t xml:space="preserve">+D,   </m:t>
        </m:r>
        <m:r>
          <m:t xml:space="preserve">D=sBA,   </m:t>
        </m:r>
        <m:r>
          <m:t>A∈</m:t>
        </m:r>
        <m:sSup>
          <m:e>
            <m:r>
              <m:rPr>
                <m:scr m:val="double-struck"/>
                <m:sty m:val="p"/>
              </m:rPr>
              <m:t>R</m:t>
            </m:r>
          </m:e>
          <m:sup>
            <m:r>
              <m:t>r×</m:t>
            </m:r>
            <m:sSub>
              <m:e>
                <m:r>
                  <m:t>d</m:t>
                </m:r>
              </m:e>
              <m:sub>
                <m:r>
                  <m:t>in</m:t>
                </m:r>
              </m:sub>
            </m:sSub>
          </m:sup>
        </m:sSup>
        <m:r>
          <m:t xml:space="preserve">,   </m:t>
        </m:r>
        <m:r>
          <m:t>B∈</m:t>
        </m:r>
        <m:sSup>
          <m:e>
            <m:r>
              <m:rPr>
                <m:scr m:val="double-struck"/>
                <m:sty m:val="p"/>
              </m:rPr>
              <m:t>R</m:t>
            </m:r>
          </m:e>
          <m:sup>
            <m:sSub>
              <m:e>
                <m:r>
                  <m:t>d</m:t>
                </m:r>
              </m:e>
              <m:sub>
                <m:r>
                  <m:t>out</m:t>
                </m:r>
              </m:sub>
            </m:sSub>
            <m:r>
              <m:t>×r</m:t>
            </m:r>
          </m:sup>
        </m:sSup>
      </m:oMath>
    </w:p>
    <w:p>
      <w:pPr>
        <w:keepNext/>
        <w:keepLines/>
        <w:spacing w:before="60" w:after="140"/>
        <w:jc w:val="center"/>
      </w:pPr>
      <m:oMath>
        <m:r>
          <m:t>y=</m:t>
        </m:r>
        <m:sSub>
          <m:e>
            <m:r>
              <m:t>W</m:t>
            </m:r>
          </m:e>
          <m:sub>
            <m:r>
              <m:t>0</m:t>
            </m:r>
          </m:sub>
        </m:sSub>
        <m:r>
          <m:t xml:space="preserve">x+sB(Ax),   </m:t>
        </m:r>
        <m:sSub>
          <m:e>
            <m:r>
              <m:t>N</m:t>
            </m:r>
          </m:e>
          <m:sub>
            <m:r>
              <m:t>factor</m:t>
            </m:r>
          </m:sub>
        </m:sSub>
        <m:r>
          <m:t>=r(</m:t>
        </m:r>
        <m:sSub>
          <m:e>
            <m:r>
              <m:t>d</m:t>
            </m:r>
          </m:e>
          <m:sub>
            <m:r>
              <m:t>in</m:t>
            </m:r>
          </m:sub>
        </m:sSub>
        <m:r>
          <m:t>+</m:t>
        </m:r>
        <m:sSub>
          <m:e>
            <m:r>
              <m:t>d</m:t>
            </m:r>
          </m:e>
          <m:sub>
            <m:r>
              <m:t>out</m:t>
            </m:r>
          </m:sub>
        </m:sSub>
        <m:r>
          <m:t>)</m:t>
        </m:r>
      </m:oMath>
    </w:p>
    <w:p>
      <w:r>
        <w:rPr>
          <w:rFonts w:ascii="Calibri" w:hAnsi="Calibri" w:eastAsia="宋体"/>
          <w:color w:val="000000"/>
        </w:rPr>
        <w:t>对列向量x，Ax得到r维表示，B再映回输出空间。W0冻结，只优化A/B及协议明确允许的其他参数。本文始终把实际增量定义为D=sBA；原LoRA v2第4.1节公式3写BA分支，邻近正文规定α/r缩放，本文用s统一两者，避免把保存的BA与真正合并的增量混为一谈。</w:t>
      </w:r>
    </w:p>
    <w:p>
      <w:r>
        <w:rPr>
          <w:rFonts w:ascii="Calibri" w:hAnsi="Calibri" w:eastAsia="宋体"/>
          <w:color w:val="000000"/>
        </w:rPr>
        <w:t>经典LoRA中s=α/r。改变rank同时固定α，会改变模型容量，也会改变实际缩放；改变学习率又会改变优化轨迹，因此rank对照必须一并记录r、α、s、初始化、优化器与预算。可训练参数个数是存储计数，不是数学上去除因子冗余后的自由度。</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416"/>
      </w:tblGrid>
      <w:tr>
        <w:trPr>
          <w:cantSplit/>
          <w:tblHeader/>
        </w:trPr>
        <w:tc>
          <w:tcPr>
            <w:tcW w:type="dxa" w:w="2304"/>
            <w:vAlign w:val="center"/>
            <w:tcMar>
              <w:top w:w="90" w:type="dxa"/>
              <w:bottom w:w="90" w:type="dxa"/>
              <w:left w:w="90" w:type="dxa"/>
              <w:right w:w="90" w:type="dxa"/>
            </w:tcMar>
            <w:shd w:fill="E8EDF2"/>
          </w:tcPr>
          <w:p>
            <w:pPr>
              <w:spacing w:after="20" w:before="20" w:line="264" w:lineRule="auto"/>
            </w:pPr>
            <w:r>
              <w:rPr>
                <w:rFonts w:ascii="Calibri" w:hAnsi="Calibri" w:eastAsia="宋体"/>
                <w:b/>
                <w:color w:val="000000"/>
                <w:sz w:val="20"/>
              </w:rPr>
              <w:t>本地BERT-tiny项目</w:t>
            </w:r>
          </w:p>
        </w:tc>
        <w:tc>
          <w:tcPr>
            <w:tcW w:type="dxa" w:w="7416"/>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实际配置</w:t>
            </w:r>
          </w:p>
        </w:tc>
      </w:tr>
      <w:tr>
        <w:trPr>
          <w:cantSplit/>
        </w:trPr>
        <w:tc>
          <w:tcPr>
            <w:tcW w:type="dxa" w:w="2304"/>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基础模型</w:t>
            </w:r>
          </w:p>
        </w:tc>
        <w:tc>
          <w:tcPr>
            <w:tcW w:type="dxa" w:w="7416"/>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两层 H128 每头维度64；固定模型revision</w:t>
            </w:r>
          </w:p>
        </w:tc>
      </w:tr>
      <w:tr>
        <w:trPr>
          <w:cantSplit/>
        </w:trPr>
        <w:tc>
          <w:tcPr>
            <w:tcW w:type="dxa" w:w="2304"/>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LoRA目标</w:t>
            </w:r>
          </w:p>
        </w:tc>
        <w:tc>
          <w:tcPr>
            <w:tcW w:type="dxa" w:w="7416"/>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两层query/value共4个128×128投影</w:t>
            </w:r>
          </w:p>
        </w:tc>
      </w:tr>
      <w:tr>
        <w:trPr>
          <w:cantSplit/>
        </w:trPr>
        <w:tc>
          <w:tcPr>
            <w:tcW w:type="dxa" w:w="2304"/>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r8参数</w:t>
            </w:r>
          </w:p>
        </w:tc>
        <w:tc>
          <w:tcPr>
            <w:tcW w:type="dxa" w:w="7416"/>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4×8×(128+128)=8192因子，加258分类头，共8450</w:t>
            </w:r>
          </w:p>
        </w:tc>
      </w:tr>
      <w:tr>
        <w:trPr>
          <w:cantSplit/>
        </w:trPr>
        <w:tc>
          <w:tcPr>
            <w:tcW w:type="dxa" w:w="2304"/>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全量训练</w:t>
            </w:r>
          </w:p>
        </w:tc>
        <w:tc>
          <w:tcPr>
            <w:tcW w:type="dxa" w:w="7416"/>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4386178参数；LoRA可训练比例约0.193%</w:t>
            </w:r>
          </w:p>
        </w:tc>
      </w:tr>
    </w:tbl>
    <w:p>
      <w:pPr>
        <w:spacing w:after="0"/>
      </w:pPr>
    </w:p>
    <w:p>
      <w:pPr>
        <w:keepNext/>
        <w:keepLines/>
        <w:spacing w:before="60" w:after="140"/>
        <w:jc w:val="center"/>
      </w:pPr>
      <m:oMath>
        <m:r>
          <m:t>Q=X</m:t>
        </m:r>
        <m:sSubSup>
          <m:e>
            <m:r>
              <m:t>W</m:t>
            </m:r>
          </m:e>
          <m:sub>
            <m:r>
              <m:t>Q</m:t>
            </m:r>
          </m:sub>
          <m:sup>
            <m:r>
              <m:t>T</m:t>
            </m:r>
          </m:sup>
        </m:sSubSup>
        <m:r>
          <m:t xml:space="preserve">,   </m:t>
        </m:r>
        <m:r>
          <m:t>K=X</m:t>
        </m:r>
        <m:sSubSup>
          <m:e>
            <m:r>
              <m:t>W</m:t>
            </m:r>
          </m:e>
          <m:sub>
            <m:r>
              <m:t>K</m:t>
            </m:r>
          </m:sub>
          <m:sup>
            <m:r>
              <m:t>T</m:t>
            </m:r>
          </m:sup>
        </m:sSubSup>
        <m:r>
          <m:t xml:space="preserve">,   </m:t>
        </m:r>
        <m:r>
          <m:t>V=X</m:t>
        </m:r>
        <m:sSubSup>
          <m:e>
            <m:r>
              <m:t>W</m:t>
            </m:r>
          </m:e>
          <m:sub>
            <m:r>
              <m:t>V</m:t>
            </m:r>
          </m:sub>
          <m:sup>
            <m:r>
              <m:t>T</m:t>
            </m:r>
          </m:sup>
        </m:sSubSup>
        <m:r>
          <m:t xml:space="preserve">,   </m:t>
        </m:r>
        <m:r>
          <m:t>H=</m:t>
        </m:r>
        <m:r>
          <m:rPr>
            <m:sty m:val="p"/>
          </m:rPr>
          <m:t>softmax</m:t>
        </m:r>
        <m:r>
          <m:t>(Q</m:t>
        </m:r>
        <m:sSup>
          <m:e>
            <m:r>
              <m:t>K</m:t>
            </m:r>
          </m:e>
          <m:sup>
            <m:r>
              <m:t>T</m:t>
            </m:r>
          </m:sup>
        </m:sSup>
        <m:r>
          <m:t>/</m:t>
        </m:r>
        <m:rad>
          <m:radPr>
            <m:degHide m:val="on"/>
          </m:radPr>
          <m:deg/>
          <m:e>
            <m:sSub>
              <m:e>
                <m:r>
                  <m:t>d</m:t>
                </m:r>
              </m:e>
              <m:sub>
                <m:r>
                  <m:t>k</m:t>
                </m:r>
              </m:sub>
            </m:sSub>
          </m:e>
        </m:rad>
        <m:r>
          <m:t>)V</m:t>
        </m:r>
      </m:oMath>
    </w:p>
    <w:p>
      <w:r>
        <w:rPr>
          <w:rFonts w:ascii="Calibri" w:hAnsi="Calibri" w:eastAsia="宋体"/>
          <w:color w:val="000000"/>
        </w:rPr>
        <w:t>上式X按token逐行存放，与列向量线性层约定相容。改变Q影响注意力权重，改变V影响被汇总的内容；结果还要经过后续层、池化和分类头。head-only对照因此必要：任务改善不能全部归因于低秩分支。冻结权重也不等于用no_grad跳过底座；前面适配器仍需要梯度穿过后续冻结计算。</w:t>
      </w:r>
    </w:p>
    <w:p>
      <w:r>
        <w:rPr>
          <w:rFonts w:ascii="Calibri" w:hAnsi="Calibri" w:eastAsia="宋体"/>
          <w:color w:val="000000"/>
        </w:rPr>
        <w:t>参数高效不等于总内存按同倍率减少。训练仍持有基础权重、激活、临时工作区，以及可训练参数的梯度和优化器状态；部署adapter也依赖基础模型。只有具体实现与硬件上的测量，才能回答内存、吞吐和延迟节省多少。</w:t>
      </w:r>
    </w:p>
    <w:p>
      <w:pPr>
        <w:pStyle w:val="Heading1"/>
        <w:pageBreakBefore/>
      </w:pPr>
      <w:r>
        <w:t>链式法则与零初始化的作用</w:t>
      </w:r>
    </w:p>
    <w:p>
      <w:pPr>
        <w:keepNext/>
        <w:keepLines/>
        <w:spacing w:before="60" w:after="140"/>
        <w:jc w:val="center"/>
      </w:pPr>
      <m:oMath>
        <m:r>
          <m:t>G=∂</m:t>
        </m:r>
        <m:r>
          <m:rPr>
            <m:scr m:val="script"/>
          </m:rPr>
          <m:t>L</m:t>
        </m:r>
        <m:r>
          <m:t xml:space="preserve">/∂D,   </m:t>
        </m:r>
        <m:sSub>
          <m:e>
            <m:r>
              <m:t>g</m:t>
            </m:r>
          </m:e>
          <m:sub>
            <m:r>
              <m:t>A</m:t>
            </m:r>
          </m:sub>
        </m:sSub>
        <m:r>
          <m:t>=s</m:t>
        </m:r>
        <m:sSup>
          <m:e>
            <m:r>
              <m:t>B</m:t>
            </m:r>
          </m:e>
          <m:sup>
            <m:r>
              <m:t>T</m:t>
            </m:r>
          </m:sup>
        </m:sSup>
        <m:r>
          <m:t xml:space="preserve">G,   </m:t>
        </m:r>
        <m:sSub>
          <m:e>
            <m:r>
              <m:t>g</m:t>
            </m:r>
          </m:e>
          <m:sub>
            <m:r>
              <m:t>B</m:t>
            </m:r>
          </m:sub>
        </m:sSub>
        <m:r>
          <m:t>=sG</m:t>
        </m:r>
        <m:sSup>
          <m:e>
            <m:r>
              <m:t>A</m:t>
            </m:r>
          </m:e>
          <m:sup>
            <m:r>
              <m:t>T</m:t>
            </m:r>
          </m:sup>
        </m:sSup>
      </m:oMath>
    </w:p>
    <w:p>
      <w:r>
        <w:rPr>
          <w:rFonts w:ascii="Calibri" w:hAnsi="Calibri" w:eastAsia="宋体"/>
          <w:color w:val="000000"/>
        </w:rPr>
        <w:t>令dD=s(dB A+B dA)，再用dL=〈G,dD〉F收集dA与dB的系数，就得到两条梯度。若损失已经做batch平均，G已经包含该系数，不再多除一次batch size。两因子的形状不同、梯度路径不同，不能把它们视为一份全量梯度简单缩小后的两段。</w:t>
      </w:r>
    </w:p>
    <w:p>
      <w:r>
        <w:rPr>
          <w:rFonts w:ascii="Calibri" w:hAnsi="Calibri" w:eastAsia="宋体"/>
          <w:color w:val="000000"/>
        </w:rPr>
        <w:t>随机A、零B使初始D=0，模型从基础输出启动。此时gA=0，gB通常非零但并非无条件保证非零；例如输入恰好落在A的零空间，B也可能暂时无梯度。B更新后A才可能收到任务梯度。如果两因子都为0，标准梯度更新不能启动该分支。原论文写Gaussian A，固定版loralib Linear执行Kaiming-uniform A；本项目按实际代码记录。</w:t>
      </w:r>
    </w:p>
    <w:p>
      <w:pPr>
        <w:keepNext/>
        <w:keepLines/>
        <w:spacing w:before="60" w:after="140"/>
        <w:jc w:val="center"/>
      </w:pPr>
      <m:oMath>
        <m:r>
          <m:t>ΔD=s(BΔA+ΔBA+ΔBΔA)</m:t>
        </m:r>
      </m:oMath>
    </w:p>
    <w:p>
      <w:pPr>
        <w:keepNext/>
        <w:keepLines/>
        <w:spacing w:before="60" w:after="140"/>
        <w:jc w:val="center"/>
      </w:pPr>
      <m:oMath>
        <m:r>
          <m:t>ΔD=−</m:t>
        </m:r>
        <m:sSub>
          <m:e>
            <m:r>
              <m:t>η</m:t>
            </m:r>
          </m:e>
          <m:sub>
            <m:r>
              <m:t>B</m:t>
            </m:r>
          </m:sub>
        </m:sSub>
        <m:sSup>
          <m:e>
            <m:r>
              <m:t>s</m:t>
            </m:r>
          </m:e>
          <m:sup>
            <m:r>
              <m:t>2</m:t>
            </m:r>
          </m:sup>
        </m:sSup>
        <m:r>
          <m:t>G</m:t>
        </m:r>
        <m:sSup>
          <m:e>
            <m:r>
              <m:t>A</m:t>
            </m:r>
          </m:e>
          <m:sup>
            <m:r>
              <m:t>T</m:t>
            </m:r>
          </m:sup>
        </m:sSup>
        <m:r>
          <m:t>A−</m:t>
        </m:r>
        <m:sSub>
          <m:e>
            <m:r>
              <m:t>η</m:t>
            </m:r>
          </m:e>
          <m:sub>
            <m:r>
              <m:t>A</m:t>
            </m:r>
          </m:sub>
        </m:sSub>
        <m:sSup>
          <m:e>
            <m:r>
              <m:t>s</m:t>
            </m:r>
          </m:e>
          <m:sup>
            <m:r>
              <m:t>2</m:t>
            </m:r>
          </m:sup>
        </m:sSup>
        <m:r>
          <m:t>B</m:t>
        </m:r>
        <m:sSup>
          <m:e>
            <m:r>
              <m:t>B</m:t>
            </m:r>
          </m:e>
          <m:sup>
            <m:r>
              <m:t>T</m:t>
            </m:r>
          </m:sup>
        </m:sSup>
        <m:r>
          <m:t>G+</m:t>
        </m:r>
        <m:sSub>
          <m:e>
            <m:r>
              <m:t>η</m:t>
            </m:r>
          </m:e>
          <m:sub>
            <m:r>
              <m:t>A</m:t>
            </m:r>
          </m:sub>
        </m:sSub>
        <m:sSub>
          <m:e>
            <m:r>
              <m:t>η</m:t>
            </m:r>
          </m:e>
          <m:sub>
            <m:r>
              <m:t>B</m:t>
            </m:r>
          </m:sub>
        </m:sSub>
        <m:sSup>
          <m:e>
            <m:r>
              <m:t>s</m:t>
            </m:r>
          </m:e>
          <m:sup>
            <m:r>
              <m:t>3</m:t>
            </m:r>
          </m:sup>
        </m:sSup>
        <m:r>
          <m:t>G</m:t>
        </m:r>
        <m:sSup>
          <m:e>
            <m:r>
              <m:t>A</m:t>
            </m:r>
          </m:e>
          <m:sup>
            <m:r>
              <m:t>T</m:t>
            </m:r>
          </m:sup>
        </m:sSup>
        <m:sSup>
          <m:e>
            <m:r>
              <m:t>B</m:t>
            </m:r>
          </m:e>
          <m:sup>
            <m:r>
              <m:t>T</m:t>
            </m:r>
          </m:sup>
        </m:sSup>
        <m:r>
          <m:t>G</m:t>
        </m:r>
      </m:oMath>
    </w:p>
    <w:p>
      <w:r>
        <w:rPr>
          <w:rFonts w:ascii="Calibri" w:hAnsi="Calibri" w:eastAsia="宋体"/>
          <w:color w:val="000000"/>
        </w:rPr>
        <w:t>第一式对任意实际因子增量精确成立。第二式代入无动量、无裁剪、无衰减的同时SGD；所有右侧量来自更新前状态。交叉项不能在声称精确时删除。有效权重更新取决于A/B的几何结构，因而即便rank可表示所有矩阵，也不保证优化轨迹与全量微调相同。</w:t>
      </w:r>
    </w:p>
    <w:p>
      <w:pPr>
        <w:keepNext/>
        <w:keepLines/>
        <w:spacing w:before="60" w:after="140"/>
        <w:jc w:val="center"/>
      </w:pPr>
      <m:oMath>
        <m:sSub>
          <m:e>
            <m:r>
              <m:t>B</m:t>
            </m:r>
          </m:e>
          <m:sub>
            <m:r>
              <m:t>0</m:t>
            </m:r>
          </m:sub>
        </m:sSub>
        <m:r>
          <m:t>=0</m:t>
        </m:r>
        <m:r>
          <m:rPr>
            <m:sty m:val="p"/>
          </m:rPr>
          <m:t> </m:t>
        </m:r>
        <m:r>
          <m:t>⇒</m:t>
        </m:r>
        <m:r>
          <m:rPr>
            <m:sty m:val="p"/>
          </m:rPr>
          <m:t> </m:t>
        </m:r>
        <m:sSub>
          <m:e>
            <m:r>
              <m:t>D</m:t>
            </m:r>
          </m:e>
          <m:sub>
            <m:r>
              <m:t>1</m:t>
            </m:r>
          </m:sub>
        </m:sSub>
        <m:r>
          <m:t>=−</m:t>
        </m:r>
        <m:sSub>
          <m:e>
            <m:r>
              <m:t>η</m:t>
            </m:r>
          </m:e>
          <m:sub>
            <m:r>
              <m:t>B</m:t>
            </m:r>
          </m:sub>
        </m:sSub>
        <m:sSup>
          <m:e>
            <m:r>
              <m:t>s</m:t>
            </m:r>
          </m:e>
          <m:sup>
            <m:r>
              <m:t>2</m:t>
            </m:r>
          </m:sup>
        </m:sSup>
        <m:r>
          <m:t>G</m:t>
        </m:r>
        <m:sSubSup>
          <m:e>
            <m:r>
              <m:t>A</m:t>
            </m:r>
          </m:e>
          <m:sub>
            <m:r>
              <m:t>0</m:t>
            </m:r>
          </m:sub>
          <m:sup>
            <m:r>
              <m:t>T</m:t>
            </m:r>
          </m:sup>
        </m:sSubSup>
        <m:sSub>
          <m:e>
            <m:r>
              <m:t>A</m:t>
            </m:r>
          </m:e>
          <m:sub>
            <m:r>
              <m:t>0</m:t>
            </m:r>
          </m:sub>
        </m:sSub>
      </m:oMath>
    </w:p>
    <w:p>
      <w:pPr>
        <w:keepNext/>
        <w:keepLines/>
        <w:spacing w:before="60" w:after="140"/>
        <w:jc w:val="center"/>
      </w:pPr>
      <m:oMath>
        <m:r>
          <m:rPr>
            <m:scr m:val="double-struck"/>
            <m:sty m:val="p"/>
          </m:rPr>
          <m:t>E</m:t>
        </m:r>
        <m:r>
          <m:t>[</m:t>
        </m:r>
        <m:sSub>
          <m:e>
            <m:r>
              <m:t>D</m:t>
            </m:r>
          </m:e>
          <m:sub>
            <m:r>
              <m:t>1</m:t>
            </m:r>
          </m:sub>
        </m:sSub>
        <m:r>
          <m:t>]=−</m:t>
        </m:r>
        <m:sSub>
          <m:e>
            <m:r>
              <m:t>η</m:t>
            </m:r>
          </m:e>
          <m:sub>
            <m:r>
              <m:t>B</m:t>
            </m:r>
          </m:sub>
        </m:sSub>
        <m:sSup>
          <m:e>
            <m:r>
              <m:t>s</m:t>
            </m:r>
          </m:e>
          <m:sup>
            <m:r>
              <m:t>2</m:t>
            </m:r>
          </m:sup>
        </m:sSup>
        <m:r>
          <m:t>r</m:t>
        </m:r>
        <m:sSubSup>
          <m:e>
            <m:r>
              <m:t>σ</m:t>
            </m:r>
          </m:e>
          <m:sub>
            <m:r>
              <m:t>A</m:t>
            </m:r>
          </m:sub>
          <m:sup>
            <m:r>
              <m:t>2</m:t>
            </m:r>
          </m:sup>
        </m:sSubSup>
        <m:r>
          <m:t>G</m:t>
        </m:r>
      </m:oMath>
    </w:p>
    <w:p>
      <w:r>
        <w:rPr>
          <w:rFonts w:ascii="Calibri" w:hAnsi="Calibri" w:eastAsia="宋体"/>
          <w:color w:val="000000"/>
        </w:rPr>
        <w:t>最后一个期望另需A0独立同分布、均值0、方差σA²，以及G固定并独立于A0。零B初始前向可在固定base/head/batch/dropout条件下满足这个独立性；训练后通常不再成立。它解释首步尺度，不等于范数期望，更不是实际AdamW全程或任务准确率的公式。</w:t>
      </w:r>
    </w:p>
    <w:p>
      <w:pPr>
        <w:pStyle w:val="Heading1"/>
        <w:pageBreakBefore/>
      </w:pPr>
      <w:r>
        <w:t>一个可以手算的完整更新</w:t>
      </w:r>
    </w:p>
    <w:p>
      <w:r>
        <w:rPr>
          <w:rFonts w:ascii="Calibri" w:hAnsi="Calibri" w:eastAsia="宋体"/>
          <w:color w:val="000000"/>
        </w:rPr>
        <w:t>下面只演示单样本平方损失的普通SGD，不是SST交叉熵实验。取二维输入、rank1、s=1、单位基础矩阵；目标为零向量。这样既能验证形状与符号，也能看见低秩增量为何不把整个模型变成低秩。</w:t>
      </w:r>
    </w:p>
    <w:p>
      <w:pPr>
        <w:keepNext/>
        <w:keepLines/>
        <w:spacing w:before="60" w:after="140"/>
        <w:jc w:val="center"/>
      </w:pPr>
      <m:oMath>
        <m:sSub>
          <m:e>
            <m:r>
              <m:t>W</m:t>
            </m:r>
          </m:e>
          <m:sub>
            <m:r>
              <m:t>0</m:t>
            </m:r>
          </m:sub>
        </m:sSub>
        <m:r>
          <m:t>=</m:t>
        </m:r>
        <m:d>
          <m:dPr>
            <m:begChr m:val="["/>
            <m:endChr m:val="]"/>
            <m:grow m:val="1"/>
          </m:dPr>
          <m:e>
            <m:m>
              <m:mPr>
                <m:baseJc m:val="center"/>
                <m:plcHide m:val="on"/>
                <m:mcs>
                  <m:mc>
                    <m:mcPr>
                      <m:count m:val="2"/>
                      <m:mcJc m:val="center"/>
                    </m:mcPr>
                  </m:mc>
                </m:mcs>
              </m:mPr>
              <m:mr>
                <m:e>
                  <m:r>
                    <m:t>1</m:t>
                  </m:r>
                </m:e>
                <m:e>
                  <m:r>
                    <m:t>0</m:t>
                  </m:r>
                </m:e>
              </m:mr>
              <m:mr>
                <m:e>
                  <m:r>
                    <m:t>0</m:t>
                  </m:r>
                </m:e>
                <m:e>
                  <m:r>
                    <m:t>1</m:t>
                  </m:r>
                </m:e>
              </m:mr>
            </m:m>
          </m:e>
        </m:d>
        <m:r>
          <m:t xml:space="preserve">,   </m:t>
        </m:r>
        <m:r>
          <m:t>x=</m:t>
        </m:r>
        <m:d>
          <m:dPr>
            <m:begChr m:val="["/>
            <m:endChr m:val="]"/>
            <m:grow m:val="1"/>
          </m:dPr>
          <m:e>
            <m:eqArr>
              <m:e>
                <m:r>
                  <m:t>2</m:t>
                </m:r>
              </m:e>
              <m:e>
                <m:r>
                  <m:t>1</m:t>
                </m:r>
              </m:e>
            </m:eqArr>
          </m:e>
        </m:d>
        <m:r>
          <m:t xml:space="preserve">,   </m:t>
        </m:r>
        <m:sSub>
          <m:e>
            <m:r>
              <m:t>A</m:t>
            </m:r>
          </m:e>
          <m:sub>
            <m:r>
              <m:t>0</m:t>
            </m:r>
          </m:sub>
        </m:sSub>
        <m:r>
          <m:t>=</m:t>
        </m:r>
        <m:d>
          <m:dPr>
            <m:begChr m:val="["/>
            <m:endChr m:val="]"/>
            <m:grow m:val="1"/>
          </m:dPr>
          <m:e>
            <m:m>
              <m:mPr>
                <m:baseJc m:val="center"/>
                <m:plcHide m:val="on"/>
                <m:mcs>
                  <m:mc>
                    <m:mcPr>
                      <m:count m:val="2"/>
                      <m:mcJc m:val="center"/>
                    </m:mcPr>
                  </m:mc>
                </m:mcs>
              </m:mPr>
              <m:mr>
                <m:e>
                  <m:r>
                    <m:t>1</m:t>
                  </m:r>
                </m:e>
                <m:e>
                  <m:r>
                    <m:t>−1</m:t>
                  </m:r>
                </m:e>
              </m:mr>
            </m:m>
          </m:e>
        </m:d>
        <m:r>
          <m:t xml:space="preserve">,   </m:t>
        </m:r>
        <m:sSub>
          <m:e>
            <m:r>
              <m:t>B</m:t>
            </m:r>
          </m:e>
          <m:sub>
            <m:r>
              <m:t>0</m:t>
            </m:r>
          </m:sub>
        </m:sSub>
        <m:r>
          <m:t>=</m:t>
        </m:r>
        <m:d>
          <m:dPr>
            <m:begChr m:val="["/>
            <m:endChr m:val="]"/>
            <m:grow m:val="1"/>
          </m:dPr>
          <m:e>
            <m:eqArr>
              <m:e>
                <m:r>
                  <m:t>0</m:t>
                </m:r>
              </m:e>
              <m:e>
                <m:r>
                  <m:t>0</m:t>
                </m:r>
              </m:e>
            </m:eqArr>
          </m:e>
        </m:d>
        <m:r>
          <m:t/>
        </m:r>
      </m:oMath>
    </w:p>
    <w:p>
      <w:pPr>
        <w:keepNext/>
        <w:keepLines/>
        <w:spacing w:before="60" w:after="140"/>
        <w:jc w:val="center"/>
      </w:pPr>
      <m:oMath>
        <m:sSub>
          <m:e>
            <m:r>
              <m:t>y</m:t>
            </m:r>
          </m:e>
          <m:sub>
            <m:r>
              <m:t>0</m:t>
            </m:r>
          </m:sub>
        </m:sSub>
        <m:r>
          <m:t>=</m:t>
        </m:r>
        <m:d>
          <m:dPr>
            <m:begChr m:val="["/>
            <m:endChr m:val="]"/>
            <m:grow m:val="1"/>
          </m:dPr>
          <m:e>
            <m:eqArr>
              <m:e>
                <m:r>
                  <m:t>2</m:t>
                </m:r>
              </m:e>
              <m:e>
                <m:r>
                  <m:t>1</m:t>
                </m:r>
              </m:e>
            </m:eqArr>
          </m:e>
        </m:d>
        <m:r>
          <m:t xml:space="preserve">,   </m:t>
        </m:r>
        <m:sSub>
          <m:e>
            <m:r>
              <m:rPr>
                <m:scr m:val="script"/>
              </m:rPr>
              <m:t>L</m:t>
            </m:r>
          </m:e>
          <m:sub>
            <m:r>
              <m:t>0</m:t>
            </m:r>
          </m:sub>
        </m:sSub>
        <m:r>
          <m:t>=</m:t>
        </m:r>
        <m:f>
          <m:fPr>
            <m:type m:val="bar"/>
          </m:fPr>
          <m:num>
            <m:r>
              <m:t>1</m:t>
            </m:r>
          </m:num>
          <m:den>
            <m:r>
              <m:t>2</m:t>
            </m:r>
          </m:den>
        </m:f>
        <m:sSup>
          <m:e>
            <m:d>
              <m:dPr>
                <m:begChr m:val="‖"/>
                <m:sepChr m:val=""/>
                <m:endChr m:val="‖"/>
              </m:dPr>
              <m:e>
                <m:sSub>
                  <m:e>
                    <m:r>
                      <m:t>y</m:t>
                    </m:r>
                  </m:e>
                  <m:sub>
                    <m:r>
                      <m:t>0</m:t>
                    </m:r>
                  </m:sub>
                </m:sSub>
              </m:e>
            </m:d>
          </m:e>
          <m:sup>
            <m:r>
              <m:t>2</m:t>
            </m:r>
          </m:sup>
        </m:sSup>
        <m:r>
          <m:t xml:space="preserve">=2.5,   </m:t>
        </m:r>
        <m:r>
          <m:t>G=</m:t>
        </m:r>
        <m:sSub>
          <m:e>
            <m:r>
              <m:t>y</m:t>
            </m:r>
          </m:e>
          <m:sub>
            <m:r>
              <m:t>0</m:t>
            </m:r>
          </m:sub>
        </m:sSub>
        <m:sSup>
          <m:e>
            <m:r>
              <m:t>x</m:t>
            </m:r>
          </m:e>
          <m:sup>
            <m:r>
              <m:t>T</m:t>
            </m:r>
          </m:sup>
        </m:sSup>
        <m:r>
          <m:t>=</m:t>
        </m:r>
        <m:d>
          <m:dPr>
            <m:begChr m:val="["/>
            <m:endChr m:val="]"/>
            <m:grow m:val="1"/>
          </m:dPr>
          <m:e>
            <m:m>
              <m:mPr>
                <m:baseJc m:val="center"/>
                <m:plcHide m:val="on"/>
                <m:mcs>
                  <m:mc>
                    <m:mcPr>
                      <m:count m:val="2"/>
                      <m:mcJc m:val="center"/>
                    </m:mcPr>
                  </m:mc>
                </m:mcs>
              </m:mPr>
              <m:mr>
                <m:e>
                  <m:r>
                    <m:t>4</m:t>
                  </m:r>
                </m:e>
                <m:e>
                  <m:r>
                    <m:t>2</m:t>
                  </m:r>
                </m:e>
              </m:mr>
              <m:mr>
                <m:e>
                  <m:r>
                    <m:t>2</m:t>
                  </m:r>
                </m:e>
                <m:e>
                  <m:r>
                    <m:t>1</m:t>
                  </m:r>
                </m:e>
              </m:mr>
            </m:m>
          </m:e>
        </m:d>
        <m:r>
          <m:t/>
        </m:r>
      </m:oMath>
    </w:p>
    <w:p>
      <w:pPr>
        <w:keepNext/>
        <w:keepLines/>
        <w:spacing w:before="60" w:after="140"/>
        <w:jc w:val="center"/>
      </w:pPr>
      <m:oMath>
        <m:sSub>
          <m:e>
            <m:r>
              <m:t>g</m:t>
            </m:r>
          </m:e>
          <m:sub>
            <m:r>
              <m:t xml:space="preserve">A,   0</m:t>
            </m:r>
          </m:sub>
        </m:sSub>
        <m:r>
          <m:t>=</m:t>
        </m:r>
        <m:d>
          <m:dPr>
            <m:begChr m:val="["/>
            <m:endChr m:val="]"/>
            <m:grow m:val="1"/>
          </m:dPr>
          <m:e>
            <m:m>
              <m:mPr>
                <m:baseJc m:val="center"/>
                <m:plcHide m:val="on"/>
                <m:mcs>
                  <m:mc>
                    <m:mcPr>
                      <m:count m:val="2"/>
                      <m:mcJc m:val="center"/>
                    </m:mcPr>
                  </m:mc>
                </m:mcs>
              </m:mPr>
              <m:mr>
                <m:e>
                  <m:r>
                    <m:t>0</m:t>
                  </m:r>
                </m:e>
                <m:e>
                  <m:r>
                    <m:t>0</m:t>
                  </m:r>
                </m:e>
              </m:mr>
            </m:m>
          </m:e>
        </m:d>
        <m:r>
          <m:t xml:space="preserve">,   </m:t>
        </m:r>
        <m:sSub>
          <m:e>
            <m:r>
              <m:t>g</m:t>
            </m:r>
          </m:e>
          <m:sub>
            <m:r>
              <m:t xml:space="preserve">B,   0</m:t>
            </m:r>
          </m:sub>
        </m:sSub>
        <m:r>
          <m:t>=G</m:t>
        </m:r>
        <m:sSubSup>
          <m:e>
            <m:r>
              <m:t>A</m:t>
            </m:r>
          </m:e>
          <m:sub>
            <m:r>
              <m:t>0</m:t>
            </m:r>
          </m:sub>
          <m:sup>
            <m:r>
              <m:t>T</m:t>
            </m:r>
          </m:sup>
        </m:sSubSup>
        <m:r>
          <m:t>=</m:t>
        </m:r>
        <m:d>
          <m:dPr>
            <m:begChr m:val="["/>
            <m:endChr m:val="]"/>
            <m:grow m:val="1"/>
          </m:dPr>
          <m:e>
            <m:eqArr>
              <m:e>
                <m:r>
                  <m:t>2</m:t>
                </m:r>
              </m:e>
              <m:e>
                <m:r>
                  <m:t>1</m:t>
                </m:r>
              </m:e>
            </m:eqArr>
          </m:e>
        </m:d>
        <m:r>
          <m:t/>
        </m:r>
      </m:oMath>
    </w:p>
    <w:p>
      <w:r>
        <w:rPr>
          <w:rFonts w:ascii="Calibri" w:hAnsi="Calibri" w:eastAsia="宋体"/>
          <w:color w:val="000000"/>
        </w:rPr>
        <w:t>设ηA=ηB=0.1。由于初始A梯度为0，A1=A0；B1=[−0.2,−0.1]ᵀ。这里Ax=1，B有可学习信号。若将x改成[1,1]ᵀ而保持A0，Ax会等于0，正好说明“B首步梯度非零”需要具体条件。</w:t>
      </w:r>
    </w:p>
    <w:p>
      <w:pPr>
        <w:keepNext/>
        <w:keepLines/>
        <w:spacing w:before="60" w:after="140"/>
        <w:jc w:val="center"/>
      </w:pPr>
      <m:oMath>
        <m:sSub>
          <m:e>
            <m:r>
              <m:t>D</m:t>
            </m:r>
          </m:e>
          <m:sub>
            <m:r>
              <m:t>1</m:t>
            </m:r>
          </m:sub>
        </m:sSub>
        <m:r>
          <m:t>=</m:t>
        </m:r>
        <m:sSub>
          <m:e>
            <m:r>
              <m:t>B</m:t>
            </m:r>
          </m:e>
          <m:sub>
            <m:r>
              <m:t>1</m:t>
            </m:r>
          </m:sub>
        </m:sSub>
        <m:sSub>
          <m:e>
            <m:r>
              <m:t>A</m:t>
            </m:r>
          </m:e>
          <m:sub>
            <m:r>
              <m:t>1</m:t>
            </m:r>
          </m:sub>
        </m:sSub>
        <m:r>
          <m:t>=</m:t>
        </m:r>
        <m:d>
          <m:dPr>
            <m:begChr m:val="["/>
            <m:endChr m:val="]"/>
            <m:grow m:val="1"/>
          </m:dPr>
          <m:e>
            <m:m>
              <m:mPr>
                <m:baseJc m:val="center"/>
                <m:plcHide m:val="on"/>
                <m:mcs>
                  <m:mc>
                    <m:mcPr>
                      <m:count m:val="2"/>
                      <m:mcJc m:val="center"/>
                    </m:mcPr>
                  </m:mc>
                </m:mcs>
              </m:mPr>
              <m:mr>
                <m:e>
                  <m:r>
                    <m:t>−0.2</m:t>
                  </m:r>
                </m:e>
                <m:e>
                  <m:r>
                    <m:t>0.2</m:t>
                  </m:r>
                </m:e>
              </m:mr>
              <m:mr>
                <m:e>
                  <m:r>
                    <m:t>−0.1</m:t>
                  </m:r>
                </m:e>
                <m:e>
                  <m:r>
                    <m:t>0.1</m:t>
                  </m:r>
                </m:e>
              </m:mr>
            </m:m>
          </m:e>
        </m:d>
        <m:r>
          <m:t xml:space="preserve">,   </m:t>
        </m:r>
        <m:sSub>
          <m:e>
            <m:r>
              <m:t>W</m:t>
            </m:r>
          </m:e>
          <m:sub>
            <m:r>
              <m:t>1</m:t>
            </m:r>
          </m:sub>
        </m:sSub>
        <m:r>
          <m:t>=</m:t>
        </m:r>
        <m:d>
          <m:dPr>
            <m:begChr m:val="["/>
            <m:endChr m:val="]"/>
            <m:grow m:val="1"/>
          </m:dPr>
          <m:e>
            <m:m>
              <m:mPr>
                <m:baseJc m:val="center"/>
                <m:plcHide m:val="on"/>
                <m:mcs>
                  <m:mc>
                    <m:mcPr>
                      <m:count m:val="2"/>
                      <m:mcJc m:val="center"/>
                    </m:mcPr>
                  </m:mc>
                </m:mcs>
              </m:mPr>
              <m:mr>
                <m:e>
                  <m:r>
                    <m:t>0.8</m:t>
                  </m:r>
                </m:e>
                <m:e>
                  <m:r>
                    <m:t>0.2</m:t>
                  </m:r>
                </m:e>
              </m:mr>
              <m:mr>
                <m:e>
                  <m:r>
                    <m:t>−0.1</m:t>
                  </m:r>
                </m:e>
                <m:e>
                  <m:r>
                    <m:t>1.1</m:t>
                  </m:r>
                </m:e>
              </m:mr>
            </m:m>
          </m:e>
        </m:d>
        <m:r>
          <m:t/>
        </m:r>
      </m:oMath>
    </w:p>
    <w:p>
      <w:pPr>
        <w:keepNext/>
        <w:keepLines/>
        <w:spacing w:before="60" w:after="140"/>
        <w:jc w:val="center"/>
      </w:pPr>
      <m:oMath>
        <m:sSub>
          <m:e>
            <m:r>
              <m:t>y</m:t>
            </m:r>
          </m:e>
          <m:sub>
            <m:r>
              <m:t>1</m:t>
            </m:r>
          </m:sub>
        </m:sSub>
        <m:r>
          <m:t>=</m:t>
        </m:r>
        <m:sSub>
          <m:e>
            <m:r>
              <m:t>W</m:t>
            </m:r>
          </m:e>
          <m:sub>
            <m:r>
              <m:t>1</m:t>
            </m:r>
          </m:sub>
        </m:sSub>
        <m:r>
          <m:t>x=</m:t>
        </m:r>
        <m:d>
          <m:dPr>
            <m:begChr m:val="["/>
            <m:endChr m:val="]"/>
            <m:grow m:val="1"/>
          </m:dPr>
          <m:e>
            <m:eqArr>
              <m:e>
                <m:r>
                  <m:t>1.8</m:t>
                </m:r>
              </m:e>
              <m:e>
                <m:r>
                  <m:t>0.9</m:t>
                </m:r>
              </m:e>
            </m:eqArr>
          </m:e>
        </m:d>
        <m:r>
          <m:t xml:space="preserve">,   </m:t>
        </m:r>
        <m:sSub>
          <m:e>
            <m:r>
              <m:rPr>
                <m:scr m:val="script"/>
              </m:rPr>
              <m:t>L</m:t>
            </m:r>
          </m:e>
          <m:sub>
            <m:r>
              <m:t>1</m:t>
            </m:r>
          </m:sub>
        </m:sSub>
        <m:r>
          <m:t>=2.025</m:t>
        </m:r>
      </m:oMath>
    </w:p>
    <w:p>
      <w:r>
        <w:rPr>
          <w:rFonts w:ascii="Calibri" w:hAnsi="Calibri" w:eastAsia="宋体"/>
          <w:color w:val="000000"/>
        </w:rPr>
        <w:t>两行D1成比例，所以rank(D1)=1；W1的行列式为0.9，所以最终权重仍为rank2。直接计算W0x+B1(A1x)也得到[1.8,0.9]ᵀ，验证了该例的合并。损失下降来自具体更新方向，不能仅从rank1或参数更少推出下降。此例所有数值为报告中的解析手算，不计入任何实验运行次数。</w:t>
      </w:r>
    </w:p>
    <w:p>
      <w:r>
        <w:rPr>
          <w:rFonts w:ascii="Calibri" w:hAnsi="Calibri" w:eastAsia="宋体"/>
          <w:color w:val="000000"/>
        </w:rPr>
        <w:t>第1阶段进一步用32/24维线性任务、512训练样本与4096测试样本检查这一机制。人为rank4教师配r4的test MSE约3.219×10⁻⁷，平坦满秩教师配r4约0.825699。前者说明容量匹配可成功，后者提供容量不足的反例。36条合成记录独立MSE复算最大差2.22×10⁻¹⁶；这层检查不等于执行了官方大模型基准。</w:t>
      </w:r>
    </w:p>
    <w:p>
      <w:pPr>
        <w:pStyle w:val="Heading1"/>
        <w:pageBreakBefore/>
      </w:pPr>
      <w:r>
        <w:t>把公式落实成可复查的训练流程</w:t>
      </w:r>
    </w:p>
    <w:p>
      <w:r>
        <w:rPr>
          <w:rFonts w:ascii="Calibri" w:hAnsi="Calibri" w:eastAsia="宋体"/>
          <w:color w:val="000000"/>
        </w:rPr>
        <w:t>复现首先应把研究变量写成配置，而非训练结束后再解释。每次运行必须可恢复到同一基础权重、token序列和可训练参数集合。实际代码使用固定loralib commit，关闭其训练期间自动合并，通过显式副本进行推理验收；这样可避免eval/train模式切换造成重复合并或低精度反复加减。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192"/>
      </w:tblGrid>
      <w:tr>
        <w:trPr>
          <w:cantSplit/>
          <w:tblHeader/>
        </w:trPr>
        <w:tc>
          <w:tcPr>
            <w:tcW w:type="dxa" w:w="3528"/>
            <w:vAlign w:val="center"/>
            <w:tcMar>
              <w:top w:w="90" w:type="dxa"/>
              <w:bottom w:w="90" w:type="dxa"/>
              <w:left w:w="90" w:type="dxa"/>
              <w:right w:w="90" w:type="dxa"/>
            </w:tcMar>
            <w:shd w:fill="E8EDF2"/>
          </w:tcPr>
          <w:p>
            <w:pPr>
              <w:spacing w:after="20" w:before="20" w:line="264" w:lineRule="auto"/>
            </w:pPr>
            <w:r>
              <w:rPr>
                <w:rFonts w:ascii="Calibri" w:hAnsi="Calibri" w:eastAsia="宋体"/>
                <w:b/>
                <w:color w:val="000000"/>
                <w:sz w:val="20"/>
              </w:rPr>
              <w:t>流程伪代码</w:t>
            </w:r>
          </w:p>
        </w:tc>
        <w:tc>
          <w:tcPr>
            <w:tcW w:type="dxa" w:w="6192"/>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必要检查与保存</w:t>
            </w:r>
          </w:p>
        </w:tc>
      </w:tr>
      <w:tr>
        <w:trPr>
          <w:cantSplit/>
        </w:trPr>
        <w:tc>
          <w:tcPr>
            <w:tcW w:type="dxa" w:w="3528"/>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01 读取冻结协议与输入</w:t>
            </w:r>
          </w:p>
        </w:tc>
        <w:tc>
          <w:tcPr>
            <w:tcW w:type="dxa" w:w="6192"/>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核模型、token、split指纹；明确train/dev/test权限</w:t>
            </w:r>
          </w:p>
        </w:tc>
      </w:tr>
      <w:tr>
        <w:trPr>
          <w:cantSplit/>
        </w:trPr>
        <w:tc>
          <w:tcPr>
            <w:tcW w:type="dxa" w:w="3528"/>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02 构造同seed基础模型</w:t>
            </w:r>
          </w:p>
        </w:tc>
        <w:tc>
          <w:tcPr>
            <w:tcW w:type="dxa" w:w="6192"/>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保存head与A/B初值；相同对照配对批次与dropout</w:t>
            </w:r>
          </w:p>
        </w:tc>
      </w:tr>
      <w:tr>
        <w:trPr>
          <w:cantSplit/>
        </w:trPr>
        <w:tc>
          <w:tcPr>
            <w:tcW w:type="dxa" w:w="3528"/>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03 注入目标Linear并冻结W0</w:t>
            </w:r>
          </w:p>
        </w:tc>
        <w:tc>
          <w:tcPr>
            <w:tcW w:type="dxa" w:w="6192"/>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枚举每个参数的形状、requires_grad和优化器组</w:t>
            </w:r>
          </w:p>
        </w:tc>
      </w:tr>
      <w:tr>
        <w:trPr>
          <w:cantSplit/>
        </w:trPr>
        <w:tc>
          <w:tcPr>
            <w:tcW w:type="dxa" w:w="3528"/>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04 批次循环</w:t>
            </w:r>
          </w:p>
        </w:tc>
        <w:tc>
          <w:tcPr>
            <w:tcW w:type="dxa" w:w="6192"/>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forward→平均CE→backward→全局clip→optimizer→scheduler</w:t>
            </w:r>
          </w:p>
        </w:tc>
      </w:tr>
      <w:tr>
        <w:trPr>
          <w:cantSplit/>
        </w:trPr>
        <w:tc>
          <w:tcPr>
            <w:tcW w:type="dxa" w:w="3528"/>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05 固定预算终点保存</w:t>
            </w:r>
          </w:p>
        </w:tc>
        <w:tc>
          <w:tcPr>
            <w:tcW w:type="dxa" w:w="6192"/>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先保存checkpoint和日志；不以test挑epoch/seed</w:t>
            </w:r>
          </w:p>
        </w:tc>
      </w:tr>
      <w:tr>
        <w:trPr>
          <w:cantSplit/>
        </w:trPr>
        <w:tc>
          <w:tcPr>
            <w:tcW w:type="dxa" w:w="3528"/>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06 评价与工程验收</w:t>
            </w:r>
          </w:p>
        </w:tc>
        <w:tc>
          <w:tcPr>
            <w:tcW w:type="dxa" w:w="6192"/>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逐条预测、merge/reload、失败分类分别持久化</w:t>
            </w:r>
          </w:p>
        </w:tc>
      </w:tr>
      <w:tr>
        <w:trPr>
          <w:cantSplit/>
        </w:trPr>
        <w:tc>
          <w:tcPr>
            <w:tcW w:type="dxa" w:w="3528"/>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07 独立复算</w:t>
            </w:r>
          </w:p>
        </w:tc>
        <w:tc>
          <w:tcPr>
            <w:tcW w:type="dxa" w:w="6192"/>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从CSV重算指标与汇总，检查来源哈希和时间顺序</w:t>
            </w:r>
          </w:p>
        </w:tc>
      </w:tr>
    </w:tbl>
    <w:p>
      <w:pPr>
        <w:spacing w:after="0"/>
      </w:pPr>
    </w:p>
    <w:p>
      <w:pPr>
        <w:keepNext/>
        <w:keepLines/>
        <w:spacing w:before="60" w:after="140"/>
        <w:jc w:val="center"/>
      </w:pPr>
      <m:oMath>
        <m:sSub>
          <m:e>
            <m:r>
              <m:t>θ</m:t>
            </m:r>
          </m:e>
          <m:sub>
            <m:r>
              <m:t>t+1</m:t>
            </m:r>
          </m:sub>
        </m:sSub>
        <m:r>
          <m:t>=(1−</m:t>
        </m:r>
        <m:sSub>
          <m:e>
            <m:r>
              <m:t>η</m:t>
            </m:r>
          </m:e>
          <m:sub>
            <m:r>
              <m:t>t</m:t>
            </m:r>
          </m:sub>
        </m:sSub>
        <m:r>
          <m:t>ω)</m:t>
        </m:r>
        <m:sSub>
          <m:e>
            <m:r>
              <m:t>θ</m:t>
            </m:r>
          </m:e>
          <m:sub>
            <m:r>
              <m:t>t</m:t>
            </m:r>
          </m:sub>
        </m:sSub>
        <m:r>
          <m:t>−</m:t>
        </m:r>
        <m:sSub>
          <m:e>
            <m:r>
              <m:t>η</m:t>
            </m:r>
          </m:e>
          <m:sub>
            <m:r>
              <m:t>t</m:t>
            </m:r>
          </m:sub>
        </m:sSub>
        <m:f>
          <m:fPr>
            <m:type m:val="bar"/>
          </m:fPr>
          <m:num>
            <m:sSub>
              <m:e>
                <m:limUpp>
                  <m:e>
                    <m:r>
                      <m:t>m</m:t>
                    </m:r>
                  </m:e>
                  <m:lim>
                    <m:r>
                      <m:t>^</m:t>
                    </m:r>
                  </m:lim>
                </m:limUpp>
              </m:e>
              <m:sub>
                <m:r>
                  <m:t>t</m:t>
                </m:r>
              </m:sub>
            </m:sSub>
          </m:num>
          <m:den>
            <m:rad>
              <m:radPr>
                <m:degHide m:val="on"/>
              </m:radPr>
              <m:deg/>
              <m:e>
                <m:sSub>
                  <m:e>
                    <m:limUpp>
                      <m:e>
                        <m:r>
                          <m:t>v</m:t>
                        </m:r>
                      </m:e>
                      <m:lim>
                        <m:r>
                          <m:t>^</m:t>
                        </m:r>
                      </m:lim>
                    </m:limUpp>
                  </m:e>
                  <m:sub>
                    <m:r>
                      <m:t>t</m:t>
                    </m:r>
                  </m:sub>
                </m:sSub>
              </m:e>
            </m:rad>
            <m:r>
              <m:t>+ϵ</m:t>
            </m:r>
          </m:den>
        </m:f>
      </m:oMath>
    </w:p>
    <w:p>
      <w:r>
        <w:rPr>
          <w:rFonts w:ascii="Calibri" w:hAnsi="Calibri" w:eastAsia="宋体"/>
          <w:color w:val="000000"/>
        </w:rPr>
        <w:t>这是AdamW分组更新示意：m̂/v̂来自历史梯度与偏差修正，ω为该组衰减。实际训练先全局裁剪，LoRA因子衰减0，分类头权重按协议衰减。数据损失梯度为0，不总意味着参数不动：非零权重衰减或既有动量也可能改变参数。本文零A启动分析因此明确限定初值与因子零衰减。</w:t>
      </w:r>
    </w:p>
    <w:p>
      <w:r>
        <w:rPr>
          <w:rFonts w:ascii="Calibri" w:hAnsi="Calibri" w:eastAsia="宋体"/>
          <w:color w:val="000000"/>
        </w:rPr>
        <w:t>本实现首个optimizer调用使用LR0但仍累积Adam状态，完成step2才首次非零参数更新。表中LR是峰值，实际值乘共同warmup/decay倍率。监控只读取已有张量，不增加随机抽样；同样步数但不同总日程，仍是不同优化处理。原始日志比“用了AdamW”这句配置名更能说明实际做了什么。</w:t>
      </w:r>
    </w:p>
    <w:p>
      <w:r>
        <w:rPr>
          <w:rFonts w:ascii="Calibri" w:hAnsi="Calibri" w:eastAsia="宋体"/>
          <w:color w:val="000000"/>
        </w:rPr>
        <w:t>验收分层能保留有用失败：完成训练、产生有限预测、正确重载、通过合并阈值是不同事件。未通过最后一关不应抹掉前面的日志，更不能把未定义的三seed均值填0。独立CSV验证能确认计分一致，但不会自动重复模型前向或张量等价检查。</w:t>
      </w:r>
    </w:p>
    <w:p>
      <w:pPr>
        <w:pStyle w:val="Heading1"/>
        <w:pageBreakBefore/>
      </w:pPr>
      <w:r>
        <w:t>数据角色决定比较能够回答什么</w:t>
      </w:r>
    </w:p>
    <w:p>
      <w:r>
        <w:rPr>
          <w:rFonts w:ascii="Calibri" w:hAnsi="Calibri" w:eastAsia="宋体"/>
          <w:color w:val="000000"/>
        </w:rPr>
        <w:t>早期SST parquet训练库67349行包含短语展开，不能理解为同样多的独立完整句子。只读审计发现4270行仅一个空白分词、371个内部额外重复行及5组同文标签冲突。规范化train/dev全文交集为0，这能排除该定义下的完全重句，却不能排除短语家族、语义关联或预训练污染。</w:t>
      </w:r>
    </w:p>
    <w:p>
      <w:r>
        <w:rPr>
          <w:rFonts w:ascii="Calibri" w:hAnsi="Calibri" w:eastAsia="宋体"/>
          <w:color w:val="000000"/>
        </w:rPr>
        <w:t>第3阶段从剩余短语库排除精确行、规范化文本和token重合后，候选64924条，分层抽tuning512。这个集合未按根句家族切分，故不是已证实的语义独立验证集。官方dev此时也已被查看。针对这些限制，第5阶段改用原始树的根句与官方split，但这同时改变了训练样本分布，不能把跨阶段成绩差异只归因于调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344"/>
      </w:tblGrid>
      <w:tr>
        <w:trPr>
          <w:cantSplit/>
          <w:tblHeader/>
        </w:trPr>
        <w:tc>
          <w:tcPr>
            <w:tcW w:type="dxa" w:w="2376"/>
            <w:vAlign w:val="center"/>
            <w:tcMar>
              <w:top w:w="90" w:type="dxa"/>
              <w:bottom w:w="90" w:type="dxa"/>
              <w:left w:w="90" w:type="dxa"/>
              <w:right w:w="90" w:type="dxa"/>
            </w:tcMar>
            <w:shd w:fill="E8EDF2"/>
          </w:tcPr>
          <w:p>
            <w:pPr>
              <w:spacing w:after="20" w:before="20" w:line="264" w:lineRule="auto"/>
            </w:pPr>
            <w:r>
              <w:rPr>
                <w:rFonts w:ascii="Calibri" w:hAnsi="Calibri" w:eastAsia="宋体"/>
                <w:b/>
                <w:color w:val="000000"/>
                <w:sz w:val="20"/>
              </w:rPr>
              <w:t>根句数据构造</w:t>
            </w:r>
          </w:p>
        </w:tc>
        <w:tc>
          <w:tcPr>
            <w:tcW w:type="dxa" w:w="7344"/>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已冻结事实</w:t>
            </w:r>
          </w:p>
        </w:tc>
      </w:tr>
      <w:tr>
        <w:trPr>
          <w:cantSplit/>
        </w:trPr>
        <w:tc>
          <w:tcPr>
            <w:tcW w:type="dxa" w:w="2376"/>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二分类</w:t>
            </w:r>
          </w:p>
        </w:tc>
        <w:tc>
          <w:tcPr>
            <w:tcW w:type="dxa" w:w="7344"/>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根标签2排除，0/1负，3/4正</w:t>
            </w:r>
          </w:p>
        </w:tc>
      </w:tr>
      <w:tr>
        <w:trPr>
          <w:cantSplit/>
        </w:trPr>
        <w:tc>
          <w:tcPr>
            <w:tcW w:type="dxa" w:w="2376"/>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源规模</w:t>
            </w:r>
          </w:p>
        </w:tc>
        <w:tc>
          <w:tcPr>
            <w:tcW w:type="dxa" w:w="7344"/>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train6920，dev872，test1821</w:t>
            </w:r>
          </w:p>
        </w:tc>
      </w:tr>
      <w:tr>
        <w:trPr>
          <w:cantSplit/>
        </w:trPr>
        <w:tc>
          <w:tcPr>
            <w:tcW w:type="dxa" w:w="2376"/>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去重与抽样</w:t>
            </w:r>
          </w:p>
        </w:tc>
        <w:tc>
          <w:tcPr>
            <w:tcW w:type="dxa" w:w="7344"/>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剔除3个train/test重句行和8个内部重复；从6909抽train2048</w:t>
            </w:r>
          </w:p>
        </w:tc>
      </w:tr>
      <w:tr>
        <w:trPr>
          <w:cantSplit/>
        </w:trPr>
        <w:tc>
          <w:tcPr>
            <w:tcW w:type="dxa" w:w="2376"/>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固定训练分层</w:t>
            </w:r>
          </w:p>
        </w:tc>
        <w:tc>
          <w:tcPr>
            <w:tcW w:type="dxa" w:w="7344"/>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seed20261012；979负、1069正</w:t>
            </w:r>
          </w:p>
        </w:tc>
      </w:tr>
      <w:tr>
        <w:trPr>
          <w:cantSplit/>
        </w:trPr>
        <w:tc>
          <w:tcPr>
            <w:tcW w:type="dxa" w:w="2376"/>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最终精确交集</w:t>
            </w:r>
          </w:p>
        </w:tc>
        <w:tc>
          <w:tcPr>
            <w:tcW w:type="dxa" w:w="7344"/>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各split已存文本/token交集0；test仍保留1821条</w:t>
            </w:r>
          </w:p>
        </w:tc>
      </w:tr>
    </w:tbl>
    <w:p>
      <w:pPr>
        <w:spacing w:after="0"/>
      </w:pPr>
    </w:p>
    <w:p>
      <w:r>
        <w:rPr>
          <w:rFonts w:ascii="Calibri" w:hAnsi="Calibri" w:eastAsia="宋体"/>
          <w:color w:val="000000"/>
        </w:rPr>
        <w:t>收尾核查还发现PTB叶子重建保留字面斜杠转义“\/”。冻结train/dev/test分别有17/8/14条文本含这一处理；旧parquet dev与根句dev的872个已存token指纹仅864个相同，8个差异均涉及slash。这里核的是输入，不是反事实成绩；其准确率影响没有测量。原输入和历史报告保留，未修正重训。</w:t>
      </w:r>
    </w:p>
    <w:p>
      <w:r>
        <w:rPr>
          <w:rFonts w:ascii="Calibri" w:hAnsi="Calibri" w:eastAsia="宋体"/>
          <w:color w:val="000000"/>
        </w:rPr>
        <w:t>因此第5阶段采用官方split，不代表实现了严格标准SST-2预处理。第7—9阶段内部沿用同一套冻结token，适合在该固定条件内比较；第2—4与第5以后不能视为逐条相同输入。事前读取test文本/指纹排重也应透明记录：它不同于用test成绩选模型，但不能说从未接触过test数据。</w:t>
      </w:r>
    </w:p>
    <w:p>
      <w:pPr>
        <w:pStyle w:val="Heading1"/>
        <w:pageBreakBefore/>
      </w:pPr>
      <w:r>
        <w:t>公平优化对照与训练路径</w:t>
      </w:r>
    </w:p>
    <w:p>
      <w:r>
        <w:rPr>
          <w:rFonts w:ascii="Calibri" w:hAnsi="Calibri" w:eastAsia="宋体"/>
          <w:color w:val="000000"/>
        </w:rPr>
        <w:t>公平比较不只是给所有方法相同步数。应明确目标是同训练预算、同参数预算、同搜索预算，还是各方法充分调优后的最佳性能；这些目标无法由一个实验同时满足。本项目先做固定配置pilot，再加入对称候选数的学习率搜索，展示结论怎样随控制条件变化，而不是把早期排序隐藏起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096"/>
      </w:tblGrid>
      <w:tr>
        <w:trPr>
          <w:cantSplit/>
          <w:tblHeader/>
        </w:trPr>
        <w:tc>
          <w:tcPr>
            <w:tcW w:type="dxa" w:w="3312"/>
            <w:vAlign w:val="center"/>
            <w:tcMar>
              <w:top w:w="90" w:type="dxa"/>
              <w:bottom w:w="90" w:type="dxa"/>
              <w:left w:w="90" w:type="dxa"/>
              <w:right w:w="90" w:type="dxa"/>
            </w:tcMar>
            <w:shd w:fill="E8EDF2"/>
          </w:tcPr>
          <w:p>
            <w:pPr>
              <w:spacing w:after="20" w:before="20" w:line="264" w:lineRule="auto"/>
            </w:pPr>
            <w:r>
              <w:rPr>
                <w:rFonts w:ascii="Calibri" w:hAnsi="Calibri" w:eastAsia="宋体"/>
                <w:b/>
                <w:color w:val="000000"/>
                <w:sz w:val="20"/>
              </w:rPr>
              <w:t>第2阶段固定192步</w:t>
            </w:r>
          </w:p>
        </w:tc>
        <w:tc>
          <w:tcPr>
            <w:tcW w:type="dxa" w:w="3312"/>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因子或encoder峰值LR</w:t>
            </w:r>
          </w:p>
        </w:tc>
        <w:tc>
          <w:tcPr>
            <w:tcW w:type="dxa" w:w="3096"/>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已见dev Acc均值%</w:t>
            </w:r>
          </w:p>
        </w:tc>
      </w:tr>
      <w:tr>
        <w:trPr>
          <w:cantSplit/>
        </w:trPr>
        <w:tc>
          <w:tcPr>
            <w:tcW w:type="dxa" w:w="3312"/>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head-only</w:t>
            </w:r>
          </w:p>
        </w:tc>
        <w:tc>
          <w:tcPr>
            <w:tcW w:type="dxa" w:w="3312"/>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.001头</w:t>
            </w:r>
          </w:p>
        </w:tc>
        <w:tc>
          <w:tcPr>
            <w:tcW w:type="dxa" w:w="3096"/>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59.5948</w:t>
            </w:r>
          </w:p>
        </w:tc>
      </w:tr>
      <w:tr>
        <w:trPr>
          <w:cantSplit/>
        </w:trPr>
        <w:tc>
          <w:tcPr>
            <w:tcW w:type="dxa" w:w="3312"/>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LoRA q/v r8</w:t>
            </w:r>
          </w:p>
        </w:tc>
        <w:tc>
          <w:tcPr>
            <w:tcW w:type="dxa" w:w="3312"/>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.001</w:t>
            </w:r>
          </w:p>
        </w:tc>
        <w:tc>
          <w:tcPr>
            <w:tcW w:type="dxa" w:w="3096"/>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70.9862</w:t>
            </w:r>
          </w:p>
        </w:tc>
      </w:tr>
      <w:tr>
        <w:trPr>
          <w:cantSplit/>
        </w:trPr>
        <w:tc>
          <w:tcPr>
            <w:tcW w:type="dxa" w:w="3312"/>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Full</w:t>
            </w:r>
          </w:p>
        </w:tc>
        <w:tc>
          <w:tcPr>
            <w:tcW w:type="dxa" w:w="3312"/>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.00002</w:t>
            </w:r>
          </w:p>
        </w:tc>
        <w:tc>
          <w:tcPr>
            <w:tcW w:type="dxa" w:w="3096"/>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65.1376</w:t>
            </w:r>
          </w:p>
        </w:tc>
      </w:tr>
    </w:tbl>
    <w:p>
      <w:pPr>
        <w:spacing w:after="0"/>
      </w:pPr>
    </w:p>
    <w:p>
      <w:r>
        <w:rPr>
          <w:rFonts w:ascii="Calibri" w:hAnsi="Calibri" w:eastAsia="宋体"/>
          <w:color w:val="000000"/>
        </w:rPr>
        <w:t>以上每方法3seed，头峰值.001，但LoRA与Full没有专用调参轮。因此它支持“这几套配置下LoRA更高”，不支持低秩结构本身胜过公平优化的Full。第3阶段用LoRA/Full各3档LR×3seed共18次搜索，分别选.003与.0005，再执行6次长训练。相同候选数改善了搜索预算可比性，但不保证覆盖两种方法的全局最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92"/>
        <w:gridCol w:w="2664"/>
        <w:gridCol w:w="2664"/>
      </w:tblGrid>
      <w:tr>
        <w:trPr>
          <w:cantSplit/>
          <w:tblHeader/>
        </w:trPr>
        <w:tc>
          <w:tcPr>
            <w:tcW w:type="dxa" w:w="4392"/>
            <w:vAlign w:val="center"/>
            <w:tcMar>
              <w:top w:w="90" w:type="dxa"/>
              <w:bottom w:w="90" w:type="dxa"/>
              <w:left w:w="90" w:type="dxa"/>
              <w:right w:w="90" w:type="dxa"/>
            </w:tcMar>
            <w:shd w:fill="E8EDF2"/>
          </w:tcPr>
          <w:p>
            <w:pPr>
              <w:spacing w:after="20" w:before="20" w:line="264" w:lineRule="auto"/>
            </w:pPr>
            <w:r>
              <w:rPr>
                <w:rFonts w:ascii="Calibri" w:hAnsi="Calibri" w:eastAsia="宋体"/>
                <w:b/>
                <w:color w:val="000000"/>
                <w:sz w:val="20"/>
              </w:rPr>
              <w:t>第3阶段终点</w:t>
            </w:r>
          </w:p>
        </w:tc>
        <w:tc>
          <w:tcPr>
            <w:tcW w:type="dxa" w:w="2664"/>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LoRA Acc%</w:t>
            </w:r>
          </w:p>
        </w:tc>
        <w:tc>
          <w:tcPr>
            <w:tcW w:type="dxa" w:w="2664"/>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Full Acc%</w:t>
            </w:r>
          </w:p>
        </w:tc>
      </w:tr>
      <w:tr>
        <w:trPr>
          <w:cantSplit/>
        </w:trPr>
        <w:tc>
          <w:tcPr>
            <w:tcW w:type="dxa" w:w="4392"/>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S192 独立192步日程</w:t>
            </w:r>
          </w:p>
        </w:tc>
        <w:tc>
          <w:tcPr>
            <w:tcW w:type="dxa" w:w="2664"/>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72.3242</w:t>
            </w:r>
          </w:p>
        </w:tc>
        <w:tc>
          <w:tcPr>
            <w:tcW w:type="dxa" w:w="2664"/>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76.1468</w:t>
            </w:r>
          </w:p>
        </w:tc>
      </w:tr>
      <w:tr>
        <w:trPr>
          <w:cantSplit/>
        </w:trPr>
        <w:tc>
          <w:tcPr>
            <w:tcW w:type="dxa" w:w="4392"/>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L192 576步日程中间点</w:t>
            </w:r>
          </w:p>
        </w:tc>
        <w:tc>
          <w:tcPr>
            <w:tcW w:type="dxa" w:w="2664"/>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73.0887</w:t>
            </w:r>
          </w:p>
        </w:tc>
        <w:tc>
          <w:tcPr>
            <w:tcW w:type="dxa" w:w="2664"/>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75.9557</w:t>
            </w:r>
          </w:p>
        </w:tc>
      </w:tr>
      <w:tr>
        <w:trPr>
          <w:cantSplit/>
        </w:trPr>
        <w:tc>
          <w:tcPr>
            <w:tcW w:type="dxa" w:w="4392"/>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L576 同一长轨迹终点</w:t>
            </w:r>
          </w:p>
        </w:tc>
        <w:tc>
          <w:tcPr>
            <w:tcW w:type="dxa" w:w="2664"/>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74.2355</w:t>
            </w:r>
          </w:p>
        </w:tc>
        <w:tc>
          <w:tcPr>
            <w:tcW w:type="dxa" w:w="2664"/>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74.1208</w:t>
            </w:r>
          </w:p>
        </w:tc>
      </w:tr>
    </w:tbl>
    <w:p>
      <w:pPr>
        <w:spacing w:after="0"/>
      </w:pPr>
    </w:p>
    <w:p>
      <w:r>
        <w:rPr>
          <w:rFonts w:ascii="Calibri" w:hAnsi="Calibri" w:eastAsia="宋体"/>
          <w:color w:val="000000"/>
        </w:rPr>
        <w:t>S192与L192已经接受同样数量的批次，但warmup/衰减路径不同，不是只改变“训练时长”的比较；L192到L576才是在同一条长轨迹上继续训练。预算末端的接近不能证明两种参数化等价。Full训练CE改善而验证CE变差，是该轨迹上的现象，不应扩展成Full必然过拟合。</w:t>
      </w:r>
    </w:p>
    <w:p>
      <w:r>
        <w:rPr>
          <w:rFonts w:ascii="Calibri" w:hAnsi="Calibri" w:eastAsia="宋体"/>
          <w:color w:val="000000"/>
        </w:rPr>
        <w:t>比较协议还应冻结选择指标与完整性规则，先按同seed计算差，再汇总均值与样本SD。共享checkpoint、同轨迹快照和重训桥接都不增加独立数据样本。把这些身份写清楚，读者才能判断结果来自结构变化、优化配置，还是重复展示同一模型。</w:t>
      </w:r>
    </w:p>
    <w:p>
      <w:pPr>
        <w:pStyle w:val="Heading1"/>
        <w:pageBreakBefore/>
      </w:pPr>
      <w:r>
        <w:t>rank与目标位置的经验检验</w:t>
      </w:r>
    </w:p>
    <w:p>
      <w:r>
        <w:rPr>
          <w:rFonts w:ascii="Calibri" w:hAnsi="Calibri" w:eastAsia="宋体"/>
          <w:color w:val="000000"/>
        </w:rPr>
        <w:t>第4阶段把“容许多少方向”和“在哪个投影学习”分开。固定实际s2与因子峰值.003，q/v扫描r2/4/8/16；再用q-only r8、v-only r8与q/v r4作相同因子数比较。这样位置对照不以额外参数预算为主要解释，但计算路径仍不同，不能称所有资源成本完全相等。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880"/>
        <w:gridCol w:w="4536"/>
      </w:tblGrid>
      <w:tr>
        <w:trPr>
          <w:cantSplit/>
          <w:tblHeader/>
        </w:trPr>
        <w:tc>
          <w:tcPr>
            <w:tcW w:type="dxa" w:w="2304"/>
            <w:vAlign w:val="center"/>
            <w:tcMar>
              <w:top w:w="90" w:type="dxa"/>
              <w:bottom w:w="90" w:type="dxa"/>
              <w:left w:w="90" w:type="dxa"/>
              <w:right w:w="90" w:type="dxa"/>
            </w:tcMar>
            <w:shd w:fill="E8EDF2"/>
          </w:tcPr>
          <w:p>
            <w:pPr>
              <w:spacing w:after="20" w:before="20" w:line="264" w:lineRule="auto"/>
            </w:pPr>
            <w:r>
              <w:rPr>
                <w:rFonts w:ascii="Calibri" w:hAnsi="Calibri" w:eastAsia="宋体"/>
                <w:b/>
                <w:color w:val="000000"/>
                <w:sz w:val="20"/>
              </w:rPr>
              <w:t>配置</w:t>
            </w:r>
          </w:p>
        </w:tc>
        <w:tc>
          <w:tcPr>
            <w:tcW w:type="dxa" w:w="2880"/>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已见dev Acc%</w:t>
            </w:r>
          </w:p>
        </w:tc>
        <w:tc>
          <w:tcPr>
            <w:tcW w:type="dxa" w:w="4536"/>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可比对象</w:t>
            </w:r>
          </w:p>
        </w:tc>
      </w:tr>
      <w:tr>
        <w:trPr>
          <w:cantSplit/>
        </w:trPr>
        <w:tc>
          <w:tcPr>
            <w:tcW w:type="dxa" w:w="2304"/>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q/v r2 / r4</w:t>
            </w:r>
          </w:p>
        </w:tc>
        <w:tc>
          <w:tcPr>
            <w:tcW w:type="dxa" w:w="2880"/>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72.8593 / 72.3624</w:t>
            </w:r>
          </w:p>
        </w:tc>
        <w:tc>
          <w:tcPr>
            <w:tcW w:type="dxa" w:w="4536"/>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固定位置，不同容量</w:t>
            </w:r>
          </w:p>
        </w:tc>
      </w:tr>
      <w:tr>
        <w:trPr>
          <w:cantSplit/>
        </w:trPr>
        <w:tc>
          <w:tcPr>
            <w:tcW w:type="dxa" w:w="2304"/>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q/v r8 / r16</w:t>
            </w:r>
          </w:p>
        </w:tc>
        <w:tc>
          <w:tcPr>
            <w:tcW w:type="dxa" w:w="2880"/>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72.3242 / 72.4771</w:t>
            </w:r>
          </w:p>
        </w:tc>
        <w:tc>
          <w:tcPr>
            <w:tcW w:type="dxa" w:w="4536"/>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固定位置，不同容量</w:t>
            </w:r>
          </w:p>
        </w:tc>
      </w:tr>
      <w:tr>
        <w:trPr>
          <w:cantSplit/>
        </w:trPr>
        <w:tc>
          <w:tcPr>
            <w:tcW w:type="dxa" w:w="2304"/>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q-only r8</w:t>
            </w:r>
          </w:p>
        </w:tc>
        <w:tc>
          <w:tcPr>
            <w:tcW w:type="dxa" w:w="2880"/>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67.5841</w:t>
            </w:r>
          </w:p>
        </w:tc>
        <w:tc>
          <w:tcPr>
            <w:tcW w:type="dxa" w:w="4536"/>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与q/v r4同为4354可训练参数</w:t>
            </w:r>
          </w:p>
        </w:tc>
      </w:tr>
      <w:tr>
        <w:trPr>
          <w:cantSplit/>
        </w:trPr>
        <w:tc>
          <w:tcPr>
            <w:tcW w:type="dxa" w:w="2304"/>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v-only r8</w:t>
            </w:r>
          </w:p>
        </w:tc>
        <w:tc>
          <w:tcPr>
            <w:tcW w:type="dxa" w:w="2880"/>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70.3746</w:t>
            </w:r>
          </w:p>
        </w:tc>
        <w:tc>
          <w:tcPr>
            <w:tcW w:type="dxa" w:w="4536"/>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含258头，因子均4096</w:t>
            </w:r>
          </w:p>
        </w:tc>
      </w:tr>
    </w:tbl>
    <w:p>
      <w:pPr>
        <w:spacing w:after="0"/>
      </w:pPr>
    </w:p>
    <w:p>
      <w:r>
        <w:rPr>
          <w:rFonts w:ascii="Calibri" w:hAnsi="Calibri" w:eastAsia="宋体"/>
          <w:color w:val="000000"/>
        </w:rPr>
        <w:t>18次训练的结果不随rank单调改善，也没有给出通用最优位置。只比较r8和r16的最终准确率无法分辨容量、短预算优化与随机波动；因此同时检查有效增量谱，并保留各seed而非只选最好的一次。对原论文投影覆盖实验的合理承接，是同预算比较覆盖位置，不是先把q/v当成所有任务的唯一最佳答案。</w:t>
      </w:r>
    </w:p>
    <w:p>
      <w:pPr>
        <w:keepNext/>
        <w:keepLines/>
        <w:spacing w:before="60" w:after="140"/>
        <w:jc w:val="center"/>
      </w:pPr>
      <m:oMath>
        <m:sSub>
          <m:e>
            <m:r>
              <m:t>E</m:t>
            </m:r>
          </m:e>
          <m:sub>
            <m:r>
              <m:t>k</m:t>
            </m:r>
          </m:sub>
        </m:sSub>
        <m:r>
          <m:t>=</m:t>
        </m:r>
        <m:f>
          <m:fPr>
            <m:type m:val="bar"/>
          </m:fPr>
          <m:num>
            <m:nary>
              <m:naryPr>
                <m:chr m:val="∑"/>
                <m:limLoc m:val="subSup"/>
                <m:grow m:val="1"/>
                <m:subHide m:val="off"/>
                <m:supHide m:val="off"/>
              </m:naryPr>
              <m:sub>
                <m:r>
                  <m:t>i=1</m:t>
                </m:r>
              </m:sub>
              <m:sup>
                <m:r>
                  <m:t>k</m:t>
                </m:r>
              </m:sup>
              <m:e>
                <m:sSubSup>
                  <m:e>
                    <m:r>
                      <m:t>σ</m:t>
                    </m:r>
                  </m:e>
                  <m:sub>
                    <m:r>
                      <m:t>i</m:t>
                    </m:r>
                  </m:sub>
                  <m:sup>
                    <m:r>
                      <m:t>2</m:t>
                    </m:r>
                  </m:sup>
                </m:sSubSup>
              </m:e>
            </m:nary>
          </m:num>
          <m:den>
            <m:nary>
              <m:naryPr>
                <m:chr m:val="∑"/>
                <m:limLoc m:val="subSup"/>
                <m:grow m:val="1"/>
                <m:subHide m:val="off"/>
                <m:supHide m:val="on"/>
              </m:naryPr>
              <m:sub>
                <m:r>
                  <m:t>i</m:t>
                </m:r>
              </m:sub>
              <m:sup/>
              <m:e>
                <m:sSubSup>
                  <m:e>
                    <m:r>
                      <m:t>σ</m:t>
                    </m:r>
                  </m:e>
                  <m:sub>
                    <m:r>
                      <m:t>i</m:t>
                    </m:r>
                  </m:sub>
                  <m:sup>
                    <m:r>
                      <m:t>2</m:t>
                    </m:r>
                  </m:sup>
                </m:sSubSup>
              </m:e>
            </m:nary>
          </m:den>
        </m:f>
        <m:r>
          <m:t xml:space="preserve">,   </m:t>
        </m:r>
        <m:r>
          <m:rPr>
            <m:sty m:val="p"/>
          </m:rPr>
          <m:t>srank</m:t>
        </m:r>
        <m:r>
          <m:t>(D)=</m:t>
        </m:r>
        <m:f>
          <m:fPr>
            <m:type m:val="bar"/>
          </m:fPr>
          <m:num>
            <m:sSubSup>
              <m:e>
                <m:d>
                  <m:dPr>
                    <m:begChr m:val="‖"/>
                    <m:sepChr m:val=""/>
                    <m:endChr m:val="‖"/>
                  </m:dPr>
                  <m:e>
                    <m:r>
                      <m:t>D</m:t>
                    </m:r>
                  </m:e>
                </m:d>
              </m:e>
              <m:sub>
                <m:r>
                  <m:t>F</m:t>
                </m:r>
              </m:sub>
              <m:sup>
                <m:r>
                  <m:t>2</m:t>
                </m:r>
              </m:sup>
            </m:sSubSup>
          </m:num>
          <m:den>
            <m:sSubSup>
              <m:e>
                <m:d>
                  <m:dPr>
                    <m:begChr m:val="‖"/>
                    <m:sepChr m:val=""/>
                    <m:endChr m:val="‖"/>
                  </m:dPr>
                  <m:e>
                    <m:r>
                      <m:t>D</m:t>
                    </m:r>
                  </m:e>
                </m:d>
              </m:e>
              <m:sub>
                <m:r>
                  <m:t>2</m:t>
                </m:r>
              </m:sub>
              <m:sup>
                <m:r>
                  <m:t>2</m:t>
                </m:r>
              </m:sup>
            </m:sSubSup>
          </m:den>
        </m:f>
      </m:oMath>
    </w:p>
    <w:p>
      <w:r>
        <w:rPr>
          <w:rFonts w:ascii="Calibri" w:hAnsi="Calibri" w:eastAsia="宋体"/>
          <w:color w:val="000000"/>
        </w:rPr>
        <w:t>本地分析60个LoRA增量和12个Full更新矩阵，共72个矩阵、9216个奇异值。Full更新在前8/16个奇异值之后仍分别有23.7294%/13.4694%的平均平方能量；平均stable rank约2.63，而达到95%能量所需rank为23—51。stable rank由最大奇异值归一化，能量覆盖rank累计多个方向，两者衡量不同对象，并不矛盾。</w:t>
      </w:r>
    </w:p>
    <w:p>
      <w:r>
        <w:rPr>
          <w:rFonts w:ascii="Calibri" w:hAnsi="Calibri" w:eastAsia="宋体"/>
          <w:color w:val="000000"/>
        </w:rPr>
        <w:t>只读张量重建最大矩阵差0，奇异值最大差3.413×10⁻¹⁵，支持保存矩阵与谱计算一致。它没有回答截断后任务损失会变化多少，更没有证明Full的最优更新一定低秩。下一步若研究任务相关低秩性，应在固定Full更新上做截断干预并评价输出，而不能把因子结构预先强制的rank≤r当成独立发现。</w:t>
      </w:r>
    </w:p>
    <w:p>
      <w:pPr>
        <w:pStyle w:val="Heading1"/>
        <w:pageBreakBefore/>
      </w:pPr>
      <w:r>
        <w:t>原论文结果与本地真实任务结果</w:t>
      </w:r>
    </w:p>
    <w:p>
      <w:r>
        <w:rPr>
          <w:rFonts w:ascii="Calibri" w:hAnsi="Calibri" w:eastAsia="宋体"/>
          <w:color w:val="000000"/>
        </w:rPr>
        <w:t>原LoRA v2报告在RoBERTa、DeBERTa、GPT-2与GPT-3上的任务结果；其摘要以GPT-3 175B和Adam全量微调为例，报告可训练参数约减少10000倍、GPU内存需求约减少3倍。第4.1节给出方法，第6节报告任务实验，第7节分析秩与投影。这些数字属于作者的大模型设置，本地没有重跑，不能拿8450参数或CPU延迟来“验证”相同倍数。</w:t>
      </w:r>
    </w:p>
    <w:p>
      <w:r>
        <w:rPr>
          <w:rFonts w:ascii="Calibri" w:hAnsi="Calibri" w:eastAsia="宋体"/>
          <w:color w:val="000000"/>
        </w:rPr>
        <w:t>本地更接近完整评价流程的是第5阶段：LoRA/Full各3档LR×3seed，共18次搜索；只用根句dev872选择跨seed共享LR，随后锁定选择，再评价此前未进行过模型评分的test1821。所选6个模型来自搜索，不新增训练。LoRA选.003，Full选.0005。</w:t>
      </w:r>
    </w:p>
    <w:p>
      <w:pPr>
        <w:keepNext/>
        <w:jc w:val="center"/>
      </w:pPr>
      <w:r>
        <w:drawing>
          <wp:inline xmlns:a="http://schemas.openxmlformats.org/drawingml/2006/main" xmlns:pic="http://schemas.openxmlformats.org/drawingml/2006/picture">
            <wp:extent cx="6172200" cy="2362034"/>
            <wp:docPr id="1" name="Picture 1" descr="第5阶段既有结果重绘：均值±三seed样本SD。横轴Train/Dev/Test是不同split，不是时间轨迹；dev选配置后锁定，再评价test1821。CE差异不证明校准改善；没有新增评价。"/>
            <wp:cNvGraphicFramePr>
              <a:graphicFrameLocks noChangeAspect="1"/>
            </wp:cNvGraphicFramePr>
            <a:graphic>
              <a:graphicData uri="http://schemas.openxmlformats.org/drawingml/2006/picture">
                <pic:pic>
                  <pic:nvPicPr>
                    <pic:cNvPr id="0" name="lora_results.png"/>
                    <pic:cNvPicPr/>
                  </pic:nvPicPr>
                  <pic:blipFill>
                    <a:blip r:embed="rId16"/>
                    <a:stretch>
                      <a:fillRect/>
                    </a:stretch>
                  </pic:blipFill>
                  <pic:spPr>
                    <a:xfrm>
                      <a:off x="0" y="0"/>
                      <a:ext cx="6172200" cy="2362034"/>
                    </a:xfrm>
                    <a:prstGeom prst="rect"/>
                  </pic:spPr>
                </pic:pic>
              </a:graphicData>
            </a:graphic>
          </wp:inline>
        </w:drawing>
      </w:r>
    </w:p>
    <w:p>
      <w:pPr>
        <w:spacing w:after="160"/>
      </w:pPr>
      <w:r>
        <w:rPr>
          <w:rFonts w:ascii="Calibri" w:hAnsi="Calibri" w:eastAsia="宋体"/>
          <w:color w:val="000000"/>
          <w:sz w:val="18"/>
        </w:rPr>
        <w:t>第5阶段既有结果重绘：均值±三seed样本SD。横轴Train/Dev/Test是不同split，不是时间轨迹；dev选配置后锁定，再评价test1821。CE差异不证明校准改善；没有新增评价。</w:t>
      </w:r>
    </w:p>
    <w:p>
      <w:r>
        <w:rPr>
          <w:rFonts w:ascii="Calibri" w:hAnsi="Calibri" w:eastAsia="宋体"/>
          <w:color w:val="000000"/>
        </w:rPr>
        <w:t>test Acc：LoRA 74.1534±0.3171%，Full 77.0456±0.7011%，Full高2.8922个百分点。test CE均值：LoRA 0.529809，Full 0.579230，排序相反。Acc只看最大概率类别，CE还惩罚正确标签概率偏低，因此它们可以分离；较低CE本身不是校准更好的充分证据。</w:t>
      </w:r>
    </w:p>
    <w:p>
      <w:r>
        <w:rPr>
          <w:rFonts w:ascii="Calibri" w:hAnsi="Calibri" w:eastAsia="宋体"/>
          <w:color w:val="000000"/>
        </w:rPr>
        <w:t>选择锁定和test gate有先后日志；事前test文本排重也已记录。该test从第5阶段起成为项目历史已见数据，后续扩展没有再打开它。三seedSD只描述相同test上的训练随机性，不是三份独立测试集的总体不确定性。本项目可以报告一次具体留出比较，不能由此归纳所有规模和任务上的方法胜负。</w:t>
      </w:r>
    </w:p>
    <w:p>
      <w:hyperlink r:id="rId11">
        <w:r>
          <w:rPr>
            <w:color w:val="234B70"/>
          </w:rPr>
          <w:t>LoRA 原论文固定v2</w:t>
        </w:r>
      </w:hyperlink>
    </w:p>
    <w:p>
      <w:pPr>
        <w:pStyle w:val="Heading1"/>
        <w:pageBreakBefore/>
      </w:pPr>
      <w:r>
        <w:t>合并导出与实际部署证据</w:t>
      </w:r>
    </w:p>
    <w:p>
      <w:pPr>
        <w:keepNext/>
        <w:keepLines/>
        <w:spacing w:before="60" w:after="140"/>
        <w:jc w:val="center"/>
      </w:pPr>
      <m:oMath>
        <m:sSub>
          <m:e>
            <m:r>
              <m:t>W</m:t>
            </m:r>
          </m:e>
          <m:sub>
            <m:r>
              <m:t>merged</m:t>
            </m:r>
          </m:sub>
        </m:sSub>
        <m:r>
          <m:t>=</m:t>
        </m:r>
        <m:sSub>
          <m:e>
            <m:r>
              <m:t>W</m:t>
            </m:r>
          </m:e>
          <m:sub>
            <m:r>
              <m:t>0</m:t>
            </m:r>
          </m:sub>
        </m:sSub>
        <m:r>
          <m:t xml:space="preserve">+sBA,   </m:t>
        </m:r>
        <m:sSub>
          <m:e>
            <m:r>
              <m:t>W</m:t>
            </m:r>
          </m:e>
          <m:sub>
            <m:r>
              <m:t>0</m:t>
            </m:r>
          </m:sub>
        </m:sSub>
        <m:r>
          <m:t>x+sB(Ax)=</m:t>
        </m:r>
        <m:sSub>
          <m:e>
            <m:r>
              <m:t>W</m:t>
            </m:r>
          </m:e>
          <m:sub>
            <m:r>
              <m:t>merged</m:t>
            </m:r>
          </m:sub>
        </m:sSub>
        <m:r>
          <m:t>x</m:t>
        </m:r>
      </m:oMath>
    </w:p>
    <w:p>
      <w:r>
        <w:rPr>
          <w:rFonts w:ascii="Calibri" w:hAnsi="Calibri" w:eastAsia="宋体"/>
          <w:color w:val="000000"/>
        </w:rPr>
        <w:t>固定适配器、固定s、相同加法位置且分支线性时，实数代数允许合并。推理须禁用随机dropout；形状、转置与目标层要一致，并确保只加一次D。“无额外推理分支”指合并后的同形状稠密计算，不意味着加载、切换适配器或量化再打包也免费。FP32改变乘加顺序会产生舍入，代数等价并不要求logits逐位一致。</w:t>
      </w:r>
    </w:p>
    <w:p>
      <w:r>
        <w:rPr>
          <w:rFonts w:ascii="Calibri" w:hAnsi="Calibri" w:eastAsia="宋体"/>
          <w:color w:val="000000"/>
        </w:rPr>
        <w:t>第6阶段预先固定第3阶段S192的LoRA seed11，未按新成绩挑模型。adapter含头8450参数、文件45189字节；merged为4386178参数、17561683字节。adapter依赖匹配基础权重，merged不再需要原base权重，但仍需配置与词表。这个依赖区别通过运行时禁用原base读取核验，而不是只看文件大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2088"/>
        <w:gridCol w:w="2088"/>
        <w:gridCol w:w="2088"/>
      </w:tblGrid>
      <w:tr>
        <w:trPr>
          <w:cantSplit/>
          <w:tblHeader/>
        </w:trPr>
        <w:tc>
          <w:tcPr>
            <w:tcW w:type="dxa" w:w="3456"/>
            <w:vAlign w:val="center"/>
            <w:tcMar>
              <w:top w:w="90" w:type="dxa"/>
              <w:bottom w:w="90" w:type="dxa"/>
              <w:left w:w="90" w:type="dxa"/>
              <w:right w:w="90" w:type="dxa"/>
            </w:tcMar>
            <w:shd w:fill="E8EDF2"/>
          </w:tcPr>
          <w:p>
            <w:pPr>
              <w:spacing w:after="20" w:before="20" w:line="264" w:lineRule="auto"/>
            </w:pPr>
            <w:r>
              <w:rPr>
                <w:rFonts w:ascii="Calibri" w:hAnsi="Calibri" w:eastAsia="宋体"/>
                <w:b/>
                <w:color w:val="000000"/>
                <w:sz w:val="20"/>
              </w:rPr>
              <w:t>CPU中位前向延迟 ms</w:t>
            </w:r>
          </w:p>
        </w:tc>
        <w:tc>
          <w:tcPr>
            <w:tcW w:type="dxa" w:w="2088"/>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base</w:t>
            </w:r>
          </w:p>
        </w:tc>
        <w:tc>
          <w:tcPr>
            <w:tcW w:type="dxa" w:w="2088"/>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adapter</w:t>
            </w:r>
          </w:p>
        </w:tc>
        <w:tc>
          <w:tcPr>
            <w:tcW w:type="dxa" w:w="2088"/>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merged</w:t>
            </w:r>
          </w:p>
        </w:tc>
      </w:tr>
      <w:tr>
        <w:trPr>
          <w:cantSplit/>
        </w:trPr>
        <w:tc>
          <w:tcPr>
            <w:tcW w:type="dxa" w:w="3456"/>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batch1</w:t>
            </w:r>
          </w:p>
        </w:tc>
        <w:tc>
          <w:tcPr>
            <w:tcW w:type="dxa" w:w="2088"/>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1.4506</w:t>
            </w:r>
          </w:p>
        </w:tc>
        <w:tc>
          <w:tcPr>
            <w:tcW w:type="dxa" w:w="2088"/>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1.53805</w:t>
            </w:r>
          </w:p>
        </w:tc>
        <w:tc>
          <w:tcPr>
            <w:tcW w:type="dxa" w:w="2088"/>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1.3914</w:t>
            </w:r>
          </w:p>
        </w:tc>
      </w:tr>
      <w:tr>
        <w:trPr>
          <w:cantSplit/>
        </w:trPr>
        <w:tc>
          <w:tcPr>
            <w:tcW w:type="dxa" w:w="3456"/>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batch32</w:t>
            </w:r>
          </w:p>
        </w:tc>
        <w:tc>
          <w:tcPr>
            <w:tcW w:type="dxa" w:w="2088"/>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14.4694</w:t>
            </w:r>
          </w:p>
        </w:tc>
        <w:tc>
          <w:tcPr>
            <w:tcW w:type="dxa" w:w="2088"/>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15.76655</w:t>
            </w:r>
          </w:p>
        </w:tc>
        <w:tc>
          <w:tcPr>
            <w:tcW w:type="dxa" w:w="2088"/>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14.5559</w:t>
            </w:r>
          </w:p>
        </w:tc>
      </w:tr>
    </w:tbl>
    <w:p>
      <w:pPr>
        <w:spacing w:after="0"/>
      </w:pPr>
    </w:p>
    <w:p>
      <w:r>
        <w:rPr>
          <w:rFonts w:ascii="Calibri" w:hAnsi="Calibri" w:eastAsia="宋体"/>
          <w:color w:val="000000"/>
        </w:rPr>
        <w:t>保存重载最大logit差0；adapter与merged在872条旧dev上的最大差1.1920929×10⁻⁶，argmax相同。第二次合并处理0层且输出不变，防止重复加增量。独立加载检查禁止原base权重读取后，merged输出仍逐位一致。这里文件SHA、参数张量、logits和类别一致是不同的核验对象。</w:t>
      </w:r>
    </w:p>
    <w:p>
      <w:r>
        <w:rPr>
          <w:rFonts w:ascii="Calibri" w:hAnsi="Calibri" w:eastAsia="宋体"/>
          <w:color w:val="000000"/>
        </w:rPr>
        <w:t>计时采用CPU4线程、FP32、序长64，每种形式/批量20次warmup及6块×30次测量，共1080条记录并轮换顺序；不含tokenization、加载或IO。base与merged本身权重不同，这张表比较执行成本而非质量。有限计时支持分支开销的局部观察，不能证明merged总快于base，更不能外推GPU吞吐、生产并发、显存峰值或服务SLA。</w:t>
      </w:r>
    </w:p>
    <w:p>
      <w:r>
        <w:rPr>
          <w:rFonts w:ascii="Calibri" w:hAnsi="Calibri" w:eastAsia="宋体"/>
          <w:color w:val="000000"/>
        </w:rPr>
        <w:t>部署检查的实践价值是使“可保存、可恢复、可合并”成为可独立审核的事实，并把数值容差纳入协议。若未来换量化底座，还要另验再量化误差；实数恒等式不能绕过新表示格式带来的舍入。</w:t>
      </w:r>
    </w:p>
    <w:p>
      <w:pPr>
        <w:pStyle w:val="Heading1"/>
        <w:pageBreakBefore/>
      </w:pPr>
      <w:r>
        <w:t>rank缩放扩展与首步机制</w:t>
      </w:r>
    </w:p>
    <w:p>
      <w:pPr>
        <w:keepNext/>
        <w:keepLines/>
        <w:spacing w:before="60" w:after="140"/>
        <w:jc w:val="center"/>
      </w:pPr>
      <m:oMath>
        <m:sSub>
          <m:e>
            <m:r>
              <m:t>s</m:t>
            </m:r>
          </m:e>
          <m:sub>
            <m:r>
              <m:t>classic</m:t>
            </m:r>
          </m:sub>
        </m:sSub>
        <m:r>
          <m:t xml:space="preserve">=16/r,   </m:t>
        </m:r>
        <m:sSub>
          <m:e>
            <m:r>
              <m:t>s</m:t>
            </m:r>
          </m:e>
          <m:sub>
            <m:r>
              <m:t>rs</m:t>
            </m:r>
          </m:sub>
        </m:sSub>
        <m:r>
          <m:t>=2</m:t>
        </m:r>
        <m:rad>
          <m:radPr>
            <m:degHide m:val="on"/>
          </m:radPr>
          <m:deg/>
          <m:e>
            <m:f>
              <m:fPr>
                <m:type m:val="lin"/>
              </m:fPr>
              <m:num>
                <m:r>
                  <m:t>8</m:t>
                </m:r>
              </m:num>
              <m:den>
                <m:r>
                  <m:t>r</m:t>
                </m:r>
              </m:den>
            </m:f>
          </m:e>
        </m:rad>
        <m:r>
          <m:t xml:space="preserve">,   </m:t>
        </m:r>
        <m:sSub>
          <m:e>
            <m:r>
              <m:t>s</m:t>
            </m:r>
          </m:e>
          <m:sub>
            <m:r>
              <m:t>fixed</m:t>
            </m:r>
          </m:sub>
        </m:sSub>
        <m:r>
          <m:t>=2</m:t>
        </m:r>
      </m:oMath>
    </w:p>
    <w:p>
      <w:r>
        <w:rPr>
          <w:rFonts w:ascii="Calibri" w:hAnsi="Calibri" w:eastAsia="宋体"/>
          <w:color w:val="000000"/>
        </w:rPr>
        <w:t>第7阶段在同一根句token、H128、q/v、192步、因子峰值.003和头.001下比较r2/8/32。三条规则在r8都给s2，因此只实际训练同一组3个模型；7个唯一配置共21次训练。若使用loralib的α/r接口模拟其他规则，应记录等效α=r s，保存和加载都遵守实际s。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664"/>
        <w:gridCol w:w="2664"/>
        <w:gridCol w:w="2808"/>
      </w:tblGrid>
      <w:tr>
        <w:trPr>
          <w:cantSplit/>
          <w:tblHeader/>
        </w:trPr>
        <w:tc>
          <w:tcPr>
            <w:tcW w:type="dxa" w:w="1584"/>
            <w:vAlign w:val="center"/>
            <w:tcMar>
              <w:top w:w="90" w:type="dxa"/>
              <w:bottom w:w="90" w:type="dxa"/>
              <w:left w:w="90" w:type="dxa"/>
              <w:right w:w="90" w:type="dxa"/>
            </w:tcMar>
            <w:shd w:fill="E8EDF2"/>
          </w:tcPr>
          <w:p>
            <w:pPr>
              <w:spacing w:after="20" w:before="20" w:line="264" w:lineRule="auto"/>
            </w:pPr>
            <w:r>
              <w:rPr>
                <w:rFonts w:ascii="Calibri" w:hAnsi="Calibri" w:eastAsia="宋体"/>
                <w:b/>
                <w:color w:val="000000"/>
                <w:sz w:val="20"/>
              </w:rPr>
              <w:t>rank</w:t>
            </w:r>
          </w:p>
        </w:tc>
        <w:tc>
          <w:tcPr>
            <w:tcW w:type="dxa" w:w="2664"/>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classic Acc%</w:t>
            </w:r>
          </w:p>
        </w:tc>
        <w:tc>
          <w:tcPr>
            <w:tcW w:type="dxa" w:w="2664"/>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rs锚定 Acc%</w:t>
            </w:r>
          </w:p>
        </w:tc>
        <w:tc>
          <w:tcPr>
            <w:tcW w:type="dxa" w:w="2808"/>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fixed Acc%</w:t>
            </w:r>
          </w:p>
        </w:tc>
      </w:tr>
      <w:tr>
        <w:trPr>
          <w:cantSplit/>
        </w:trPr>
        <w:tc>
          <w:tcPr>
            <w:tcW w:type="dxa" w:w="1584"/>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2</w:t>
            </w:r>
          </w:p>
        </w:tc>
        <w:tc>
          <w:tcPr>
            <w:tcW w:type="dxa" w:w="2664"/>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72.8593</w:t>
            </w:r>
          </w:p>
        </w:tc>
        <w:tc>
          <w:tcPr>
            <w:tcW w:type="dxa" w:w="2664"/>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72.9358</w:t>
            </w:r>
          </w:p>
        </w:tc>
        <w:tc>
          <w:tcPr>
            <w:tcW w:type="dxa" w:w="2808"/>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71.9801</w:t>
            </w:r>
          </w:p>
        </w:tc>
      </w:tr>
      <w:tr>
        <w:trPr>
          <w:cantSplit/>
        </w:trPr>
        <w:tc>
          <w:tcPr>
            <w:tcW w:type="dxa" w:w="1584"/>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8 共享</w:t>
            </w:r>
          </w:p>
        </w:tc>
        <w:tc>
          <w:tcPr>
            <w:tcW w:type="dxa" w:w="2664"/>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72.3624</w:t>
            </w:r>
          </w:p>
        </w:tc>
        <w:tc>
          <w:tcPr>
            <w:tcW w:type="dxa" w:w="2664"/>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72.3624</w:t>
            </w:r>
          </w:p>
        </w:tc>
        <w:tc>
          <w:tcPr>
            <w:tcW w:type="dxa" w:w="2808"/>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72.3624</w:t>
            </w:r>
          </w:p>
        </w:tc>
      </w:tr>
      <w:tr>
        <w:trPr>
          <w:cantSplit/>
        </w:trPr>
        <w:tc>
          <w:tcPr>
            <w:tcW w:type="dxa" w:w="1584"/>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32</w:t>
            </w:r>
          </w:p>
        </w:tc>
        <w:tc>
          <w:tcPr>
            <w:tcW w:type="dxa" w:w="2664"/>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72.9358</w:t>
            </w:r>
          </w:p>
        </w:tc>
        <w:tc>
          <w:tcPr>
            <w:tcW w:type="dxa" w:w="2664"/>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72.2477</w:t>
            </w:r>
          </w:p>
        </w:tc>
        <w:tc>
          <w:tcPr>
            <w:tcW w:type="dxa" w:w="2808"/>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72.4771</w:t>
            </w:r>
          </w:p>
        </w:tc>
      </w:tr>
    </w:tbl>
    <w:p>
      <w:pPr>
        <w:spacing w:after="0"/>
      </w:pPr>
    </w:p>
    <w:p>
      <w:r>
        <w:rPr>
          <w:rFonts w:ascii="Calibri" w:hAnsi="Calibri" w:eastAsia="宋体"/>
          <w:color w:val="000000"/>
        </w:rPr>
        <w:t>同seed rs减classic：r2为+0.07645±0.46347个百分点，r32为−0.68807±0.97982。它们是固定LR下已见dev的局部观察，不能证明高rank普遍改善或rs通用获益。相同步数也不等于相同算量，r增长会增加因子参数与分支乘法。</w:t>
      </w:r>
    </w:p>
    <w:p>
      <w:r>
        <w:rPr>
          <w:rFonts w:ascii="Calibri" w:hAnsi="Calibri" w:eastAsia="宋体"/>
          <w:color w:val="000000"/>
        </w:rPr>
        <w:t>纯SGD零B首步的期望系数含s²r。三规则在r2/8/32的s²r分别为classic 128/32/8、rs 32/32/32、fixed 8/32/128；rs锚定保持了这个局部系数。独立NumPy机制检查使用1024个A样本，按规则共享得到3072条逻辑记录，12次矩阵恒等式检查最大误差4.337×10⁻¹⁹。重复规则记录不是新增神经网络训练。</w:t>
      </w:r>
    </w:p>
    <w:p>
      <w:r>
        <w:rPr>
          <w:rFonts w:ascii="Calibri" w:hAnsi="Calibri" w:eastAsia="宋体"/>
          <w:color w:val="000000"/>
        </w:rPr>
        <w:t>rsLoRA固定v1讨论rank增大时的阶数稳定，有初始化、矩与优化分析条件；这不直接保证不同rank的特征质量或Acc。本文推导只能连接到首步SGD系数，实际AdamW还有归一化矩与历史依赖。fixed s不满足定理中s趋零的设定，也不能直接套理论宣称它必发散。更合理的问题是：调参后观察是否仍存在，而不是先决定某条规则必须胜出。</w:t>
      </w:r>
    </w:p>
    <w:p>
      <w:hyperlink r:id="rId10">
        <w:r>
          <w:rPr>
            <w:color w:val="234B70"/>
          </w:rPr>
          <w:t>rsLoRA 固定v1</w:t>
        </w:r>
      </w:hyperlink>
    </w:p>
    <w:p>
      <w:pPr>
        <w:pStyle w:val="Heading1"/>
        <w:pageBreakBefore/>
      </w:pPr>
      <w:r>
        <w:t>学习率联合搜索与数值失败的解释</w:t>
      </w:r>
    </w:p>
    <w:p>
      <w:r>
        <w:rPr>
          <w:rFonts w:ascii="Calibri" w:hAnsi="Calibri" w:eastAsia="宋体"/>
          <w:color w:val="000000"/>
        </w:rPr>
        <w:t>第8阶段把上一页的7个唯一配置与三档峰值LR .00075/.003/.012组合，每格3seed，共63条候选记录。21条.003结果原样复用，新增42次尝试：37通过、5数值验收拒绝。每配置只选一个跨seed共享LR，规则为平均dev Acc最高，再CE最低，再较小LR；不对每个seed单独挑最好的运行。</w:t>
      </w:r>
    </w:p>
    <w:p>
      <w:r>
        <w:rPr>
          <w:rFonts w:ascii="Calibri" w:hAnsi="Calibri" w:eastAsia="宋体"/>
          <w:color w:val="000000"/>
        </w:rPr>
        <w:t>沿用严格FP32合并最大绝对误差小于10⁻⁵且类别相同。5个拒绝候选均为有限数值差、argmax翻转0；4个配置/LR组因此失去完整三seed资格。首例FP32 dev最大差约1.725×10⁻⁵，FP64诊断约1.073×10⁻¹⁴，支持浮点路径解释，但没有用FP64替换原FP32验收。它不是模型不可训练或任务零分的证据。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624"/>
      </w:tblGrid>
      <w:tr>
        <w:trPr>
          <w:cantSplit/>
          <w:tblHeader/>
        </w:trPr>
        <w:tc>
          <w:tcPr>
            <w:tcW w:type="dxa" w:w="3096"/>
            <w:vAlign w:val="center"/>
            <w:tcMar>
              <w:top w:w="90" w:type="dxa"/>
              <w:bottom w:w="90" w:type="dxa"/>
              <w:left w:w="90" w:type="dxa"/>
              <w:right w:w="90" w:type="dxa"/>
            </w:tcMar>
            <w:shd w:fill="E8EDF2"/>
          </w:tcPr>
          <w:p>
            <w:pPr>
              <w:spacing w:after="20" w:before="20" w:line="264" w:lineRule="auto"/>
            </w:pPr>
            <w:r>
              <w:rPr>
                <w:rFonts w:ascii="Calibri" w:hAnsi="Calibri" w:eastAsia="宋体"/>
                <w:b/>
                <w:color w:val="000000"/>
                <w:sz w:val="20"/>
              </w:rPr>
              <w:t>本轮选择观察</w:t>
            </w:r>
          </w:p>
        </w:tc>
        <w:tc>
          <w:tcPr>
            <w:tcW w:type="dxa" w:w="6624"/>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准确口径</w:t>
            </w:r>
          </w:p>
        </w:tc>
      </w:tr>
      <w:tr>
        <w:trPr>
          <w:cantSplit/>
        </w:trPr>
        <w:tc>
          <w:tcPr>
            <w:tcW w:type="dxa" w:w="3096"/>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仅fixed_r2改变选择</w:t>
            </w:r>
          </w:p>
        </w:tc>
        <w:tc>
          <w:tcPr>
            <w:tcW w:type="dxa" w:w="6624"/>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.003→.012，位于搜索上边界</w:t>
            </w:r>
          </w:p>
        </w:tc>
      </w:tr>
      <w:tr>
        <w:trPr>
          <w:cantSplit/>
        </w:trPr>
        <w:tc>
          <w:tcPr>
            <w:tcW w:type="dxa" w:w="3096"/>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其dev Acc</w:t>
            </w:r>
          </w:p>
        </w:tc>
        <w:tc>
          <w:tcPr>
            <w:tcW w:type="dxa" w:w="6624"/>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71.9801→72.5153%；配对+0.5352±0.8908个百分点</w:t>
            </w:r>
          </w:p>
        </w:tc>
      </w:tr>
      <w:tr>
        <w:trPr>
          <w:cantSplit/>
        </w:trPr>
        <w:tc>
          <w:tcPr>
            <w:tcW w:type="dxa" w:w="3096"/>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其dev CE</w:t>
            </w:r>
          </w:p>
        </w:tc>
        <w:tc>
          <w:tcPr>
            <w:tcW w:type="dxa" w:w="6624"/>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0.553360→0.555549，反而变差</w:t>
            </w:r>
          </w:p>
        </w:tc>
      </w:tr>
      <w:tr>
        <w:trPr>
          <w:cantSplit/>
        </w:trPr>
        <w:tc>
          <w:tcPr>
            <w:tcW w:type="dxa" w:w="3096"/>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其余6配置</w:t>
            </w:r>
          </w:p>
        </w:tc>
        <w:tc>
          <w:tcPr>
            <w:tcW w:type="dxa" w:w="6624"/>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仍选.003；已有rs与classic差异未改变</w:t>
            </w:r>
          </w:p>
        </w:tc>
      </w:tr>
    </w:tbl>
    <w:p>
      <w:pPr>
        <w:spacing w:after="0"/>
      </w:pPr>
    </w:p>
    <w:p>
      <w:r>
        <w:rPr>
          <w:rFonts w:ascii="Calibri" w:hAnsi="Calibri" w:eastAsia="宋体"/>
          <w:color w:val="000000"/>
        </w:rPr>
        <w:t>只在三seed全合格集合中选择意味着各配置实际可用的LR空间不完全一样，不能仅以名义候选数宣称充分公平。基线.003在集合中时，选择后的平均dev Acc不低于基线是定义保证，不是泛化改善；单seed、CE与新数据成绩都没有这项保证。预先包含的ηs²r=.096补偿点也只是SGD启发对照，不是AdamW轨迹等价。</w:t>
      </w:r>
    </w:p>
    <w:p>
      <w:r>
        <w:rPr>
          <w:rFonts w:ascii="Calibri" w:hAnsi="Calibri" w:eastAsia="宋体"/>
          <w:color w:val="000000"/>
        </w:rPr>
        <w:t>该阶段首例拒绝曾触发停止；之后追加工程分类和续跑说明，导入3成功与1失败，继续38项，没有重复训练。原协议、失败现场与事后修订并存，不能改写成全程无变更的预注册。独立验证能复算幸存及诊断预测、核选择规则与导入哈希，却不能消除重复使用dev产生的选择偏差。</w:t>
      </w:r>
    </w:p>
    <w:p>
      <w:pPr>
        <w:pStyle w:val="Heading1"/>
        <w:pageBreakBefore/>
      </w:pPr>
      <w:r>
        <w:t>LoRA加与因子学习率的非对称性</w:t>
      </w:r>
    </w:p>
    <w:p>
      <w:pPr>
        <w:keepNext/>
        <w:keepLines/>
        <w:spacing w:before="60" w:after="140"/>
        <w:jc w:val="center"/>
      </w:pPr>
      <m:oMath>
        <m:r>
          <m:t>λ=</m:t>
        </m:r>
        <m:sSub>
          <m:e>
            <m:r>
              <m:t>η</m:t>
            </m:r>
          </m:e>
          <m:sub>
            <m:r>
              <m:t>B</m:t>
            </m:r>
          </m:sub>
        </m:sSub>
        <m:r>
          <m:t>/</m:t>
        </m:r>
        <m:sSub>
          <m:e>
            <m:r>
              <m:t>η</m:t>
            </m:r>
          </m:e>
          <m:sub>
            <m:r>
              <m:t>A</m:t>
            </m:r>
          </m:sub>
        </m:sSub>
        <m:r>
          <m:t xml:space="preserve">,   </m:t>
        </m:r>
        <m:sSub>
          <m:e>
            <m:r>
              <m:t>η</m:t>
            </m:r>
          </m:e>
          <m:sub>
            <m:r>
              <m:t>A</m:t>
            </m:r>
          </m:sub>
        </m:sSub>
        <m:r>
          <m:t>=Θ(</m:t>
        </m:r>
        <m:sSup>
          <m:e>
            <m:r>
              <m:t>n</m:t>
            </m:r>
          </m:e>
          <m:sup>
            <m:r>
              <m:t>−1</m:t>
            </m:r>
          </m:sup>
        </m:sSup>
        <m:r>
          <m:t xml:space="preserve">),   </m:t>
        </m:r>
        <m:sSub>
          <m:e>
            <m:r>
              <m:t>η</m:t>
            </m:r>
          </m:e>
          <m:sub>
            <m:r>
              <m:t>B</m:t>
            </m:r>
          </m:sub>
        </m:sSub>
        <m:r>
          <m:t>=Θ(1)</m:t>
        </m:r>
      </m:oMath>
    </w:p>
    <w:p>
      <w:r>
        <w:rPr>
          <w:rFonts w:ascii="Calibri" w:hAnsi="Calibri" w:eastAsia="宋体"/>
          <w:color w:val="000000"/>
        </w:rPr>
        <w:t>LoRA+的n是模型宽度而非rank。固定v2的Informal分析采用固定rank、单适配层和输入、处理后梯度对齐等条件；效率是局部特征更新量级，不直接等于CPU速度或准确率。随机A/零B属于Init[1]类型，λ16在本项目只是预定对照，不能称当前初始化的普遍最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384"/>
        <w:gridCol w:w="4104"/>
      </w:tblGrid>
      <w:tr>
        <w:trPr>
          <w:cantSplit/>
          <w:tblHeader/>
        </w:trPr>
        <w:tc>
          <w:tcPr>
            <w:tcW w:type="dxa" w:w="2232"/>
            <w:vAlign w:val="center"/>
            <w:tcMar>
              <w:top w:w="90" w:type="dxa"/>
              <w:bottom w:w="90" w:type="dxa"/>
              <w:left w:w="90" w:type="dxa"/>
              <w:right w:w="90" w:type="dxa"/>
            </w:tcMar>
            <w:shd w:fill="E8EDF2"/>
          </w:tcPr>
          <w:p>
            <w:pPr>
              <w:spacing w:after="20" w:before="20" w:line="264" w:lineRule="auto"/>
            </w:pPr>
            <w:r>
              <w:rPr>
                <w:rFonts w:ascii="Calibri" w:hAnsi="Calibri" w:eastAsia="宋体"/>
                <w:b/>
                <w:color w:val="000000"/>
                <w:sz w:val="20"/>
              </w:rPr>
              <w:t>第9阶段配置</w:t>
            </w:r>
          </w:p>
        </w:tc>
        <w:tc>
          <w:tcPr>
            <w:tcW w:type="dxa" w:w="3384"/>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峰值ηA / ηB</w:t>
            </w:r>
          </w:p>
        </w:tc>
        <w:tc>
          <w:tcPr>
            <w:tcW w:type="dxa" w:w="4104"/>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已见dev Acc% ± SD</w:t>
            </w:r>
          </w:p>
        </w:tc>
      </w:tr>
      <w:tr>
        <w:trPr>
          <w:cantSplit/>
        </w:trPr>
        <w:tc>
          <w:tcPr>
            <w:tcW w:type="dxa" w:w="2232"/>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共享λ1</w:t>
            </w:r>
          </w:p>
        </w:tc>
        <w:tc>
          <w:tcPr>
            <w:tcW w:type="dxa" w:w="3384"/>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.003 / .003</w:t>
            </w:r>
          </w:p>
        </w:tc>
        <w:tc>
          <w:tcPr>
            <w:tcW w:type="dxa" w:w="4104"/>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72.3624 ± 1.0510</w:t>
            </w:r>
          </w:p>
        </w:tc>
      </w:tr>
      <w:tr>
        <w:trPr>
          <w:cantSplit/>
        </w:trPr>
        <w:tc>
          <w:tcPr>
            <w:tcW w:type="dxa" w:w="2232"/>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B固定λ4</w:t>
            </w:r>
          </w:p>
        </w:tc>
        <w:tc>
          <w:tcPr>
            <w:tcW w:type="dxa" w:w="3384"/>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.00075 / .003</w:t>
            </w:r>
          </w:p>
        </w:tc>
        <w:tc>
          <w:tcPr>
            <w:tcW w:type="dxa" w:w="4104"/>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71.9037 ± 0.3973</w:t>
            </w:r>
          </w:p>
        </w:tc>
      </w:tr>
      <w:tr>
        <w:trPr>
          <w:cantSplit/>
        </w:trPr>
        <w:tc>
          <w:tcPr>
            <w:tcW w:type="dxa" w:w="2232"/>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B固定λ16</w:t>
            </w:r>
          </w:p>
        </w:tc>
        <w:tc>
          <w:tcPr>
            <w:tcW w:type="dxa" w:w="3384"/>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.0001875 / .003</w:t>
            </w:r>
          </w:p>
        </w:tc>
        <w:tc>
          <w:tcPr>
            <w:tcW w:type="dxa" w:w="4104"/>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68.8456 ± 0.6316</w:t>
            </w:r>
          </w:p>
        </w:tc>
      </w:tr>
      <w:tr>
        <w:trPr>
          <w:cantSplit/>
        </w:trPr>
        <w:tc>
          <w:tcPr>
            <w:tcW w:type="dxa" w:w="2232"/>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A固定λ4</w:t>
            </w:r>
          </w:p>
        </w:tc>
        <w:tc>
          <w:tcPr>
            <w:tcW w:type="dxa" w:w="3384"/>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.003 / .012</w:t>
            </w:r>
          </w:p>
        </w:tc>
        <w:tc>
          <w:tcPr>
            <w:tcW w:type="dxa" w:w="4104"/>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72.5153 ± 0.8908</w:t>
            </w:r>
          </w:p>
        </w:tc>
      </w:tr>
      <w:tr>
        <w:trPr>
          <w:cantSplit/>
        </w:trPr>
        <w:tc>
          <w:tcPr>
            <w:tcW w:type="dxa" w:w="2232"/>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A固定λ16</w:t>
            </w:r>
          </w:p>
        </w:tc>
        <w:tc>
          <w:tcPr>
            <w:tcW w:type="dxa" w:w="3384"/>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.003 / .048</w:t>
            </w:r>
          </w:p>
        </w:tc>
        <w:tc>
          <w:tcPr>
            <w:tcW w:type="dxa" w:w="4104"/>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1通过、2拒绝；无完整均值</w:t>
            </w:r>
          </w:p>
        </w:tc>
      </w:tr>
    </w:tbl>
    <w:p>
      <w:pPr>
        <w:spacing w:after="0"/>
      </w:pPr>
    </w:p>
    <w:p>
      <w:r>
        <w:rPr>
          <w:rFonts w:ascii="Calibri" w:hAnsi="Calibri" w:eastAsia="宋体"/>
          <w:color w:val="000000"/>
        </w:rPr>
        <w:t>同λ不等于同绝对LR。A固定λ4相对基线配对Acc为+0.1529±1.4247个百分点，CE差−0.005482；波动和固定小网格不足以支持稳定收益。B固定λ4/16分别为−0.4587±0.7945、−3.5168±1.0019个百分点。本轮没有逐λ优化绝对步率或自动选择赢家。</w:t>
      </w:r>
    </w:p>
    <w:p>
      <w:r>
        <w:rPr>
          <w:rFonts w:ascii="Calibri" w:hAnsi="Calibri" w:eastAsia="宋体"/>
          <w:color w:val="000000"/>
        </w:rPr>
        <w:t>分离A/B分组前先真实重训seed11等率bridge，10个训练张量与旧基线逐位相同，额外成本1次但不增加性能seed。固定B的两个新配置在step2后，三个seed的3组比较及与seed11桥接的2组比较均逐位相同；零A梯度、零衰减和共同RNG解释这个首个非零步的预测，不说明后续轨迹相同。</w:t>
      </w:r>
    </w:p>
    <w:p>
      <w:r>
        <w:rPr>
          <w:rFonts w:ascii="Calibri" w:hAnsi="Calibri" w:eastAsia="宋体"/>
          <w:color w:val="000000"/>
        </w:rPr>
        <w:t>正式15条记录含3复用、12新增，新增10接受、2有限合并拒绝；bridge另计使本阶段新增13次。被拒组完整有限日志可描述因子运动，但不恢复性能汇总资格。作者helper另处理embedding、一维参数与衰减，本轮头峰值独立固定.001，因此是LoRA+式受控消融，不是原样执行官方Trainer或验证宽度极限。</w:t>
      </w:r>
    </w:p>
    <w:p>
      <w:hyperlink r:id="rId13">
        <w:r>
          <w:rPr>
            <w:color w:val="234B70"/>
          </w:rPr>
          <w:t>LoRA+ 固定v2</w:t>
        </w:r>
      </w:hyperlink>
    </w:p>
    <w:p>
      <w:pPr>
        <w:pStyle w:val="Heading1"/>
        <w:pageBreakBefore/>
      </w:pPr>
      <w:r>
        <w:t>统计证据与计算台账的统一口径</w:t>
      </w:r>
    </w:p>
    <w:p>
      <w:pPr>
        <w:keepNext/>
        <w:keepLines/>
        <w:spacing w:before="60" w:after="140"/>
        <w:jc w:val="center"/>
      </w:pPr>
      <m:oMath>
        <m:bar>
          <m:barPr>
            <m:pos m:val="top"/>
          </m:barPr>
          <m:e>
            <m:r>
              <m:t>m</m:t>
            </m:r>
          </m:e>
        </m:bar>
        <m:r>
          <m:t>=</m:t>
        </m:r>
        <m:f>
          <m:fPr>
            <m:type m:val="bar"/>
          </m:fPr>
          <m:num>
            <m:r>
              <m:t>1</m:t>
            </m:r>
          </m:num>
          <m:den>
            <m:r>
              <m:t>K</m:t>
            </m:r>
          </m:den>
        </m:f>
        <m:nary>
          <m:naryPr>
            <m:chr m:val="∑"/>
            <m:limLoc m:val="subSup"/>
            <m:grow m:val="1"/>
            <m:subHide m:val="off"/>
            <m:supHide m:val="off"/>
          </m:naryPr>
          <m:sub>
            <m:r>
              <m:t>j=1</m:t>
            </m:r>
          </m:sub>
          <m:sup>
            <m:r>
              <m:t>K</m:t>
            </m:r>
          </m:sup>
          <m:e>
            <m:sSub>
              <m:e>
                <m:r>
                  <m:t>m</m:t>
                </m:r>
              </m:e>
              <m:sub>
                <m:r>
                  <m:t>j</m:t>
                </m:r>
              </m:sub>
            </m:sSub>
          </m:e>
        </m:nary>
        <m:r>
          <m:t xml:space="preserve">,   </m:t>
        </m:r>
        <m:r>
          <m:t>SD=</m:t>
        </m:r>
        <m:rad>
          <m:radPr>
            <m:degHide m:val="on"/>
          </m:radPr>
          <m:deg/>
          <m:e>
            <m:f>
              <m:fPr>
                <m:type m:val="bar"/>
              </m:fPr>
              <m:num>
                <m:nary>
                  <m:naryPr>
                    <m:chr m:val="∑"/>
                    <m:limLoc m:val="subSup"/>
                    <m:grow m:val="1"/>
                    <m:subHide m:val="off"/>
                    <m:supHide m:val="off"/>
                  </m:naryPr>
                  <m:sub>
                    <m:r>
                      <m:t>j=1</m:t>
                    </m:r>
                  </m:sub>
                  <m:sup>
                    <m:r>
                      <m:t>K</m:t>
                    </m:r>
                  </m:sup>
                  <m:e>
                    <m:r>
                      <m:t>(</m:t>
                    </m:r>
                  </m:e>
                </m:nary>
                <m:sSub>
                  <m:e>
                    <m:r>
                      <m:t>m</m:t>
                    </m:r>
                  </m:e>
                  <m:sub>
                    <m:r>
                      <m:t>j</m:t>
                    </m:r>
                  </m:sub>
                </m:sSub>
                <m:r>
                  <m:t>−</m:t>
                </m:r>
                <m:bar>
                  <m:barPr>
                    <m:pos m:val="top"/>
                  </m:barPr>
                  <m:e>
                    <m:r>
                      <m:t>m</m:t>
                    </m:r>
                  </m:e>
                </m:bar>
                <m:sSup>
                  <m:e>
                    <m:r>
                      <m:t>)</m:t>
                    </m:r>
                  </m:e>
                  <m:sup>
                    <m:r>
                      <m:t>2</m:t>
                    </m:r>
                  </m:sup>
                </m:sSup>
              </m:num>
              <m:den>
                <m:r>
                  <m:t>K−1</m:t>
                </m:r>
              </m:den>
            </m:f>
          </m:e>
        </m:rad>
      </m:oMath>
    </w:p>
    <w:p>
      <w:r>
        <w:rPr>
          <w:rFonts w:ascii="Calibri" w:hAnsi="Calibri" w:eastAsia="宋体"/>
          <w:color w:val="000000"/>
        </w:rPr>
        <w:t>K=3代表同一数据划分上的三个训练seed。配对分析先求dj=ma,j−mb,j，再汇总差值均值与样本SD；不能把两组SD相减。Acc分数乘100得到百分数，差值乘100的单位为百分点。SD不是标准误，也不自动给出独立数据抽样的置信区间；本项目不据3seed报告总体显著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520"/>
        <w:gridCol w:w="5616"/>
      </w:tblGrid>
      <w:tr>
        <w:trPr>
          <w:cantSplit/>
          <w:tblHeader/>
        </w:trPr>
        <w:tc>
          <w:tcPr>
            <w:tcW w:type="dxa" w:w="1584"/>
            <w:vAlign w:val="center"/>
            <w:tcMar>
              <w:top w:w="90" w:type="dxa"/>
              <w:bottom w:w="90" w:type="dxa"/>
              <w:left w:w="90" w:type="dxa"/>
              <w:right w:w="90" w:type="dxa"/>
            </w:tcMar>
            <w:shd w:fill="E8EDF2"/>
          </w:tcPr>
          <w:p>
            <w:pPr>
              <w:spacing w:after="20" w:before="20" w:line="264" w:lineRule="auto"/>
            </w:pPr>
            <w:r>
              <w:rPr>
                <w:rFonts w:ascii="Calibri" w:hAnsi="Calibri" w:eastAsia="宋体"/>
                <w:b/>
                <w:color w:val="000000"/>
                <w:sz w:val="20"/>
              </w:rPr>
              <w:t>阶段</w:t>
            </w:r>
          </w:p>
        </w:tc>
        <w:tc>
          <w:tcPr>
            <w:tcW w:type="dxa" w:w="2520"/>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新增正式BERT尝试</w:t>
            </w:r>
          </w:p>
        </w:tc>
        <w:tc>
          <w:tcPr>
            <w:tcW w:type="dxa" w:w="5616"/>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独立列明的身份</w:t>
            </w:r>
          </w:p>
        </w:tc>
      </w:tr>
      <w:tr>
        <w:trPr>
          <w:cantSplit/>
        </w:trPr>
        <w:tc>
          <w:tcPr>
            <w:tcW w:type="dxa" w:w="1584"/>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2 / 3</w:t>
            </w:r>
          </w:p>
        </w:tc>
        <w:tc>
          <w:tcPr>
            <w:tcW w:type="dxa" w:w="2520"/>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9 / 24</w:t>
            </w:r>
          </w:p>
        </w:tc>
        <w:tc>
          <w:tcPr>
            <w:tcW w:type="dxa" w:w="5616"/>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第3阶段18搜索+6长训练，快照不另计</w:t>
            </w:r>
          </w:p>
        </w:tc>
      </w:tr>
      <w:tr>
        <w:trPr>
          <w:cantSplit/>
        </w:trPr>
        <w:tc>
          <w:tcPr>
            <w:tcW w:type="dxa" w:w="1584"/>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4 / 5</w:t>
            </w:r>
          </w:p>
        </w:tc>
        <w:tc>
          <w:tcPr>
            <w:tcW w:type="dxa" w:w="2520"/>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18 / 18</w:t>
            </w:r>
          </w:p>
        </w:tc>
        <w:tc>
          <w:tcPr>
            <w:tcW w:type="dxa" w:w="5616"/>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位置和rank / 根句搜索；所选模型不另训练</w:t>
            </w:r>
          </w:p>
        </w:tc>
      </w:tr>
      <w:tr>
        <w:trPr>
          <w:cantSplit/>
        </w:trPr>
        <w:tc>
          <w:tcPr>
            <w:tcW w:type="dxa" w:w="1584"/>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6</w:t>
            </w:r>
          </w:p>
        </w:tc>
        <w:tc>
          <w:tcPr>
            <w:tcW w:type="dxa" w:w="2520"/>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0</w:t>
            </w:r>
          </w:p>
        </w:tc>
        <w:tc>
          <w:tcPr>
            <w:tcW w:type="dxa" w:w="5616"/>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部署仅导出、前向和计时</w:t>
            </w:r>
          </w:p>
        </w:tc>
      </w:tr>
      <w:tr>
        <w:trPr>
          <w:cantSplit/>
        </w:trPr>
        <w:tc>
          <w:tcPr>
            <w:tcW w:type="dxa" w:w="1584"/>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7</w:t>
            </w:r>
          </w:p>
        </w:tc>
        <w:tc>
          <w:tcPr>
            <w:tcW w:type="dxa" w:w="2520"/>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21</w:t>
            </w:r>
          </w:p>
        </w:tc>
        <w:tc>
          <w:tcPr>
            <w:tcW w:type="dxa" w:w="5616"/>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r8共享；与阶段5桥接的3模型已含在21内</w:t>
            </w:r>
          </w:p>
        </w:tc>
      </w:tr>
      <w:tr>
        <w:trPr>
          <w:cantSplit/>
        </w:trPr>
        <w:tc>
          <w:tcPr>
            <w:tcW w:type="dxa" w:w="1584"/>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8</w:t>
            </w:r>
          </w:p>
        </w:tc>
        <w:tc>
          <w:tcPr>
            <w:tcW w:type="dxa" w:w="2520"/>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42</w:t>
            </w:r>
          </w:p>
        </w:tc>
        <w:tc>
          <w:tcPr>
            <w:tcW w:type="dxa" w:w="5616"/>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37接受、5拒绝；另21旧记录复用</w:t>
            </w:r>
          </w:p>
        </w:tc>
      </w:tr>
      <w:tr>
        <w:trPr>
          <w:cantSplit/>
        </w:trPr>
        <w:tc>
          <w:tcPr>
            <w:tcW w:type="dxa" w:w="1584"/>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9</w:t>
            </w:r>
          </w:p>
        </w:tc>
        <w:tc>
          <w:tcPr>
            <w:tcW w:type="dxa" w:w="2520"/>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13</w:t>
            </w:r>
          </w:p>
        </w:tc>
        <w:tc>
          <w:tcPr>
            <w:tcW w:type="dxa" w:w="5616"/>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12正式新增含2拒绝，另1实现bridge</w:t>
            </w:r>
          </w:p>
        </w:tc>
      </w:tr>
    </w:tbl>
    <w:p>
      <w:pPr>
        <w:spacing w:after="0"/>
      </w:pPr>
    </w:p>
    <w:p>
      <w:r>
        <w:rPr>
          <w:rFonts w:ascii="Calibri" w:hAnsi="Calibri" w:eastAsia="宋体"/>
          <w:color w:val="000000"/>
        </w:rPr>
        <w:t>合计145次正式BERT尝试，包含失败与bridge。另有第2阶段3条16样本、batch8、各2步的smoke，没有dev性能评价；第1阶段36条合成记录含30条优化与6条冻结。统一台账保留这些不同单位，既不遗漏实际检查，也不把复用、快照、矩阵、随机样本和训练次数相加制造规模。</w:t>
      </w:r>
    </w:p>
    <w:p>
      <w:r>
        <w:rPr>
          <w:rFonts w:ascii="Calibri" w:hAnsi="Calibri" w:eastAsia="宋体"/>
          <w:color w:val="000000"/>
        </w:rPr>
        <w:t>代数检查与指定张量比较支持“已验证”；有限任务分数、谱和延迟支持“在这些条件下观察到”。独立标准库验证器可从预测CSV复算指标、检查协议与哈希，但不重复GPU/CPU模型运行；部分阶段另有专门的实际张量重建检查。校验类型要跟着每条主张走，不能只用一句“全部测试通过”覆盖所有证据。</w:t>
      </w:r>
    </w:p>
    <w:p>
      <w:r>
        <w:rPr>
          <w:rFonts w:ascii="Calibri" w:hAnsi="Calibri" w:eastAsia="宋体"/>
          <w:color w:val="000000"/>
        </w:rPr>
        <w:t>仍未复现的范围包括原LoRA大模型全基准、rsLoRA和LoRA+渐近结论、GPU资源收益、通用最优rank或学习率比。SST预处理差异与已见test身份也不能在总报告中抹去。本轮的完成标准是方法可解释、结果可追溯、边界可检查，而非证明所有扩展都获得提升。</w:t>
      </w:r>
    </w:p>
    <w:p>
      <w:pPr>
        <w:pStyle w:val="Heading1"/>
        <w:pageBreakBefore/>
      </w:pPr>
      <w:r>
        <w:t>预先规定反证条件的后续实验</w:t>
      </w:r>
    </w:p>
    <w:p>
      <w:r>
        <w:rPr>
          <w:rFonts w:ascii="Calibri" w:hAnsi="Calibri" w:eastAsia="宋体"/>
          <w:color w:val="000000"/>
        </w:rPr>
        <w:t>以下是未来方案，本轮没有执行。继续研究前应另行固定评价集与协议，不能不断使用已经多轮查看的dev或把历史test重新命名为独立留出。每项方案先确定一个可被数据推翻的命题、主要指标、计算预算和失败规则；结果相反也应按原规则报告。</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4608"/>
        <w:gridCol w:w="2520"/>
      </w:tblGrid>
      <w:tr>
        <w:trPr>
          <w:cantSplit/>
          <w:tblHeader/>
        </w:trPr>
        <w:tc>
          <w:tcPr>
            <w:tcW w:type="dxa" w:w="2592"/>
            <w:vAlign w:val="center"/>
            <w:tcMar>
              <w:top w:w="90" w:type="dxa"/>
              <w:bottom w:w="90" w:type="dxa"/>
              <w:left w:w="90" w:type="dxa"/>
              <w:right w:w="90" w:type="dxa"/>
            </w:tcMar>
            <w:shd w:fill="E8EDF2"/>
          </w:tcPr>
          <w:p>
            <w:pPr>
              <w:spacing w:after="20" w:before="20" w:line="264" w:lineRule="auto"/>
            </w:pPr>
            <w:r>
              <w:rPr>
                <w:rFonts w:ascii="Calibri" w:hAnsi="Calibri" w:eastAsia="宋体"/>
                <w:b/>
                <w:color w:val="000000"/>
                <w:sz w:val="20"/>
              </w:rPr>
              <w:t>待检验命题</w:t>
            </w:r>
          </w:p>
        </w:tc>
        <w:tc>
          <w:tcPr>
            <w:tcW w:type="dxa" w:w="4608"/>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预先固定的实验</w:t>
            </w:r>
          </w:p>
        </w:tc>
        <w:tc>
          <w:tcPr>
            <w:tcW w:type="dxa" w:w="2520"/>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可能推翻命题的结果</w:t>
            </w:r>
          </w:p>
        </w:tc>
      </w:tr>
      <w:tr>
        <w:trPr>
          <w:cantSplit/>
        </w:trPr>
        <w:tc>
          <w:tcPr>
            <w:tcW w:type="dxa" w:w="2592"/>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低Frobenius尾能量足以保留任务效果</w:t>
            </w:r>
          </w:p>
        </w:tc>
        <w:tc>
          <w:tcPr>
            <w:tcW w:type="dxa" w:w="4608"/>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固定Full更新，按预定k截断；同时量权重误差、输入加权误差与未见集CE/Acc</w:t>
            </w:r>
          </w:p>
        </w:tc>
        <w:tc>
          <w:tcPr>
            <w:tcW w:type="dxa" w:w="2520"/>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小权重误差仍造成明显任务退化；说明谱摘要不足</w:t>
            </w:r>
          </w:p>
        </w:tc>
      </w:tr>
      <w:tr>
        <w:trPr>
          <w:cantSplit/>
        </w:trPr>
        <w:tc>
          <w:tcPr>
            <w:tcW w:type="dxa" w:w="2592"/>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不等因子LR在调参后仍有收益</w:t>
            </w:r>
          </w:p>
        </w:tc>
        <w:tc>
          <w:tcPr>
            <w:tcW w:type="dxa" w:w="4608"/>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固定λ集合；每λ相同绝对LR候选数和seed；只在dev选共享LR，锁定后一次独立评价</w:t>
            </w:r>
          </w:p>
        </w:tc>
        <w:tc>
          <w:tcPr>
            <w:tcW w:type="dxa" w:w="2520"/>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等率LoRA达到同等或更好表现；原差异可能来自绝对LR</w:t>
            </w:r>
          </w:p>
        </w:tc>
      </w:tr>
      <w:tr>
        <w:trPr>
          <w:cantSplit/>
        </w:trPr>
        <w:tc>
          <w:tcPr>
            <w:tcW w:type="dxa" w:w="2592"/>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当前PTB转义无实质影响</w:t>
            </w:r>
          </w:p>
        </w:tc>
        <w:tc>
          <w:tcPr>
            <w:tcW w:type="dxa" w:w="4608"/>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只改变slash规范化；固定样本身份与tokenizer，先测输入/输出变化，再决定是否同预算重训</w:t>
            </w:r>
          </w:p>
        </w:tc>
        <w:tc>
          <w:tcPr>
            <w:tcW w:type="dxa" w:w="2520"/>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受影响行预测或预定总体指标变化；需限定旧结果适用预处理</w:t>
            </w:r>
          </w:p>
        </w:tc>
      </w:tr>
    </w:tbl>
    <w:p>
      <w:pPr>
        <w:spacing w:after="0"/>
      </w:pPr>
    </w:p>
    <w:p>
      <w:r>
        <w:rPr>
          <w:rFonts w:ascii="Calibri" w:hAnsi="Calibri" w:eastAsia="宋体"/>
          <w:color w:val="000000"/>
        </w:rPr>
        <w:t>“明显”不能在看结果后才定义。新协议应在运行前写定主要指标、最低有意义差异或等价界限、候选数、种子、停止条件和区间估计方法；本报告不为尚无功效分析的未来实验杜撰一个显著性阈值。数值方面，将非有限训练、重载错误、合并绝对/相对差和类别翻转分别持久化；新阈值只适用于新协议，不追溯救活旧候选。</w:t>
      </w:r>
    </w:p>
    <w:p>
      <w:r>
        <w:rPr>
          <w:rFonts w:ascii="Calibri" w:hAnsi="Calibri" w:eastAsia="宋体"/>
          <w:color w:val="000000"/>
        </w:rPr>
        <w:t>阅读自测也应从因果问题出发：为什么零B使A首步无任务梯度，却不表示A无用？因为随机A决定B最初能接收的方向。为什么低秩更新仍可得到满秩模型？因为约束的是D而非W0+D。为什么原论文资源倍数不能由本地参数比例推出？因为优化器、激活和硬件执行成本不同。为什么dev选后均值不降仍不构成泛化证据？因为它已进入选择定义。</w:t>
      </w:r>
    </w:p>
    <w:p>
      <w:r>
        <w:rPr>
          <w:rFonts w:ascii="Calibri" w:hAnsi="Calibri" w:eastAsia="宋体"/>
          <w:color w:val="000000"/>
        </w:rPr>
        <w:t>本文把这些答案连接到推导、手算、冻结配置和逐条证据。旧报告与原实验保持不变，新版只改善解释与索引。代码入口从各阶段README开始；主张核查以completion_phase10/claims_ledger.json、stage_summary.json及其指向的原记录为准，避免只凭二次汇总表判断。</w:t>
      </w:r>
    </w:p>
    <w:p>
      <w:hyperlink r:id="rId17">
        <w:r>
          <w:rPr>
            <w:color w:val="234B70"/>
          </w:rPr>
          <w:t>选择偏差一手来源 Cawley与Talbot</w:t>
        </w:r>
      </w:hyperlink>
    </w:p>
    <w:sectPr w:rsidR="00FC693F" w:rsidRPr="0006063C" w:rsidSect="00034616">
      <w:footerReference w:type="default" r:id="rId9"/>
      <w:pgSz w:w="12240" w:h="15840"/>
      <w:pgMar w:top="1037" w:right="1181" w:bottom="1037" w:left="1181"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20"/>
    </w:pPr>
    <w:rPr>
      <w:rFonts w:ascii="Calibri" w:hAnsi="Calibri"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宋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宋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eastAsia="宋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xiv.org/html/2312.03732v1" TargetMode="External"/><Relationship Id="rId11" Type="http://schemas.openxmlformats.org/officeDocument/2006/relationships/hyperlink" Target="https://arxiv.org/abs/2106.09685v2" TargetMode="External"/><Relationship Id="rId12" Type="http://schemas.openxmlformats.org/officeDocument/2006/relationships/hyperlink" Target="https://github.com/microsoft/LoRA/blob/c4593f060e6a368d7bb5af5273b8e42810cdef90/loralib/layers.py" TargetMode="External"/><Relationship Id="rId13" Type="http://schemas.openxmlformats.org/officeDocument/2006/relationships/hyperlink" Target="https://arxiv.org/html/2402.12354v2" TargetMode="External"/><Relationship Id="rId14" Type="http://schemas.openxmlformats.org/officeDocument/2006/relationships/hyperlink" Target="https://nlp.stanford.edu/sentiment/" TargetMode="External"/><Relationship Id="rId15" Type="http://schemas.openxmlformats.org/officeDocument/2006/relationships/hyperlink" Target="https://arxiv.org/abs/2012.13255v1" TargetMode="External"/><Relationship Id="rId16" Type="http://schemas.openxmlformats.org/officeDocument/2006/relationships/image" Target="media/image1.png"/><Relationship Id="rId17" Type="http://schemas.openxmlformats.org/officeDocument/2006/relationships/hyperlink" Target="https://jmlr.org/papers/v11/cawley10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LoRA 精读与复现研究报告</dc:title>
  <dc:subject>论文精读与既有复现实验分析 2026年10月11日修订</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