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/>
          <w:color w:val="000000"/>
          <w:sz w:val="44"/>
        </w:rPr>
        <w:t>rsLoRA 从秩相关学习信号到有界复现</w:t>
      </w:r>
    </w:p>
    <w:p>
      <w:pPr>
        <w:spacing w:after="160"/>
      </w:pPr>
      <w:r>
        <w:rPr>
          <w:rFonts w:ascii="Calibri" w:hAnsi="Calibri" w:eastAsia="宋体"/>
          <w:color w:val="000000"/>
        </w:rPr>
        <w:t>修订日期 2026年10月11日</w:t>
      </w:r>
    </w:p>
    <w:p>
      <w:pPr>
        <w:pStyle w:val="Heading1"/>
      </w:pPr>
      <w:r>
        <w:t>1 问题 增加容量时 学习信号发生了什么</w:t>
      </w:r>
    </w:p>
    <w:p>
      <w:r>
        <w:rPr>
          <w:rFonts w:ascii="Calibri" w:hAnsi="Calibri" w:eastAsia="宋体"/>
          <w:color w:val="000000"/>
        </w:rPr>
        <w:t>本篇精读Damjan Kalajdzievski的A Rank Stabilization Scaling Factor for Fine-Tuning with LoRA，版本固定为2023年arXiv:2312.03732v1。本文依据现存预印本讨论方法，不额外赋予会议身份。接在LoRA后阅读，问题由“能否用低秩更新减少参数”推进到“增加适配器宽度时，优化尺度是否也被改变”。</w:t>
      </w:r>
    </w:p>
    <w:p>
      <w:r>
        <w:rPr>
          <w:rFonts w:ascii="Calibri" w:hAnsi="Calibri" w:eastAsia="宋体"/>
          <w:color w:val="000000"/>
        </w:rPr>
        <w:t>LoRA把权重增量写成两个矩阵的乘积，再乘一个与rank有关的系数。提高r会增加可训练参数和潜在表达容量；但若同时用更强的缩放压低更新，新增容量可能没有得到有效学习。作者据此质疑：高rank没有收益，究竟因为任务只需要低rank，还是因为原有缩放抑制了学习？这两种解释对应不同的实验。</w:t>
      </w:r>
    </w:p>
    <w:p>
      <w:pPr>
        <w:keepNext/>
        <w:keepLines/>
        <w:spacing w:before="60" w:after="140"/>
        <w:jc w:val="center"/>
      </w:pPr>
      <m:oMath>
        <m:r>
          <m:t xml:space="preserve">D=sBA,   </m:t>
        </m:r>
        <m:sSub>
          <m:e>
            <m:r>
              <m:t>s</m:t>
            </m:r>
          </m:e>
          <m:sub>
            <m:r>
              <m:t>classic</m:t>
            </m:r>
          </m:sub>
        </m:sSub>
        <m:r>
          <m:t>=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t xml:space="preserve">/r,   </m:t>
        </m:r>
        <m:sSub>
          <m:e>
            <m:r>
              <m:t>s</m:t>
            </m:r>
          </m:e>
          <m:sub>
            <m:r>
              <m:t>rs</m:t>
            </m:r>
          </m:sub>
        </m:sSub>
        <m:r>
          <m:t>=</m:t>
        </m:r>
        <m:sSub>
          <m:e>
            <m:r>
              <m:t>α</m:t>
            </m:r>
          </m:e>
          <m:sub>
            <m:r>
              <m:t>rs</m:t>
            </m:r>
          </m:sub>
        </m:sSub>
        <m:r>
          <m:t>/</m:t>
        </m:r>
        <m:rad>
          <m:radPr>
            <m:degHide m:val="on"/>
          </m:radPr>
          <m:deg/>
          <m:e>
            <m:r>
              <m:t>r</m:t>
            </m:r>
          </m:e>
        </m:rad>
      </m:oMath>
    </w:p>
    <w:p>
      <w:r>
        <w:rPr>
          <w:rFonts w:ascii="Calibri" w:hAnsi="Calibri" w:eastAsia="宋体"/>
          <w:color w:val="000000"/>
        </w:rPr>
        <w:t>rsLoRA保留LoRA的参数化和可合并结构，改变的是rank相关的有效缩放。需要同时看三层量：A/B参数梯度、有效矩阵D的更新、任务损失与预测。参数梯度范数相近不自动意味着D的方向相同；D的首步尺度稳定也不自动意味着最终泛化更好。下面先在能逐步验算的条件下建立机制，再回到论文和本地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99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证据层</w:t>
            </w:r>
          </w:p>
        </w:tc>
        <w:tc>
          <w:tcPr>
            <w:tcW w:type="dxa" w:w="79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对象与主要结果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原论文</w:t>
            </w:r>
          </w:p>
        </w:tc>
        <w:tc>
          <w:tcPr>
            <w:tcW w:type="dxa" w:w="79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Llama 2/OpenOrca等设置；高rank的训练困惑度和梯度范数改善，由作者报告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本地历史</w:t>
            </w:r>
          </w:p>
        </w:tc>
        <w:tc>
          <w:tcPr>
            <w:tcW w:type="dxa" w:w="79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小BERT的缩放与学习率对照；已见dev，没有rs全面优于classic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本轮新增</w:t>
            </w:r>
          </w:p>
        </w:tc>
        <w:tc>
          <w:tcPr>
            <w:tcW w:type="dxa" w:w="79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固定梯度的小矩阵机制与指定rs模型数值部署；不新增BERT训练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color w:val="000000"/>
        </w:rPr>
        <w:t>原文主实验用Llama 2、20000条OpenOrca指令数据，AdamW学习率5×10⁻⁵并采用常数日程，rank覆盖4、8、32、128、512、2048；图2和图3分别观察训练困惑度与平均参数梯度范数。本地小任务不能替代这些规模与对象。六阶段在本报告中作为证据链：机制、任务基线、优化控制、消融、评价边界和部署；正文按问题组织，避免重复列流水账。</w:t>
      </w:r>
    </w:p>
    <w:p>
      <w:hyperlink r:id="rId10">
        <w:r>
          <w:rPr>
            <w:color w:val="234B70"/>
          </w:rPr>
          <w:t>主源：2023 arXiv v1 正文与附录</w:t>
        </w:r>
      </w:hyperlink>
    </w:p>
    <w:p>
      <w:pPr>
        <w:pStyle w:val="Heading1"/>
        <w:pageBreakBefore/>
      </w:pPr>
      <w:r>
        <w:t>2 先固定形状 再定义损失梯度G</w:t>
      </w:r>
    </w:p>
    <w:p>
      <w:r>
        <w:rPr>
          <w:rFonts w:ascii="Calibri" w:hAnsi="Calibri" w:eastAsia="宋体"/>
          <w:color w:val="000000"/>
        </w:rPr>
        <w:t>以下统一使用列向量：输入x有d个分量，输出y有k个分量，底座线性权重W₀的形状为k×d。适配器A先把输入映到r维，B再映回k维。原文在不同位置交换d₁/d₂记号，阅读时以乘法形状为准。本报告用D表示有效权重增量，用δD表示一次优化带来的变化，避免把“增量矩阵”和“增量的变化”都写成ΔW。</w:t>
      </w:r>
    </w:p>
    <w:p>
      <w:pPr>
        <w:keepNext/>
        <w:keepLines/>
        <w:spacing w:before="60" w:after="140"/>
        <w:jc w:val="center"/>
      </w:pPr>
      <m:oMath>
        <m:r>
          <m:t>y=(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 xml:space="preserve">+D)x+b,   </m:t>
        </m:r>
        <m:r>
          <m:t>A∈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r×d</m:t>
            </m:r>
          </m:sup>
        </m:sSup>
        <m:r>
          <m:t xml:space="preserve">,   </m:t>
        </m:r>
        <m:r>
          <m:t>B∈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k×r</m:t>
            </m:r>
          </m:sup>
        </m:sSup>
        <m:r>
          <m:t xml:space="preserve">,   </m:t>
        </m:r>
        <m:r>
          <m:t>D∈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k×d</m:t>
            </m:r>
          </m:sup>
        </m:sSup>
      </m:oMath>
    </w:p>
    <w:p>
      <w:r>
        <w:rPr>
          <w:rFonts w:ascii="Calibri" w:hAnsi="Calibri" w:eastAsia="宋体"/>
          <w:color w:val="000000"/>
        </w:rPr>
        <w:t>设单样本上游梯度v=∂ℓ/∂y，它已经包含后续网络和损失的链式求导。因为dy=(dD)x，损失微分为vᵀ(dD)x。把标量改写成迹，就能把损失对D的梯度识别为一个外积，而不是将G当作无来源的符号。</w:t>
      </w:r>
    </w:p>
    <w:p>
      <w:pPr>
        <w:keepNext/>
        <w:keepLines/>
        <w:spacing w:before="60" w:after="140"/>
        <w:jc w:val="center"/>
      </w:pPr>
      <m:oMath>
        <m:r>
          <m:t>dℓ=</m:t>
        </m:r>
        <m:sSup>
          <m:e>
            <m:r>
              <m:t>v</m:t>
            </m:r>
          </m:e>
          <m:sup>
            <m:r>
              <m:t>T</m:t>
            </m:r>
          </m:sup>
        </m:sSup>
        <m:r>
          <m:t>(dD)x=tr((v</m:t>
        </m:r>
        <m:sSup>
          <m:e>
            <m:r>
              <m:t>x</m:t>
            </m:r>
          </m:e>
          <m:sup>
            <m:r>
              <m:t>T</m:t>
            </m:r>
          </m:sup>
        </m:sSup>
        <m:sSup>
          <m:e>
            <m:r>
              <m:t>)</m:t>
            </m:r>
          </m:e>
          <m:sup>
            <m:r>
              <m:t>T</m:t>
            </m:r>
          </m:sup>
        </m:sSup>
        <m:r>
          <m:t xml:space="preserve">dD),   </m:t>
        </m:r>
        <m:r>
          <m:t>G=</m:t>
        </m:r>
        <m:sSub>
          <m:e>
            <m:r>
              <m:t>∇</m:t>
            </m:r>
          </m:e>
          <m:sub>
            <m:r>
              <m:t>D</m:t>
            </m:r>
          </m:sub>
        </m:sSub>
        <m:r>
          <m:t>ℓ=v</m:t>
        </m:r>
        <m:sSup>
          <m:e>
            <m:r>
              <m:t>x</m:t>
            </m:r>
          </m:e>
          <m:sup>
            <m:r>
              <m:t>T</m:t>
            </m:r>
          </m:sup>
        </m:sSup>
      </m:oMath>
    </w:p>
    <w:p>
      <w:r>
        <w:rPr>
          <w:rFonts w:ascii="Calibri" w:hAnsi="Calibri" w:eastAsia="宋体"/>
          <w:color w:val="000000"/>
        </w:rPr>
        <w:t>若一批n个样本采用平均损失，则G是这些外积的平均。把输入按列排成X∈Rᵈˣⁿ，把每个未额外平均的上游梯度按列排成V∈Rᵏˣⁿ，可写G=VXᵀ/n。如果V已经由平均损失反传得到，就不能再除一次n；实现和公式必须使用同一种reduction。后续G可代表整个批次，而不局限于秩一的单样本外积。</w:t>
      </w:r>
    </w:p>
    <w:p>
      <w:pPr>
        <w:keepNext/>
        <w:keepLines/>
        <w:spacing w:before="60" w:after="140"/>
        <w:jc w:val="center"/>
      </w:pPr>
      <m:oMath>
        <m:r>
          <m:t>G=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x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k×d</m:t>
            </m:r>
          </m:sup>
        </m:sSup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232"/>
        <w:gridCol w:w="5976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量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形状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x / v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d×1 / k×1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线性层输入 / 上游梯度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G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k×d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损失对有效增量D的梯度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gA / gB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r×d / k×r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对两个可训练因子的梯度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color w:val="000000"/>
        </w:rPr>
        <w:t>W₀被冻结表示优化器不更新它，并不表示该层没有前向或反向计算。G是对有效线性映射的概念梯度，能用于分析适配器的更新。若使用dropout，固定一次随机mask后仍可条件化分析，但x需相应替换为分支实际输入；本轮小矩阵实验直接固定G且没有dropout，下面的首步推导采用这一明确范围。</w:t>
      </w:r>
    </w:p>
    <w:p>
      <w:pPr>
        <w:pStyle w:val="Heading1"/>
        <w:pageBreakBefore/>
      </w:pPr>
      <w:r>
        <w:t>3 从矩阵微分推到精确首步更新</w:t>
      </w:r>
    </w:p>
    <w:p>
      <w:r>
        <w:rPr>
          <w:rFonts w:ascii="Calibri" w:hAnsi="Calibri" w:eastAsia="宋体"/>
          <w:color w:val="000000"/>
        </w:rPr>
        <w:t>Frobenius内积定义为〈U,V〉F=tr(UᵀV)。对D=sBA作微分时，s是本次训练固定的超参数，得到dD=s(dB)A+sB(dA)。再将损失微分写成〈G,dD〉，利用迹的循环置换分别收集dA和dB的系数，可以直接验证梯度形状。</w:t>
      </w:r>
    </w:p>
    <w:p>
      <w:pPr>
        <w:keepNext/>
        <w:keepLines/>
        <w:spacing w:before="60" w:after="140"/>
        <w:jc w:val="center"/>
      </w:pPr>
      <m:oMath>
        <m:r>
          <m:t>d</m:t>
        </m:r>
        <m:r>
          <m:rPr>
            <m:scr m:val="script"/>
          </m:rPr>
          <m:t>L</m:t>
        </m:r>
        <m:r>
          <m:t>=str(A</m:t>
        </m:r>
        <m:sSup>
          <m:e>
            <m:r>
              <m:t>G</m:t>
            </m:r>
          </m:e>
          <m:sup>
            <m:r>
              <m:t>T</m:t>
            </m:r>
          </m:sup>
        </m:sSup>
        <m:r>
          <m:t>dB)+str(</m:t>
        </m:r>
        <m:sSup>
          <m:e>
            <m:r>
              <m:t>G</m:t>
            </m:r>
          </m:e>
          <m:sup>
            <m:r>
              <m:t>T</m:t>
            </m:r>
          </m:sup>
        </m:sSup>
        <m:r>
          <m:t>BdA)</m:t>
        </m:r>
      </m:oMath>
    </w:p>
    <w:p>
      <w:pPr>
        <w:keepNext/>
        <w:keepLines/>
        <w:spacing w:before="60" w:after="140"/>
        <w:jc w:val="center"/>
      </w:pPr>
      <m:oMath>
        <m:sSub>
          <m:e>
            <m:r>
              <m:t>g</m:t>
            </m:r>
          </m:e>
          <m:sub>
            <m:r>
              <m:t>B</m:t>
            </m:r>
          </m:sub>
        </m:sSub>
        <m:r>
          <m:t>=sG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k×r</m:t>
            </m:r>
          </m:sup>
        </m:sSup>
        <m:r>
          <m:t xml:space="preserve">,   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t>=s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G∈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r×d</m:t>
            </m:r>
          </m:sup>
        </m:sSup>
      </m:oMath>
    </w:p>
    <w:p>
      <w:r>
        <w:rPr>
          <w:rFonts w:ascii="Calibri" w:hAnsi="Calibri" w:eastAsia="宋体"/>
          <w:color w:val="000000"/>
        </w:rPr>
        <w:t>标准初始化取B₀=0、A₀随机，因此D₀=0，初始函数保留底座行为。此时gA,₀为零，而gB,₀通常非零。随机A不是“没有作用”：它通过A₀ᵀ决定B第一步能够看到哪些方向。若A和B同时为零，两条普通梯度路径都为零，适配器无法靠这种更新自行启动。</w:t>
      </w:r>
    </w:p>
    <w:p>
      <w:pPr>
        <w:keepNext/>
        <w:keepLines/>
        <w:spacing w:before="60" w:after="140"/>
        <w:jc w:val="center"/>
      </w:pPr>
      <m:oMath>
        <m:sSub>
          <m:e>
            <m:r>
              <m:t>B</m:t>
            </m:r>
          </m:e>
          <m:sub>
            <m:r>
              <m:t>0</m:t>
            </m:r>
          </m:sub>
        </m:sSub>
        <m:r>
          <m:t>=0⇒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t xml:space="preserve">=0,   </m:t>
        </m:r>
        <m:sSub>
          <m:e>
            <m:r>
              <m:t>g</m:t>
            </m:r>
          </m:e>
          <m:sub>
            <m:r>
              <m:t xml:space="preserve">A,   0</m:t>
            </m:r>
          </m:sub>
        </m:sSub>
        <m:r>
          <m:t xml:space="preserve">=0,   </m:t>
        </m:r>
        <m:sSub>
          <m:e>
            <m:r>
              <m:t>g</m:t>
            </m:r>
          </m:e>
          <m:sub>
            <m:r>
              <m:t xml:space="preserve">B,   0</m:t>
            </m:r>
          </m:sub>
        </m:sSub>
        <m:r>
          <m:t>=sG</m:t>
        </m:r>
        <m:sSubSup>
          <m:e>
            <m:r>
              <m:t>A</m:t>
            </m:r>
          </m:e>
          <m:sub>
            <m:r>
              <m:t>0</m:t>
            </m:r>
          </m:sub>
          <m:sup>
            <m:r>
              <m:t>T</m:t>
            </m:r>
          </m:sup>
        </m:sSubSup>
      </m:oMath>
    </w:p>
    <w:p>
      <w:r>
        <w:rPr>
          <w:rFonts w:ascii="Calibri" w:hAnsi="Calibri" w:eastAsia="宋体"/>
          <w:color w:val="000000"/>
        </w:rPr>
        <w:t>现在限定一个同时执行的普通SGD步：先在旧参数上计算两条梯度，再更新A/B；无动量、无权重衰减、无梯度裁剪。ηA和ηB可以不同，但由于首步gA,₀=0，A₁=A₀，只有ηB进入D₁。若先更新B再重算A梯度，那已经是另一种交替算法，不适用下面的等式。</w:t>
      </w:r>
    </w:p>
    <w:p>
      <w:pPr>
        <w:keepNext/>
        <w:keepLines/>
        <w:spacing w:before="60" w:after="140"/>
        <w:jc w:val="center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t xml:space="preserve">,   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=−</m:t>
        </m:r>
        <m:sSub>
          <m:e>
            <m:r>
              <m:t>η</m:t>
            </m:r>
          </m:e>
          <m:sub>
            <m:r>
              <m:t>B</m:t>
            </m:r>
          </m:sub>
        </m:sSub>
        <m:r>
          <m:t>sG</m:t>
        </m:r>
        <m:sSubSup>
          <m:e>
            <m:r>
              <m:t>A</m:t>
            </m:r>
          </m:e>
          <m:sub>
            <m:r>
              <m:t>0</m:t>
            </m:r>
          </m:sub>
          <m:sup>
            <m:r>
              <m:t>T</m:t>
            </m:r>
          </m:sup>
        </m:sSubSup>
        <m:r>
          <m:t xml:space="preserve">,   </m:t>
        </m:r>
        <m:r>
          <m:t>δ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=−</m:t>
        </m:r>
        <m:sSub>
          <m:e>
            <m:r>
              <m:t>η</m:t>
            </m:r>
          </m:e>
          <m:sub>
            <m:r>
              <m:t>B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r>
          <m:t>G</m:t>
        </m:r>
        <m:sSubSup>
          <m:e>
            <m:r>
              <m:t>A</m:t>
            </m:r>
          </m:e>
          <m:sub>
            <m:r>
              <m:t>0</m:t>
            </m:r>
          </m:sub>
          <m:sup>
            <m:r>
              <m:t>T</m:t>
            </m:r>
          </m:sup>
        </m:sSubSup>
        <m:sSub>
          <m:e>
            <m:r>
              <m:t>A</m:t>
            </m:r>
          </m:e>
          <m:sub>
            <m:r>
              <m:t>0</m:t>
            </m:r>
          </m:sub>
        </m:sSub>
      </m:oMath>
    </w:p>
    <w:p>
      <w:r>
        <w:rPr>
          <w:rFonts w:ascii="Calibri" w:hAnsi="Calibri" w:eastAsia="宋体"/>
          <w:color w:val="000000"/>
        </w:rPr>
        <w:t>s出现两次：一次来自反向计算gB，另一次来自把B₁A₀映回有效权重D₁。只看前向的s或只看参数学习率ηB，都会漏掉这个关系。首步更新还带着A₀ᵀA₀这一随机方向矩阵，因此单次更新一般不是G的纯标量倍数；取初始化期望之后才会出现各向同性的平均结果。</w:t>
      </w:r>
    </w:p>
    <w:p>
      <w:r>
        <w:rPr>
          <w:rFonts w:ascii="Calibri" w:hAnsi="Calibri" w:eastAsia="宋体"/>
          <w:color w:val="000000"/>
        </w:rPr>
        <w:t>即使与负梯度方向的投影为正，也不能保证一次有限学习率后真实损失必然下降：损失的二阶曲率项可能占主导。下一页定义的投影下降量是局部一阶学习信号，适用于解释缩放；它不等同于实际loss差、准确率或多步收敛保证。</w:t>
      </w:r>
    </w:p>
    <w:p>
      <w:pPr>
        <w:pStyle w:val="Heading1"/>
        <w:pageBreakBefore/>
      </w:pPr>
      <w:r>
        <w:t>4 初始化期望 为什么出现s²r</w:t>
      </w:r>
    </w:p>
    <w:p>
      <w:r>
        <w:rPr>
          <w:rFonts w:ascii="Calibri" w:hAnsi="Calibri" w:eastAsia="宋体"/>
          <w:color w:val="000000"/>
        </w:rPr>
        <w:t>设A₀的元素独立、均值为0、方差为σA²，且这个方差不随r改变。对输入维索引i,j，把A₀ᵀA₀展开成r项之和：同一列的平方期望为σA²，不同列的交叉乘积期望为0。因此它的期望是rσA²倍单位阵。这里只需独立、零均值和有限二阶矩，不要求高斯。</w:t>
      </w:r>
    </w:p>
    <w:p>
      <w:pPr>
        <w:keepNext/>
        <w:keepLines/>
        <w:spacing w:before="60" w:after="140"/>
        <w:jc w:val="center"/>
      </w:pPr>
      <m:oMath>
        <m:r>
          <m:rPr>
            <m:scr m:val="double-struck"/>
            <m:sty m:val="p"/>
          </m:rPr>
          <m:t>E</m:t>
        </m:r>
        <m:r>
          <m:t>[(</m:t>
        </m:r>
        <m:sSubSup>
          <m:e>
            <m:r>
              <m:t>A</m:t>
            </m:r>
          </m:e>
          <m:sub>
            <m:r>
              <m:t>0</m:t>
            </m:r>
          </m:sub>
          <m:sup>
            <m:r>
              <m:t>T</m:t>
            </m:r>
          </m:sup>
        </m:sSubSup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)</m:t>
            </m:r>
          </m:e>
          <m:sub>
            <m:r>
              <m:t>ij</m:t>
            </m:r>
          </m:sub>
        </m:sSub>
        <m:r>
          <m:t>]=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a=1</m:t>
            </m:r>
          </m:sub>
          <m:sup>
            <m:r>
              <m:t>r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[</m:t>
            </m:r>
          </m:e>
        </m:nary>
        <m:sSub>
          <m:e>
            <m:r>
              <m:t>A</m:t>
            </m:r>
          </m:e>
          <m:sub>
            <m:r>
              <m:t>ai</m:t>
            </m:r>
          </m:sub>
        </m:sSub>
        <m:sSub>
          <m:e>
            <m:r>
              <m:t>A</m:t>
            </m:r>
          </m:e>
          <m:sub>
            <m:r>
              <m:t>aj</m:t>
            </m:r>
          </m:sub>
        </m:sSub>
        <m:r>
          <m:t>]=r</m:t>
        </m:r>
        <m:sSubSup>
          <m:e>
            <m:r>
              <m:t>σ</m:t>
            </m:r>
          </m:e>
          <m:sub>
            <m:r>
              <m:t>A</m:t>
            </m:r>
          </m:sub>
          <m:sup>
            <m:r>
              <m:t>2</m:t>
            </m:r>
          </m:sup>
        </m:sSubSup>
        <m:sSub>
          <m:e>
            <m:r>
              <m:t>δ</m:t>
            </m:r>
          </m:e>
          <m:sub>
            <m:r>
              <m:t>ij</m:t>
            </m:r>
          </m:sub>
        </m:sSub>
      </m:oMath>
    </w:p>
    <w:p>
      <w:pPr>
        <w:keepNext/>
        <w:keepLines/>
        <w:spacing w:before="60" w:after="140"/>
        <w:jc w:val="center"/>
      </w:pPr>
      <m:oMath>
        <m:r>
          <m:rPr>
            <m:scr m:val="double-struck"/>
            <m:sty m:val="p"/>
          </m:rPr>
          <m:t>E</m:t>
        </m:r>
        <m:r>
          <m:t>[</m:t>
        </m:r>
        <m:sSubSup>
          <m:e>
            <m:r>
              <m:t>A</m:t>
            </m:r>
          </m:e>
          <m:sub>
            <m:r>
              <m:t>0</m:t>
            </m:r>
          </m:sub>
          <m:sup>
            <m:r>
              <m:t>T</m:t>
            </m:r>
          </m:sup>
        </m:sSubSup>
        <m:sSub>
          <m:e>
            <m:r>
              <m:t>A</m:t>
            </m:r>
          </m:e>
          <m:sub>
            <m:r>
              <m:t>0</m:t>
            </m:r>
          </m:sub>
        </m:sSub>
        <m:r>
          <m:t>]=r</m:t>
        </m:r>
        <m:sSubSup>
          <m:e>
            <m:r>
              <m:t>σ</m:t>
            </m:r>
          </m:e>
          <m:sub>
            <m:r>
              <m:t>A</m:t>
            </m:r>
          </m:sub>
          <m:sup>
            <m:r>
              <m:t>2</m:t>
            </m:r>
          </m:sup>
        </m:sSubSup>
        <m:sSub>
          <m:e>
            <m:r>
              <m:t>I</m:t>
            </m:r>
          </m:e>
          <m:sub>
            <m:r>
              <m:t>d</m:t>
            </m:r>
          </m:sub>
        </m:sSub>
        <m:r>
          <m:t xml:space="preserve">,   </m:t>
        </m:r>
        <m:r>
          <m:rPr>
            <m:scr m:val="double-struck"/>
            <m:sty m:val="p"/>
          </m:rPr>
          <m:t>E</m:t>
        </m:r>
        <m: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sSubSup>
          <m:e>
            <m:r>
              <m:t>A</m:t>
            </m:r>
          </m:e>
          <m:sub>
            <m:r>
              <m:t>0</m:t>
            </m:r>
          </m:sub>
          <m:sup>
            <m:r>
              <m:t>T</m:t>
            </m:r>
          </m:sup>
        </m:sSubSup>
        <m:r>
          <m:t>]=d</m:t>
        </m:r>
        <m:sSubSup>
          <m:e>
            <m:r>
              <m:t>σ</m:t>
            </m:r>
          </m:e>
          <m:sub>
            <m:r>
              <m:t>A</m:t>
            </m:r>
          </m:sub>
          <m:sup>
            <m:r>
              <m:t>2</m:t>
            </m:r>
          </m:sup>
        </m:sSubSup>
        <m:sSub>
          <m:e>
            <m:r>
              <m:t>I</m:t>
            </m:r>
          </m:e>
          <m:sub>
            <m:r>
              <m:t>r</m:t>
            </m:r>
          </m:sub>
        </m:sSub>
      </m:oMath>
    </w:p>
    <w:p>
      <w:r>
        <w:rPr>
          <w:rFonts w:ascii="Calibri" w:hAnsi="Calibri" w:eastAsia="宋体"/>
          <w:color w:val="000000"/>
        </w:rPr>
        <w:t>这两个期望都正确，但本报告的A是r×d，首步式右侧出现的是A₀ᵀA₀，所以有效更新对应r倍系数。若使用相反的A/B命名约定，需连同形状一起交换，不能机械套用E[AAᵀ]。再要求G固定且独立于A₀，才能把G从初始化期望中移出。</w:t>
      </w:r>
    </w:p>
    <w:p>
      <w:pPr>
        <w:keepNext/>
        <w:keepLines/>
        <w:spacing w:before="60" w:after="140"/>
        <w:jc w:val="center"/>
      </w:pPr>
      <m:oMath>
        <m:r>
          <m:rPr>
            <m:scr m:val="double-struck"/>
            <m:sty m:val="p"/>
          </m:rPr>
          <m:t>E</m:t>
        </m:r>
        <m: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]=−</m:t>
        </m:r>
        <m:sSub>
          <m:e>
            <m:r>
              <m:t>η</m:t>
            </m:r>
          </m:e>
          <m:sub>
            <m:r>
              <m:t>B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r>
          <m:t>r</m:t>
        </m:r>
        <m:sSubSup>
          <m:e>
            <m:r>
              <m:t>σ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G</m:t>
        </m:r>
      </m:oMath>
    </w:p>
    <w:p>
      <w:r>
        <w:rPr>
          <w:rFonts w:ascii="Calibri" w:hAnsi="Calibri" w:eastAsia="宋体"/>
          <w:color w:val="000000"/>
        </w:rPr>
        <w:t>当B₀为零，并固定底座、分类头、批次及其他随机流时，初始输出与A₀无关，首步G可以满足这一独立性。本轮矩阵实验更直接把G固定。训练后G通常随A₀产生的轨迹变化，不能将这个条件自动延长到每一步。原文用σA表示方差；本报告统一用σA²表示方差，避免把方差再次平方。</w:t>
      </w:r>
    </w:p>
    <w:p>
      <w:pPr>
        <w:keepNext/>
        <w:keepLines/>
        <w:spacing w:before="60" w:after="140"/>
        <w:jc w:val="center"/>
      </w:pPr>
      <m:oMath>
        <m:r>
          <m:t>q=−</m:t>
        </m:r>
        <m:f>
          <m:fPr>
            <m:type m:val="bar"/>
          </m:fPr>
          <m:num>
            <m:r>
              <m:t>⟨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 xml:space="preserve">,   G</m:t>
            </m:r>
            <m:sSub>
              <m:e>
                <m:r>
                  <m:t>⟩</m:t>
                </m:r>
              </m:e>
              <m:sub>
                <m:r>
                  <m:t>F</m:t>
                </m:r>
              </m:sub>
            </m:sSub>
          </m:num>
          <m:den>
            <m:sSubSup>
              <m:e>
                <m:d>
                  <m:dPr>
                    <m:begChr m:val="‖"/>
                    <m:sepChr m:val=""/>
                    <m:endChr m:val="‖"/>
                  </m:dPr>
                  <m:e>
                    <m:r>
                      <m:t>G</m:t>
                    </m:r>
                  </m:e>
                </m:d>
              </m:e>
              <m:sub>
                <m:r>
                  <m:t>F</m:t>
                </m:r>
              </m:sub>
              <m:sup>
                <m:r>
                  <m:t>2</m:t>
                </m:r>
              </m:sup>
            </m:sSubSup>
          </m:den>
        </m:f>
        <m:r>
          <m:t xml:space="preserve">,   </m:t>
        </m:r>
        <m:r>
          <m:rPr>
            <m:scr m:val="double-struck"/>
            <m:sty m:val="p"/>
          </m:rPr>
          <m:t>E</m:t>
        </m:r>
        <m:r>
          <m:t>[q]=</m:t>
        </m:r>
        <m:sSub>
          <m:e>
            <m:r>
              <m:t>η</m:t>
            </m:r>
          </m:e>
          <m:sub>
            <m:r>
              <m:t>B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r>
          <m:t>r</m:t>
        </m:r>
        <m:sSubSup>
          <m:e>
            <m:r>
              <m:t>σ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t>(G≠0)</m:t>
        </m:r>
      </m:oMath>
    </w:p>
    <w:p>
      <w:r>
        <w:rPr>
          <w:rFonts w:ascii="Calibri" w:hAnsi="Calibri" w:eastAsia="宋体"/>
          <w:color w:val="000000"/>
        </w:rPr>
        <w:t>固定ηB和方差时，s=c/r使平均投影按1/r衰减，s=c/√r使其保持常数量级，固定s则使其随r增长。参数梯度也有E[‖gB,₀‖F²]=s²rσA²‖G‖F²，因而可以把作者关心的梯度尺度与有效更新联系起来。但矩阵期望、范数期望、范数平方期望和本页的投影统计是不同对象，不能用某一个的稳定替代其他所有稳定。</w:t>
      </w:r>
    </w:p>
    <w:p>
      <w:r>
        <w:rPr>
          <w:rFonts w:ascii="Calibri" w:hAnsi="Calibri" w:eastAsia="宋体"/>
          <w:color w:val="000000"/>
        </w:rPr>
        <w:t>实际解释应是“在这些条件下，增大r不再额外压小首步平均学习信号”。它没有保证每次抽样的方向相同，也没有说明更大r一定学到更好的特征；后一问题需要受控任务实验。</w:t>
      </w:r>
    </w:p>
    <w:p>
      <w:pPr>
        <w:pStyle w:val="Heading1"/>
        <w:pageBreakBefore/>
      </w:pPr>
      <w:r>
        <w:t>5 作者理论 渐近尺度与证明阅读边界</w:t>
      </w:r>
    </w:p>
    <w:p>
      <w:r>
        <w:rPr>
          <w:rFonts w:ascii="Calibri" w:hAnsi="Calibri" w:eastAsia="宋体"/>
          <w:color w:val="000000"/>
        </w:rPr>
        <w:t>原文定义3.1用两个条件描述rank稳定：当适配器输入各分量的m阶矩保持Θr(1)，输出相应矩也应保持该量级；当适配器输出端的损失梯度保持Θr(1)，传到输入端的梯度也应如此。Theorem 3.2以初始化期望为对象，在B零初始化、A元素iid零均值且方差与r无关、缩放趋于0等假设下，提出s应为Θr(r⁻¹ᐟ²)。</w:t>
      </w:r>
    </w:p>
    <w:p>
      <w:pPr>
        <w:keepNext/>
        <w:keepLines/>
        <w:spacing w:before="60" w:after="140"/>
        <w:jc w:val="center"/>
      </w:pPr>
      <m:oMath>
        <m:r>
          <m:t xml:space="preserve">s(r)→0,   </m:t>
        </m:r>
        <m:r>
          <m:t>s(r)∈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t>(</m:t>
        </m:r>
        <m:sSup>
          <m:e>
            <m:r>
              <m:t>r</m:t>
            </m:r>
          </m:e>
          <m:sup>
            <m:r>
              <m:t>−1/2</m:t>
            </m:r>
          </m:sup>
        </m:sSup>
        <m:r>
          <m:t>)</m:t>
        </m:r>
      </m:oMath>
    </w:p>
    <w:p>
      <w:r>
        <w:rPr>
          <w:rFonts w:ascii="Calibri" w:hAnsi="Calibri" w:eastAsia="宋体"/>
          <w:color w:val="000000"/>
        </w:rPr>
        <w:t>Θ不是某个唯一常数，而是存在与r无关的正上下界，使足够大的r满足c/√r≤s(r)≤C/√r。该命题讨论rank趋于无穷时的量级，不给有限r的准确率排序，也不意味着本地固定尺度控制组s=2属于定理的前提。底座输入和输出维度在这里固定，适配器内部宽度r增长；它与底座无限宽是不同极限。</w:t>
      </w:r>
    </w:p>
    <w:p>
      <w:r>
        <w:rPr>
          <w:rFonts w:ascii="Calibri" w:hAnsi="Calibri" w:eastAsia="宋体"/>
          <w:color w:val="000000"/>
        </w:rPr>
        <w:t>附录A明确从SGD更新展开：B在领先阶累积历史梯度外积，A偏离A₀的变化进入高阶项，有效增量的领先系数为s²r。理解其论证时，应按有限固定步数n考察渐近阶，并要求输入、输出梯度和余项的界在所考察范围内受控；不能额外声称它覆盖步数随r增长的长时间极限、任意自适应优化器或任意特征分布。</w:t>
      </w:r>
    </w:p>
    <w:p>
      <w:pPr>
        <w:keepNext/>
        <w:keepLines/>
        <w:spacing w:before="60" w:after="140"/>
        <w:jc w:val="center"/>
      </w:pP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r=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t xml:space="preserve">(1),   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t>r=(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r)s→0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77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阅读检查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需要明确的对象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零初始化时刻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D₀恒为0；非退化Θ下界须说明适用时点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矩与抵消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原始奇数矩可能因对称性为0；与绝对矩、偶数矩区别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轨迹依赖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历史梯度依赖初始化；不能无条件移出期望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稳定与收益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量级受控不保证更好特征或更高任务分数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color w:val="000000"/>
        </w:rPr>
        <w:t>这些是精读时需要追问的证明细节。本报告没有逐一补足附录所有混合矩与余项条件，也不据此宣布原证明失效；可直接核验的是前两页的条件化首步推导。作者同样在第3节提示，学习特征质量若随rank改变，会影响梯度假设，实际收益仍需实验检验。原论文AdamW的实验支持与附录SGD的数学论证应分别阅读。</w:t>
      </w:r>
    </w:p>
    <w:p>
      <w:pPr>
        <w:pStyle w:val="Heading1"/>
        <w:pageBreakBefore/>
      </w:pPr>
      <w:r>
        <w:t>6 初始化 波动与实际矩阵秩</w:t>
      </w:r>
    </w:p>
    <w:p>
      <w:r>
        <w:rPr>
          <w:rFonts w:ascii="Calibri" w:hAnsi="Calibri" w:eastAsia="宋体"/>
          <w:color w:val="000000"/>
        </w:rPr>
        <w:t>缩放与初始化构成一个联合方案。若把A改成Ã/√r，元素方差就由σ₀²变成σ₀²/r，首步系数变为ηBs²σ₀²：固定s此时可稳定均值，rs的1/√r反而让这个局部均值按1/r衰减。这没有推翻上一页命题，因为已经改变“A方差不随r变化”的假设。只改初始化也不能据首步结果保证整个训练稳定。</w:t>
      </w:r>
    </w:p>
    <w:p>
      <w:pPr>
        <w:keepNext/>
        <w:keepLines/>
        <w:spacing w:before="60" w:after="140"/>
        <w:jc w:val="center"/>
      </w:pPr>
      <m:oMath>
        <m:r>
          <m:t>Var(</m:t>
        </m:r>
        <m:sSub>
          <m:e>
            <m:r>
              <m:t>A</m:t>
            </m:r>
          </m:e>
          <m:sub>
            <m:r>
              <m:t>ij</m:t>
            </m:r>
          </m:sub>
        </m:sSub>
        <m:r>
          <m:t>)=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/r⇒</m:t>
        </m:r>
        <m:r>
          <m:rPr>
            <m:scr m:val="double-struck"/>
            <m:sty m:val="p"/>
          </m:rPr>
          <m:t>E</m:t>
        </m:r>
        <m:r>
          <m:t>[q]=</m:t>
        </m:r>
        <m:sSub>
          <m:e>
            <m:r>
              <m:t>η</m:t>
            </m:r>
          </m:e>
          <m:sub>
            <m:r>
              <m:t>B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</w:p>
    <w:p>
      <w:r>
        <w:rPr>
          <w:rFonts w:ascii="Calibri" w:hAnsi="Calibri" w:eastAsia="宋体"/>
          <w:color w:val="000000"/>
        </w:rPr>
        <w:t>均值受控仍不等于抽样无波动。为得到可写出的二阶结果，额外假设A元素为独立高斯，令M=AᵀA−rσA²Id。把AᵀA写成r个行向量外积之和，中心化后不同独立行的交叉项期望为0；再用高斯四阶矩得到下面的公式。相对偏差式另要求ηB、s和σA²均为正，保证分母非零。这是本报告的补充推导，不是新BERT实验。</w:t>
      </w:r>
    </w:p>
    <w:p>
      <w:pPr>
        <w:keepNext/>
        <w:keepLines/>
        <w:spacing w:before="60" w:after="140"/>
        <w:jc w:val="center"/>
      </w:pPr>
      <m:oMath>
        <m:r>
          <m:rPr>
            <m:scr m:val="double-struck"/>
            <m:sty m:val="p"/>
          </m:rPr>
          <m:t>E</m:t>
        </m:r>
        <m:r>
          <m:t>[</m:t>
        </m:r>
        <m:sSubSup>
          <m:e>
            <m:d>
              <m:dPr>
                <m:begChr m:val="‖"/>
                <m:sepChr m:val=""/>
                <m:endChr m:val="‖"/>
              </m:dPr>
              <m:e>
                <m:r>
                  <m:t>G</m:t>
                </m:r>
                <m:r>
                  <m:t>M</m:t>
                </m:r>
              </m:e>
            </m:d>
          </m:e>
          <m:sub>
            <m:r>
              <m:t>F</m:t>
            </m:r>
          </m:sub>
          <m:sup>
            <m:r>
              <m:t>2</m:t>
            </m:r>
          </m:sup>
        </m:sSubSup>
        <m:r>
          <m:t>]=r</m:t>
        </m:r>
        <m:sSubSup>
          <m:e>
            <m:r>
              <m:t>σ</m:t>
            </m:r>
          </m:e>
          <m:sub>
            <m:r>
              <m:t>A</m:t>
            </m:r>
          </m:sub>
          <m:sup>
            <m:r>
              <m:t>4</m:t>
            </m:r>
          </m:sup>
        </m:sSubSup>
        <m:r>
          <m:t>(d+1)</m:t>
        </m:r>
        <m:sSubSup>
          <m:e>
            <m:d>
              <m:dPr>
                <m:begChr m:val="‖"/>
                <m:sepChr m:val=""/>
                <m:endChr m:val="‖"/>
              </m:dPr>
              <m:e>
                <m:r>
                  <m:t>G</m:t>
                </m:r>
              </m:e>
            </m:d>
          </m:e>
          <m:sub>
            <m:r>
              <m:t>F</m:t>
            </m:r>
          </m:sub>
          <m:sup>
            <m:r>
              <m:t>2</m:t>
            </m:r>
          </m:sup>
        </m:sSubSup>
      </m:oMath>
    </w:p>
    <w:p>
      <w:pPr>
        <w:keepNext/>
        <w:keepLines/>
        <w:spacing w:before="60" w:after="140"/>
        <w:jc w:val="center"/>
      </w:pPr>
      <m:oMath>
        <m:f>
          <m:fPr>
            <m:type m:val="bar"/>
          </m:fPr>
          <m:num>
            <m:r>
              <m:rPr>
                <m:scr m:val="double-struck"/>
                <m:sty m:val="p"/>
              </m:rPr>
              <m:t>E</m:t>
            </m:r>
            <m:r>
              <m:t>[</m:t>
            </m:r>
            <m:sSubSup>
              <m:e>
                <m:d>
                  <m:dPr>
                    <m:begChr m:val="‖"/>
                    <m:sepChr m:val="−"/>
                    <m:endChr m:val="‖"/>
                  </m:dP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b>
                <m:r>
                  <m:t>F</m:t>
                </m:r>
              </m:sub>
              <m:sup>
                <m:r>
                  <m:t>2</m:t>
                </m:r>
              </m:sup>
            </m:sSubSup>
            <m:r>
              <m:t>]</m:t>
            </m:r>
          </m:num>
          <m:den>
            <m:sSubSup>
              <m:e>
                <m:d>
                  <m:dPr>
                    <m:begChr m:val="‖"/>
                    <m:sepChr m:val=""/>
                    <m:endChr m:val="‖"/>
                  </m:dP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b>
                <m:r>
                  <m:t>F</m:t>
                </m:r>
              </m:sub>
              <m:sup>
                <m:r>
                  <m:t>2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r>
              <m:t>d+1</m:t>
            </m:r>
          </m:num>
          <m:den>
            <m:r>
              <m:t>r</m:t>
            </m:r>
          </m:den>
        </m:f>
        <m:r>
          <m:t>(G≠0)</m:t>
        </m:r>
      </m:oMath>
    </w:p>
    <w:p>
      <w:r>
        <w:rPr>
          <w:rFonts w:ascii="Calibri" w:hAnsi="Calibri" w:eastAsia="宋体"/>
          <w:color w:val="000000"/>
        </w:rPr>
        <w:t>因此在固定d下，平均方向的相对波动可随r下降，但高斯结论不能直接当作本轮均匀初始化实验已验证的统计。改变四阶矩会影响波动，二阶矩相同只保证相同的首步平均系数。本轮新矩阵实验采用均匀分布，使用它检查首步恒等式和平均投影；没有额外执行高斯波动验证。</w:t>
      </w:r>
    </w:p>
    <w:p>
      <w:pPr>
        <w:keepNext/>
        <w:keepLines/>
        <w:spacing w:before="60" w:after="140"/>
        <w:jc w:val="center"/>
      </w:pPr>
      <m:oMath>
        <m:r>
          <m:t xml:space="preserve">rank(D)≤min(r,   d,   k),   </m:t>
        </m:r>
        <m:sSub>
          <m:e>
            <m:r>
              <m:t>N</m:t>
            </m:r>
          </m:e>
          <m:sub>
            <m:r>
              <m:t>factor</m:t>
            </m:r>
          </m:sub>
        </m:sSub>
        <m:r>
          <m:t>=r(d+k)</m:t>
        </m:r>
      </m:oMath>
    </w:p>
    <w:p>
      <w:r>
        <w:rPr>
          <w:rFonts w:ascii="Calibri" w:hAnsi="Calibri" w:eastAsia="宋体"/>
          <w:color w:val="000000"/>
        </w:rPr>
        <w:t>本轮矩阵输出为8×32，故有效D的实际秩最多为8。r=32或128表示内部因子宽度，不表示产生rank32或rank128的有效更新。继续增加r仍能改变过参数化表示、初始化统计和优化路径，但不能突破矩阵形状规定的表达秩上限。实际谱是否达到上限还需计算，不能只靠r推断。</w:t>
      </w:r>
    </w:p>
    <w:p>
      <w:r>
        <w:rPr>
          <w:rFonts w:ascii="Calibri" w:hAnsi="Calibri" w:eastAsia="宋体"/>
          <w:color w:val="000000"/>
        </w:rPr>
        <w:t>原论文附录B.3也考察只缩放初始化：高rank可出现初始梯度相近而后续训练不稳定的情况。其意义是提醒我们检查整套初始化、缩放和更新，而非把任何首步配平视为完整训练等价。下一页将看到，即使相同初始化，自适应优化器也改变了有效更新对s的依赖。</w:t>
      </w:r>
    </w:p>
    <w:p>
      <w:pPr>
        <w:pStyle w:val="Heading1"/>
        <w:pageBreakBefore/>
      </w:pPr>
      <w:r>
        <w:t>7 fresh Adam 归一化为何改变缩放规律</w:t>
      </w:r>
    </w:p>
    <w:p>
      <w:r>
        <w:rPr>
          <w:rFonts w:ascii="Calibri" w:hAnsi="Calibri" w:eastAsia="宋体"/>
          <w:color w:val="000000"/>
        </w:rPr>
        <w:t>取一个标量梯度g，Adam在零初始一二阶矩的第一个正学习率步中，m₁=(1−β₁)g、v₁=(1−β₂)g²。偏差校正后分别成为g与g²，所以参数更新为−ηg/(|g|+ε)。这里的fresh指优化器状态全零，epsilon放在平方根之后，且没有衰减或裁剪。它不是带已有动量历史的任意AdamW步。</w:t>
      </w:r>
    </w:p>
    <w:p>
      <w:pPr>
        <w:keepNext/>
        <w:keepLines/>
        <w:spacing w:before="60" w:after="140"/>
        <w:jc w:val="center"/>
      </w:pPr>
      <m:oMath>
        <m:sSub>
          <m:e>
            <m:limUpp>
              <m:e>
                <m:r>
                  <m:t>m</m:t>
                </m:r>
              </m:e>
              <m:lim>
                <m:r>
                  <m:t>^</m:t>
                </m:r>
              </m:lim>
            </m:limUpp>
          </m:e>
          <m:sub>
            <m:r>
              <m:t>1</m:t>
            </m:r>
          </m:sub>
        </m:sSub>
        <m:r>
          <m:t xml:space="preserve">=g,   </m:t>
        </m:r>
        <m:sSub>
          <m:e>
            <m:limUpp>
              <m:e>
                <m:r>
                  <m:t>v</m:t>
                </m:r>
              </m:e>
              <m:lim>
                <m:r>
                  <m:t>^</m:t>
                </m:r>
              </m:lim>
            </m:limUpp>
          </m:e>
          <m:sub>
            <m:r>
              <m:t>1</m:t>
            </m:r>
          </m:sub>
        </m:sSub>
        <m: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t xml:space="preserve">,   </m:t>
        </m:r>
        <m:r>
          <m:t>δθ=−η</m:t>
        </m:r>
        <m:f>
          <m:fPr>
            <m:type m:val="bar"/>
          </m:fPr>
          <m:num>
            <m:r>
              <m:t>g</m:t>
            </m:r>
          </m:num>
          <m:den>
            <m:r>
              <m:t>|g|+ϵ</m:t>
            </m:r>
          </m:den>
        </m:f>
      </m:oMath>
    </w:p>
    <w:p>
      <w:r>
        <w:rPr>
          <w:rFonts w:ascii="Calibri" w:hAnsi="Calibri" w:eastAsia="宋体"/>
          <w:color w:val="000000"/>
        </w:rPr>
        <w:t>在B₀=0处仍有gA=0，令H=GA₀ᵀ、s&gt;0，则gB=sH。把fresh Adam更新代回D=sBA，得到逐元素分母参与的矩阵表达式。s不能再像SGD那样直接合并成s²乘一个与s无关的Gram矩阵。</w:t>
      </w:r>
    </w:p>
    <w:p>
      <w:pPr>
        <w:keepNext/>
        <w:keepLines/>
        <w:spacing w:before="60" w:after="140"/>
        <w:jc w:val="center"/>
      </w:pPr>
      <m:oMath>
        <m:r>
          <m:t>δB=−</m:t>
        </m:r>
        <m:sSub>
          <m:e>
            <m:r>
              <m:t>η</m:t>
            </m:r>
          </m:e>
          <m:sub>
            <m:r>
              <m:t>B</m:t>
            </m:r>
          </m:sub>
        </m:sSub>
        <m:f>
          <m:fPr>
            <m:type m:val="bar"/>
          </m:fPr>
          <m:num>
            <m:r>
              <m:t>sH</m:t>
            </m:r>
          </m:num>
          <m:den>
            <m:r>
              <m:t>s|H|+ϵ</m:t>
            </m:r>
          </m:den>
        </m:f>
        <m:r>
          <m:t xml:space="preserve">,   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=−</m:t>
        </m:r>
        <m:sSub>
          <m:e>
            <m:r>
              <m:t>η</m:t>
            </m:r>
          </m:e>
          <m:sub>
            <m:r>
              <m:t>B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d>
          <m:dPr>
            <m:sepChr m:val=""/>
          </m:dPr>
          <m:e>
            <m:f>
              <m:fPr>
                <m:type m:val="bar"/>
              </m:fPr>
              <m:num>
                <m:r>
                  <m:t>H</m:t>
                </m:r>
              </m:num>
              <m:den>
                <m:r>
                  <m:t>s|H|+ϵ</m:t>
                </m:r>
              </m:den>
            </m:f>
          </m:e>
        </m:d>
        <m:sSub>
          <m:e>
            <m:r>
              <m:t>A</m:t>
            </m:r>
          </m:e>
          <m:sub>
            <m:r>
              <m:t>0</m:t>
            </m:r>
          </m:sub>
        </m:sSub>
      </m:oMath>
    </w:p>
    <w:p>
      <w:r>
        <w:rPr>
          <w:rFonts w:ascii="Calibri" w:hAnsi="Calibri" w:eastAsia="宋体"/>
          <w:color w:val="000000"/>
        </w:rPr>
        <w:t>若ε远小于s|H|，非零梯度分量近似被符号归一化，δB≈−ηB sign(H)，有效更新外侧只显式剩一个s；但sign(H)与A仍相关，不能再套用E[AᵀA]。若ε远大于s|H|，则D₁≈−(ηB/ε)s²GAᵀA，局部接近放大后的SGD。两者之间还存在不同分量处于不同区间的混合状态。零梯度分量保持零，不能机械用非零分量的近似。</w:t>
      </w:r>
    </w:p>
    <w:p>
      <w:r>
        <w:rPr>
          <w:rFonts w:ascii="Calibri" w:hAnsi="Calibri" w:eastAsia="宋体"/>
          <w:color w:val="000000"/>
        </w:rPr>
        <w:t>在固定有限G和高斯各向同性A的特例中，可进一步得到单个非零输出行g的E[sign(g·a)a]=σA√(2/π)g/‖g‖。小ε极限下，r行贡献使平均更新与s r相关；这解释了为什么rs首步Adam仍可能随宽度增大。该补充推理增加了高斯和近似条件，本轮均匀抽样仅观察到同方向趋势，不把它当作任意Adam的定理。</w:t>
      </w:r>
    </w:p>
    <w:p>
      <w:r>
        <w:rPr>
          <w:rFonts w:ascii="Calibri" w:hAnsi="Calibri" w:eastAsia="宋体"/>
          <w:color w:val="000000"/>
        </w:rPr>
        <w:t>多步普通SGD本身也出现新路径：BΔA、ΔBA和ΔBΔA都参与有效权重变化，梯度还依赖历史轨迹。把A乘c、B除c虽保持当前函数不变，却改变两条参数梯度；相同学习率下下一步通常不同。</w:t>
      </w:r>
    </w:p>
    <w:p>
      <w:pPr>
        <w:keepNext/>
        <w:keepLines/>
        <w:spacing w:before="60" w:after="140"/>
        <w:jc w:val="center"/>
      </w:pPr>
      <m:oMath>
        <m:r>
          <m:t>δD=s(BδA+δBA+δBδA)</m:t>
        </m:r>
      </m:oMath>
    </w:p>
    <w:p>
      <w:r>
        <w:rPr>
          <w:rFonts w:ascii="Calibri" w:hAnsi="Calibri" w:eastAsia="宋体"/>
          <w:color w:val="000000"/>
        </w:rPr>
        <w:t>旧BERT训练首次optimizer调用学习率为0，但Adam矩状态仍更新；后续正学习率时已不是fresh状态。因此新矩阵首步Adam的公式与数值不能直接解释旧BERT全部训练，比较时还应记录epsilon、warmup、裁剪、衰减和参数分组。</w:t>
      </w:r>
    </w:p>
    <w:p>
      <w:pPr>
        <w:pStyle w:val="Heading1"/>
        <w:pageBreakBefore/>
      </w:pPr>
      <w:r>
        <w:t>8 配置落地 实际s alpha接口与去重</w:t>
      </w:r>
    </w:p>
    <w:p>
      <w:r>
        <w:rPr>
          <w:rFonts w:ascii="Calibri" w:hAnsi="Calibri" w:eastAsia="宋体"/>
          <w:color w:val="000000"/>
        </w:rPr>
        <w:t>历史对照选择r=8、s=2作为共同锚点，定义classic=16/r、rs=2√(8/r)、fixed=2。这不是把同一个alpha数值传给三种不同公式。对classic有αc=16；对rs有αrs=2√8；fixed直接固定有效s。比较的是离开共同锚点后缩放曲线的变化，同时rank也改变参数数量。</w:t>
      </w:r>
    </w:p>
    <w:p>
      <w:pPr>
        <w:keepNext/>
        <w:keepLines/>
        <w:spacing w:before="60" w:after="140"/>
        <w:jc w:val="center"/>
      </w:pPr>
      <m:oMath>
        <m:sSub>
          <m:e>
            <m:r>
              <m:t>s</m:t>
            </m:r>
          </m:e>
          <m:sub>
            <m:r>
              <m:t>c</m:t>
            </m:r>
          </m:sub>
        </m:sSub>
        <m:r>
          <m:t xml:space="preserve">=16/r,   </m:t>
        </m:r>
        <m:sSub>
          <m:e>
            <m:r>
              <m:t>s</m:t>
            </m:r>
          </m:e>
          <m:sub>
            <m:r>
              <m:t>rs</m:t>
            </m:r>
          </m:sub>
        </m:sSub>
        <m:r>
          <m:t>=2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8</m:t>
                </m:r>
              </m:num>
              <m:den>
                <m:r>
                  <m:t>r</m:t>
                </m:r>
              </m:den>
            </m:f>
          </m:e>
        </m:rad>
        <m:r>
          <m:t xml:space="preserve">,   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=2</m:t>
        </m:r>
      </m:oMath>
    </w:p>
    <w:p>
      <w:r>
        <w:rPr>
          <w:rFonts w:ascii="Calibri" w:hAnsi="Calibri" w:eastAsia="宋体"/>
          <w:color w:val="000000"/>
        </w:rPr>
        <w:t>旧loralib接口内部总按s=alpha_API/r计算。为实现某个预定s，应传alpha_API=r×s。下面每格依次写“实际s；接口alpha”。例如r32的rs应传32，最终s=1；若误把αrs≈5.657传给旧接口，会得到约0.1768，已经是另一种有效模型。checkpoint必须保存实际s、接口定义和rank，不能仅保存一个含义不明的alph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952"/>
        <w:gridCol w:w="2952"/>
        <w:gridCol w:w="3024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r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classic：s；API α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rs：s；API α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fixed：s；API α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8；16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4；8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2；4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2；16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2；16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2；16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0.5；16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1；32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2；64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color w:val="000000"/>
        </w:rPr>
        <w:t>r8三条逻辑规则在该点是同一个配置，本地共享同一组checkpoint；它们之间差值为0来自别名，不是三次独立实验碰巧一致。三个rank乘三条规则看似九格，去掉r8的两个重复格后只有七个唯一配置；每配置三个seed，共21条固定学习率训练轨迹。</w:t>
      </w:r>
    </w:p>
    <w:p>
      <w:r>
        <w:rPr>
          <w:rFonts w:ascii="Calibri" w:hAnsi="Calibri" w:eastAsia="宋体"/>
          <w:color w:val="000000"/>
        </w:rPr>
        <w:t>历史阶段8沿用这21条，再为七个配置各增加两个学习率、每个三个seed，即42次额外历史尝试。联合候选总数为63，而不是把复用前缀和别名再次累加。本轮rsLoRA项目导入这些原始证据，没有重新进行BERT优化；63还是旧LoRA总台账145次的子集。</w:t>
      </w:r>
    </w:p>
    <w:p>
      <w:r>
        <w:rPr>
          <w:rFonts w:ascii="Calibri" w:hAnsi="Calibri" w:eastAsia="宋体"/>
          <w:color w:val="000000"/>
        </w:rPr>
        <w:t>真实任务使用冻结SST binary句根train2048/dev872、三seed 11/22/33。同rank同seed对照配对初始化、样本顺序和dropout流；跨rank不承诺A逐元素相同。新的小矩阵实验则显式固定G并在每个rank内复用同一基础A，以把缩放和初始化作用拆开。任务控制与矩阵控制回答的问题不同。</w:t>
      </w:r>
    </w:p>
    <w:p>
      <w:r>
        <w:rPr>
          <w:rFonts w:ascii="Calibri" w:hAnsi="Calibri" w:eastAsia="宋体"/>
          <w:color w:val="000000"/>
        </w:rPr>
        <w:t>复现实操的检查顺序是先读取目标层和形状，再确认s=alpha_API/r恢复正确，最后核对配置ID和唯一checkpoint。参数量、显示格数、训练尝试数与独立统计样本数分别计数，能避免在阅读表格时把重复信息当作更多证据。</w:t>
      </w:r>
    </w:p>
    <w:p>
      <w:pPr>
        <w:pStyle w:val="Heading1"/>
        <w:pageBreakBefore/>
      </w:pPr>
      <w:r>
        <w:t>9 历史任务 结果 学习率与失败含义</w:t>
      </w:r>
    </w:p>
    <w:p>
      <w:r>
        <w:rPr>
          <w:rFonts w:ascii="Calibri" w:hAnsi="Calibri" w:eastAsia="宋体"/>
          <w:color w:val="000000"/>
        </w:rPr>
        <w:t>固定学习率.003下的历史dev结果如下，均为三个seed的均值±样本SD。该SD描述固定数据上的训练随机性，不是置信区间，也不代表跨任务不确定性。r2中rs略高于classic，r32中rs较低，当前证据没有支持rs普遍更优。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1008"/>
        <w:gridCol w:w="5976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唯一配置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s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dev Acc 均值±SD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shared_r8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72.36±1.05%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classic_r2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72.86±0.57%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rs_r2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72.94±0.64%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fixed_r2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71.98±0.26%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classic_r32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72.94±0.94%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rs_r32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72.25±0.11%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fixed_r32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72.48±0.90%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color w:val="000000"/>
        </w:rPr>
        <w:t>按同seed配对的rs−classic准确率差，r2为+0.076±0.463个百分点，r32为−0.688±0.980个百分点。配对差的SD不能由两列SD直接相减得到；应先计算每个seed的差，再汇总。任务规模、优化器和rank范围均不同于原论文，因此这些有限结果既不能确认其大模型收益，也不直接否定其渐近机制。</w:t>
      </w:r>
    </w:p>
    <w:p>
      <w:r>
        <w:rPr>
          <w:rFonts w:ascii="Calibri" w:hAnsi="Calibri" w:eastAsia="宋体"/>
          <w:color w:val="000000"/>
        </w:rPr>
        <w:t>联合搜索候选LR为.00075、.003、.012。每个配置按完整三seed组资格，先比较平均dev准确率，再比较平均交叉熵，最后比较LR。只有fixed_r2从.003改选.012，dev准确率由71.980%升至72.515%，配对变化+0.535±0.891个百分点，而平均交叉熵由0.55336变为0.55555。它改善的是选后dev准确率，不是所有指标。</w:t>
      </w:r>
    </w:p>
    <w:p>
      <w:r>
        <w:rPr>
          <w:rFonts w:ascii="Calibri" w:hAnsi="Calibri" w:eastAsia="宋体"/>
          <w:color w:val="000000"/>
        </w:rPr>
        <w:t>63个历史尝试中58合格、5失败。失败指输出有限、argmax不变，但FP32合并前后logits差超过严格1e−5门槛；不是loss NaN或梯度发散。一个配置/LR若未凑齐三条合格seed，就不参与选择，因而失败会改变各配置可用搜索空间。原始停止以及看到失败后的工程续跑修订都保留，不能改写为一次从未调整的预注册实验。</w:t>
      </w:r>
    </w:p>
    <w:p>
      <w:r>
        <w:rPr>
          <w:rFonts w:ascii="Calibri" w:hAnsi="Calibri" w:eastAsia="宋体"/>
          <w:color w:val="000000"/>
        </w:rPr>
        <w:t>dev早已观察且参与LR选择，报告它是探索观察。旧test也在更早LoRA阶段使用过；本项目第5阶段只完成评价边界审计，没有新test。阶段7/8还保留PTB转义斜杠：train17、dev8、旧test14行；与更早dev相比有8/872行token不同，其准确率影响没有另测，跨阶段排名不宜直接拼接。</w:t>
      </w:r>
    </w:p>
    <w:p>
      <w:pPr>
        <w:pStyle w:val="Heading1"/>
        <w:pageBreakBefore/>
      </w:pPr>
      <w:r>
        <w:t>10 本轮新机制 分开缩放 初始化与优化器</w:t>
      </w:r>
    </w:p>
    <w:p>
      <w:r>
        <w:rPr>
          <w:rFonts w:ascii="Calibri" w:hAnsi="Calibri" w:eastAsia="宋体"/>
          <w:color w:val="000000"/>
        </w:rPr>
        <w:t>新增实验固定G∈R⁸ˣ³²、B₀=0、η=.01；r取2、8、32、128。每个rank抽128份基础A，A元素服从U(−1/√32,+1/√32)，基础方差为1/96。对同一基础A配对原始初始化与除以√r的初始化，再组合三条缩放和SGD/fresh Adam两个优化器。512份基础抽样形成1024个初始化实现、6144条逻辑记录；这些共享抽样，不是6144个独立随机样本。</w:t>
      </w:r>
    </w:p>
    <w:p>
      <w:pPr>
        <w:keepNext/>
        <w:keepLines/>
        <w:spacing w:before="60" w:after="140"/>
        <w:jc w:val="center"/>
      </w:pPr>
      <m:oMath>
        <m:r>
          <m:t xml:space="preserve">q=−⟨δD,   G</m:t>
        </m:r>
        <m:sSub>
          <m:e>
            <m:r>
              <m:t>⟩</m:t>
            </m:r>
          </m:e>
          <m:sub>
            <m:r>
              <m:t>F</m:t>
            </m:r>
          </m:sub>
        </m:sSub>
        <m:r>
          <m:t>/</m:t>
        </m:r>
        <m:sSubSup>
          <m:e>
            <m:d>
              <m:dPr>
                <m:begChr m:val="‖"/>
                <m:sepChr m:val=""/>
                <m:endChr m:val="‖"/>
              </m:dPr>
              <m:e>
                <m:r>
                  <m:t>G</m:t>
                </m:r>
              </m:e>
            </m:d>
          </m:e>
          <m:sub>
            <m:r>
              <m:t>F</m:t>
            </m:r>
          </m:sub>
          <m:sup>
            <m:r>
              <m:t>2</m:t>
            </m:r>
          </m:sup>
        </m:sSubSup>
        <m:r>
          <m:t xml:space="preserve">,   </m:t>
        </m:r>
        <m:r>
          <m:rPr>
            <m:scr m:val="double-struck"/>
            <m:sty m:val="p"/>
          </m:rPr>
          <m:t>E</m:t>
        </m:r>
        <m:r>
          <m:t>[</m:t>
        </m:r>
        <m:sSub>
          <m:e>
            <m:r>
              <m:t>q</m:t>
            </m:r>
          </m:e>
          <m:sub>
            <m:r>
              <m:t xml:space="preserve">rs,   SGD</m:t>
            </m:r>
          </m:sub>
        </m:sSub>
        <m:r>
          <m:t>]=0.003333…</m:t>
        </m:r>
      </m:oMath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368480"/>
            <wp:docPr id="1" name="Picture 1" descr="图1 旧矩阵证据重绘：rank独立方差初始化下，首步SGD与fresh Adam的投影下降均值。双对数轴；每rank 128份配对A；只画均值、不画置信区间；重绘未新增实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lora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宋体"/>
          <w:color w:val="000000"/>
          <w:sz w:val="18"/>
        </w:rPr>
        <w:t>图1 旧矩阵证据重绘：rank独立方差初始化下，首步SGD与fresh Adam的投影下降均值。双对数轴；每rank 128份配对A；只画均值、不画置信区间；重绘未新增实验。</w:t>
      </w:r>
    </w:p>
    <w:p>
      <w:r>
        <w:rPr>
          <w:rFonts w:ascii="Calibri" w:hAnsi="Calibri" w:eastAsia="宋体"/>
          <w:color w:val="000000"/>
        </w:rPr>
        <w:t>图中是基础方差初始化的投影均值，不是任务准确率。SGD的classic随r增大而减弱，rs约0.003254至0.003368，fixed则从0.000814增至0.052986。fresh Adam的rs从0.001058增至0.008496，显示不能把SGD的s²r补偿直接移植给它。其epsilon固定1e−8，且使用零初始矩的首个正LR步骤。</w:t>
      </w:r>
    </w:p>
    <w:p>
      <w:r>
        <w:rPr>
          <w:rFonts w:ascii="Calibri" w:hAnsi="Calibri" w:eastAsia="宋体"/>
          <w:color w:val="000000"/>
        </w:rPr>
        <w:t>把A除以√r后，SGD每个配对单元的投影恰为原来的1/r，验证初始化方差进入系数。这是条件变化实验：它改变了前述rank独立方差假设，而非在同一假设下否定rs。各rank共128次抽样的均值偏离理论期望属于有限样本误差；同一基础A的各规则可配对比较，不能按独立组误算不确定性。</w:t>
      </w:r>
    </w:p>
    <w:p>
      <w:r>
        <w:rPr>
          <w:rFonts w:ascii="Calibri" w:hAnsi="Calibri" w:eastAsia="宋体"/>
          <w:color w:val="000000"/>
        </w:rPr>
        <w:t>SGD更新矩阵恒等式的最大残差为2.08×10⁻¹⁷，说明代码与代数在浮点精度内吻合。独立标准库核验从保存的A/G直接重算48个代表单元，最大差6.94×10⁻¹⁸；它没有重新训练或执行BERT前向。高斯波动公式未在本轮重做数值验证，训练全过程的稳定性也没有由这些首步记录证明。</w:t>
      </w:r>
    </w:p>
    <w:p>
      <w:r>
        <w:rPr>
          <w:rFonts w:ascii="Calibri" w:hAnsi="Calibri" w:eastAsia="宋体"/>
          <w:color w:val="000000"/>
        </w:rPr>
        <w:t>实验的可证伪性来自分开改变条件：保持方差时检验rs均值是否接近常数；改变方差时检验预测是否随之变化；换成fresh Adam时检验SGD规律是否失效。三类结果共同支持“缩放、初始化与更新方案要联合讨论”，比单独展示一条漂亮曲线更能说明机制。r128仍仅为因子宽度，实际更新矩阵秩至多8。</w:t>
      </w:r>
    </w:p>
    <w:p>
      <w:pPr>
        <w:pStyle w:val="Heading1"/>
        <w:pageBreakBefore/>
      </w:pPr>
      <w:r>
        <w:t>11 部署与证据闭环 等价不等于泛化</w:t>
      </w:r>
    </w:p>
    <w:p>
      <w:r>
        <w:rPr>
          <w:rFonts w:ascii="Calibri" w:hAnsi="Calibri" w:eastAsia="宋体"/>
          <w:color w:val="000000"/>
        </w:rPr>
        <w:t>预先指定历史rs_r32 seed11进行本轮部署核验，s=1、旧接口alpha=32，不根据新得分选择checkpoint。保存产物必须一起记录底座身份、目标层、A/B形状、实际s与dtype；只有A/B文件不足以定义推理模型。在线性分支、推理关闭随机dropout且没有重复相加时，可把适配器合并进底座。</w:t>
      </w:r>
    </w:p>
    <w:p>
      <w:pPr>
        <w:keepNext/>
        <w:keepLines/>
        <w:spacing w:before="60" w:after="140"/>
        <w:jc w:val="center"/>
      </w:pPr>
      <m:oMath>
        <m:sSub>
          <m:e>
            <m:r>
              <m:t>W</m:t>
            </m:r>
          </m:e>
          <m:sub>
            <m:r>
              <m:t>merged</m:t>
            </m:r>
          </m:sub>
        </m:sSub>
        <m: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t>+sBA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41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实际证据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保存并重载adapter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logits最大差0，所有argmax相同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合并4个投影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最大差1.05053×10⁻⁶，小于严格1e−5门槛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独立merged加载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差0；禁止读取原base权重，读取尝试0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重复合并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20" w:before="2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第二次合并0层，参数不再改变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color w:val="000000"/>
        </w:rPr>
        <w:t>四种形态分别处理872条已经观察过的dev输入，合计3488个样本前向、112个batch；test前向为0。这些前向验证数值与加载路径，不构成新的泛化、模型选择或速度测试。合并前后FP32矩阵运算顺序不同，实数代数相等并不要求逐位相等；输出有限、argmax一致和严格误差阈值通过也应分别判断。</w:t>
      </w:r>
    </w:p>
    <w:p>
      <w:r>
        <w:rPr>
          <w:rFonts w:ascii="Calibri" w:hAnsi="Calibri" w:eastAsia="宋体"/>
          <w:color w:val="000000"/>
        </w:rPr>
        <w:t>adapter产物含33026个训练参数、136069字节，依赖共享base；merged含4386178个参数、17562792字节，独立加载不读取原base权重，但仍需要配置、tokenizer与代码。可合并结构意味着不必保留额外推理分支，文件大小不能代替GPU吞吐或延迟实测，本项目没有这些性能基准。</w:t>
      </w:r>
    </w:p>
    <w:p>
      <w:r>
        <w:rPr>
          <w:rFonts w:ascii="Calibri" w:hAnsi="Calibri" w:eastAsia="宋体"/>
          <w:color w:val="000000"/>
        </w:rPr>
        <w:t>证据身份汇总：原论文大模型结果是作者报告；本地63条BERT轨迹是历史复用；6144条矩阵记录和3488个已见dev前向为本轮新增；本次报告修订只组织已有材料，不新增实验。独立核验覆盖126份唯一历史CSV的183960行，并重算均值、样本SD、配对与LR资格，最大历史指标差1.50×10⁻⁷。来源hash和保存预测重算说明可追溯性，不等于独立重训。</w:t>
      </w:r>
    </w:p>
    <w:p>
      <w:r>
        <w:rPr>
          <w:rFonts w:ascii="Calibri" w:hAnsi="Calibri" w:eastAsia="宋体"/>
          <w:color w:val="000000"/>
        </w:rPr>
        <w:t>阅读代码从03复现实验/README.md进入；frozen_protocol.json记录新机制及部署协议，historical保存原始候选与失败，mechanism_results和deployment_results保存本轮结果，validate_results.py提供标准库核验。05台账区分已验证、仅观察、未复现。六阶段由此闭环，其中第5阶段的产物就是评价边界审计；原论文大模型任务、新的未见测试确认和普遍泛化优势仍未复现。</w:t>
      </w:r>
    </w:p>
    <w:p>
      <w:pPr>
        <w:pStyle w:val="Heading1"/>
        <w:pageBreakBefore/>
      </w:pPr>
      <w:r>
        <w:t>12 延伸研究 三个可以被结果推翻的方案</w:t>
      </w:r>
    </w:p>
    <w:p>
      <w:r>
        <w:rPr>
          <w:rFonts w:ascii="Calibri" w:hAnsi="Calibri" w:eastAsia="宋体"/>
          <w:color w:val="000000"/>
        </w:rPr>
        <w:t>以下均为未执行设计，不增加当前六阶段。方案一分离缩放与优化器：继续使用固定G、B₀=0，在SGD下按ηBs²rVar(A)配平首步均值，再比较1、10、100步的有效更新范数、与负梯度夹角和实际目标下降。另设fresh Adam，预先固定epsilon相对典型梯度的三档比例，并单列零LR热身后再更新的组。若首步配平组后续仍偏离，就说明均值匹配不足以描述路径；不能事后只保留接近的时间点。</w:t>
      </w:r>
    </w:p>
    <w:p>
      <w:r>
        <w:rPr>
          <w:rFonts w:ascii="Calibri" w:hAnsi="Calibri" w:eastAsia="宋体"/>
          <w:color w:val="000000"/>
        </w:rPr>
        <w:t>方案二分离方差与四阶矩：选择高斯、均匀和稀疏重尾但有有限四阶矩的初始化，统一零均值与方差，配对相同G和样本预算。先检验首步投影均值是否遵循ηs²rσ²，再比较投影方差和更新的最大奇异值；预先记录四阶矩，避免把重尾造成的大波动误判为缩放失效。若相同二阶矩仍出现可重复的均值偏移，应检查独立性、抽样误差和实现；若均值相近而波动不同，支持把稳定均值与稳定样本分开。</w:t>
      </w:r>
    </w:p>
    <w:p>
      <w:r>
        <w:rPr>
          <w:rFonts w:ascii="Calibri" w:hAnsi="Calibri" w:eastAsia="宋体"/>
          <w:color w:val="000000"/>
        </w:rPr>
        <w:t>方案三检验容量是否转化为任务收益：另立新任务及真正未见的确认集，先固定预处理和划分，再以等额LR候选和三个以上配对seed比较classic、rs及固定s。主指标、失败资格、选择规则和停止预算预先冻结，只有dev用于选择；最终一次性打开确认集。同步记录实际更新奇异值谱、训练损失、泛化差和耗时，分别做相同训练步数与相近计算预算两种比较，避免高rank多算后自然更好。</w:t>
      </w:r>
    </w:p>
    <w:p>
      <w:pPr>
        <w:keepNext/>
        <w:keepLines/>
        <w:spacing w:before="60" w:after="140"/>
        <w:jc w:val="center"/>
      </w:pPr>
      <m:oMath>
        <m:sSub>
          <m:e>
            <m:r>
              <m:t>r</m:t>
            </m:r>
          </m:e>
          <m:sub>
            <m:r>
              <m:t>eff</m:t>
            </m:r>
          </m:sub>
        </m:sSub>
        <m:r>
          <m:t>(D)=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/>
                      <m:e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(D)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</m:t>
                </m:r>
              </m:sub>
              <m:sup/>
              <m:e>
                <m:sSub>
                  <m:e>
                    <m:r>
                      <m:t>σ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t>(D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(D≠0)</m:t>
        </m:r>
      </m:oMath>
    </w:p>
    <w:p>
      <w:r>
        <w:rPr>
          <w:rFonts w:ascii="Calibri" w:hAnsi="Calibri" w:eastAsia="宋体"/>
          <w:color w:val="000000"/>
        </w:rPr>
        <w:t>其中有效秩可用上式作为预先选定的谱统计，同时报告精度阈值下的数值秩；零矩阵单列，不强行计算0/0。如果rank超过min(d,k)，应把它标为因子宽度，并检查收益来自优化过参数化还是实际表达秩增加。若相近成本、独立确认集上rs优势消失，就限制“高rank更好”的适用范围；若优势随谱利用率和稳定学习信号同时出现，才为容量解释提供更直接证据。</w:t>
      </w:r>
    </w:p>
    <w:p>
      <w:r>
        <w:rPr>
          <w:rFonts w:ascii="Calibri" w:hAnsi="Calibri" w:eastAsia="宋体"/>
          <w:color w:val="000000"/>
        </w:rPr>
        <w:t>精读的最终收获是一条可迁移的方法：先确认参数化和形状，推导优化器真正作用到函数上的更新，逐项写清随机假设，再设计能区分解释的对照。rsLoRA的简洁改动值得研究，但结论应始终落到“哪一种量、哪一组条件、哪一份证据”。现有结果已经解释局部缩放机制并完成工程核验，尚未回答新任务、大模型与长程优化的全部问题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html/2312.03732v1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rsLoRA 从秩相关学习信号到有界复现</dc:title>
  <dc:subject>论文精读与既有复现实验分析 2026年10月11日修订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