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SIGEM</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13/06/2025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Benjamin Gonzalez</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Matias Larenas</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Constanza Pavez</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Gonzalez</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Larenas</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Pavez</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Mejora visual del diseño con Bootstrap</w:t>
            </w:r>
          </w:p>
          <w:p w:rsidR="00000000" w:rsidDel="00000000" w:rsidP="00000000" w:rsidRDefault="00000000" w:rsidRPr="00000000" w14:paraId="00000030">
            <w:pPr>
              <w:numPr>
                <w:ilvl w:val="0"/>
                <w:numId w:val="5"/>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Implementación del header responsivo</w:t>
            </w:r>
          </w:p>
          <w:p w:rsidR="00000000" w:rsidDel="00000000" w:rsidP="00000000" w:rsidRDefault="00000000" w:rsidRPr="00000000" w14:paraId="00000031">
            <w:pPr>
              <w:numPr>
                <w:ilvl w:val="0"/>
                <w:numId w:val="5"/>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Lógica de fechas de reserva con validación en backend</w:t>
            </w:r>
          </w:p>
          <w:p w:rsidR="00000000" w:rsidDel="00000000" w:rsidP="00000000" w:rsidRDefault="00000000" w:rsidRPr="00000000" w14:paraId="00000032">
            <w:pPr>
              <w:numPr>
                <w:ilvl w:val="0"/>
                <w:numId w:val="5"/>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Inclusión de animaciones visuales (slide-in)</w:t>
            </w:r>
          </w:p>
          <w:p w:rsidR="00000000" w:rsidDel="00000000" w:rsidP="00000000" w:rsidRDefault="00000000" w:rsidRPr="00000000" w14:paraId="00000033">
            <w:pPr>
              <w:numPr>
                <w:ilvl w:val="0"/>
                <w:numId w:val="5"/>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Separación clara de funciones (formulario, tabla de carrito, botones)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validación de materiales reservados no es inmediata (requiere recarga)</w:t>
            </w:r>
          </w:p>
          <w:p w:rsidR="00000000" w:rsidDel="00000000" w:rsidP="00000000" w:rsidRDefault="00000000" w:rsidRPr="00000000" w14:paraId="0000003C">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Confusión del usuario al no ver la alerta antes de ser redirigido</w:t>
            </w:r>
          </w:p>
          <w:p w:rsidR="00000000" w:rsidDel="00000000" w:rsidP="00000000" w:rsidRDefault="00000000" w:rsidRPr="00000000" w14:paraId="0000003D">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Confusión del usuario al no poder solicitar más de un mismo producto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Bloques de agrupación con stock dinámico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Paginación interior</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Alertas de devolución pendiente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Carrusel</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5">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6">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fOzky8FCpboHMxraAuU2nNIyxg==">CgMxLjA4AHIhMTBvbTNhMWJ1RTJYSm52YjVEdEVqX0g4dnllUmNVMy02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