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Informe de Pruebas Unitarias del Proyecto SIGEM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26 de mayo de 2025</w:t>
        <w:br w:type="textWrapping"/>
        <w:t xml:space="preserve">Desarrolladores, QA:  Matías Larenas, Benjamín González, Constanza Pavez</w:t>
        <w:br w:type="textWrapping"/>
        <w:t xml:space="preserve">Proyecto: SIGEM</w:t>
      </w:r>
    </w:p>
    <w:p w:rsidR="00000000" w:rsidDel="00000000" w:rsidP="00000000" w:rsidRDefault="00000000" w:rsidRPr="00000000" w14:paraId="00000017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presenta el informe de pruebas unitarias realizadas al sistema SIGEM (Sistema de Gestión de Equipos y Materiales) desarrollado con Django y MySQL. El objetivo principal de estas pruebas es validar el correcto funcionamiento de los modelos de datos implementados en la aplicación, asegurando que cada componente del sistema se comporte conforme a los requerimientos establecidos.</w:t>
      </w:r>
    </w:p>
    <w:p w:rsidR="00000000" w:rsidDel="00000000" w:rsidP="00000000" w:rsidRDefault="00000000" w:rsidRPr="00000000" w14:paraId="00000019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f4761"/>
          <w:sz w:val="32"/>
          <w:szCs w:val="32"/>
          <w:rtl w:val="0"/>
        </w:rPr>
        <w:t xml:space="preserve">bjetivo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parte del proceso de aseguramiento de calidad del sistema SIGEM, se optó por implementar pruebas unitarias debido a su efectividad para validar el funcionamiento correcto de cada componente de forma aislada. Esta técnica permite detectar errores de manera temprana, asegurar la estabilidad del sistema y facilitar futuras modificaciones del código sin comprometer la funcionalidad existente.</w:t>
      </w:r>
    </w:p>
    <w:p w:rsidR="00000000" w:rsidDel="00000000" w:rsidP="00000000" w:rsidRDefault="00000000" w:rsidRPr="00000000" w14:paraId="0000001B">
      <w:pPr>
        <w:pStyle w:val="Heading2"/>
        <w:rPr>
          <w:rFonts w:ascii="Calibri" w:cs="Calibri" w:eastAsia="Calibri" w:hAnsi="Calibri"/>
        </w:rPr>
      </w:pPr>
      <w:bookmarkStart w:colFirst="0" w:colLast="0" w:name="_heading=h.exzar0hsgpmo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Herramientas y Justificación.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herramienta utilizada para la implementación de estas pruebas fue el módulo de pruebas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integrado en Django, ya que se ajusta de forma nativa al entorno del proyecto, simplifica la ejecución de los tests y ofrece una estructura clara para evaluar los resultados. Su integración con el ORM de Django también permite simular datos y escenarios realistas dentro de un entorno controlado de pruebas.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decisión de aplicar esta técnica y herramienta responde a criterios de buenas prácticas profesionales y académicas, como el enfoque preventivo de errores, la automatización de validaciones y la mejora continua del software, competencias fundamentales que se espera dominen los estudiantes en su etapa final de formación.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Módulos Evaluados y sin errores. 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creo un usuario personalizado correctamente utilizando el create_user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validó la creación y representación de la categoría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TipoMaterial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validó la creación y representación del tipo de material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verificó la creación de un material, y el aumento automático del stock.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validó la creación de un material, y el aumento automático del stock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15241</wp:posOffset>
            </wp:positionH>
            <wp:positionV relativeFrom="paragraph">
              <wp:posOffset>181610</wp:posOffset>
            </wp:positionV>
            <wp:extent cx="5600700" cy="2572385"/>
            <wp:effectExtent b="0" l="0" r="0" t="0"/>
            <wp:wrapSquare wrapText="bothSides" distB="0" distT="0" distL="114300" distR="114300"/>
            <wp:docPr id="127408937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2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26 de Mayo del 2025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Fueron creados nuevos módulos como Carrito,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ItemCarrito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Solicitud y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ItemSolicitud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los cuales fueron evaluados en conjunto con los módulos anteriores y superan los tests sin errores. </w:t>
      </w:r>
    </w:p>
    <w:p w:rsidR="00000000" w:rsidDel="00000000" w:rsidP="00000000" w:rsidRDefault="00000000" w:rsidRPr="00000000" w14:paraId="00000035">
      <w:pPr>
        <w:pStyle w:val="Heading2"/>
        <w:rPr>
          <w:rFonts w:ascii="Calibri" w:cs="Calibri" w:eastAsia="Calibri" w:hAnsi="Calibri"/>
        </w:rPr>
      </w:pPr>
      <w:bookmarkStart w:colFirst="0" w:colLast="0" w:name="_heading=h.tti2kf5wnt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Carrito </w:t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creó un carrito y se validó el cálculo correcto del total de ítems agregados.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ItemCarrito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verificó la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correcta de cantidades de materiales dentro del carrito.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41">
            <w:pPr>
              <w:keepLines w:val="1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creó una solicitud validando la generación única de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numero_solicitud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según el año.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ItemSolicitud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creó un ítem de solicitud y se validó su representación en cadena (__str__).</w:t>
            </w:r>
          </w:p>
        </w:tc>
      </w:tr>
    </w:tbl>
    <w:p w:rsidR="00000000" w:rsidDel="00000000" w:rsidP="00000000" w:rsidRDefault="00000000" w:rsidRPr="00000000" w14:paraId="00000045">
      <w:pPr>
        <w:keepLines w:val="1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610225" cy="1777717"/>
            <wp:effectExtent b="0" l="0" r="0" t="0"/>
            <wp:docPr id="12740893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30 de mayo del 2025</w:t>
      </w:r>
    </w:p>
    <w:p w:rsidR="00000000" w:rsidDel="00000000" w:rsidP="00000000" w:rsidRDefault="00000000" w:rsidRPr="00000000" w14:paraId="00000048">
      <w:pPr>
        <w:keepLines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se emite la prueba de la clase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ItemCarrito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por si sola, sino que se incluyó 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CarritoTest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Lines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Porque la funcionalidad principal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ItemCarrito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(cantidad de materiales asociadas al carrito) se evalúa indirectamente al probar el método que lleva el total de ítems de Carrito. Se probó la integración de Carrito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ItemCarrito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por funcionalidad.</w:t>
      </w:r>
    </w:p>
    <w:p w:rsidR="00000000" w:rsidDel="00000000" w:rsidP="00000000" w:rsidRDefault="00000000" w:rsidRPr="00000000" w14:paraId="0000004C">
      <w:pPr>
        <w:keepLines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Lines w:val="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612130" cy="2819400"/>
            <wp:effectExtent b="0" l="0" r="0" t="0"/>
            <wp:docPr id="12740893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Conclusión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ejecutaron 8 pruebas unitarias correspondientes a los modelos principales del sistema SIGEM, todas con resultados exitosos. Esto demuestra que las estructuras de datos, relaciones y comportamientos esperados funcionan correctamente. Como estudiante de Ingeniería en Informática, estas pruebas validan la calidad del sistema y refuerzan la importancia de integrar testing desde las primeras etapas del desarrollo.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ejecutadas desde: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appSIGEM/tests/test_models.py  </w:t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ejecutadas en el Terminal con: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f1c232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manage.py test appSIGEM.tests.test_models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0206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0206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0206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0206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0206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0206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0206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0206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0206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0206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60206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0206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0206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0206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0206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0206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0206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0206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0206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0206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0206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0206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0206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0206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0206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0206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0206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0206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02060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6020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EoZn1C6VmNTkJN/Y8lNV8N7ERQ==">CgMxLjAyDmguZXh6YXIwaHNncG1vMg1oLnR0aTJrZjV3bnRlOAByITE3VE94SzFKZkJFbjNMM2tZLWhudWh0TjN4YlFxZnVkZg==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2025-05-27T03:25:00Z</dcterms:created>
  <dc:creator>Matias Larenas</dc:creator>
</cp:coreProperties>
</file>