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drawing>
          <wp:inline xmlns:a="http://schemas.openxmlformats.org/drawingml/2006/main" xmlns:pic="http://schemas.openxmlformats.org/drawingml/2006/picture">
            <wp:extent cx="1554480" cy="801529"/>
            <wp:docPr id="1" name="Picture 1"/>
            <wp:cNvGraphicFramePr>
              <a:graphicFrameLocks noChangeAspect="1"/>
            </wp:cNvGraphicFramePr>
            <a:graphic>
              <a:graphicData uri="http://schemas.openxmlformats.org/drawingml/2006/picture">
                <pic:pic>
                  <pic:nvPicPr>
                    <pic:cNvPr id="0" name="reyan-logo.png"/>
                    <pic:cNvPicPr/>
                  </pic:nvPicPr>
                  <pic:blipFill>
                    <a:blip r:embed="rId11"/>
                    <a:stretch>
                      <a:fillRect/>
                    </a:stretch>
                  </pic:blipFill>
                  <pic:spPr>
                    <a:xfrm>
                      <a:off x="0" y="0"/>
                      <a:ext cx="1554480" cy="801529"/>
                    </a:xfrm>
                    <a:prstGeom prst="rect"/>
                  </pic:spPr>
                </pic:pic>
              </a:graphicData>
            </a:graphic>
          </wp:inline>
        </w:drawing>
      </w:r>
    </w:p>
    <w:p>
      <w:pPr>
        <w:spacing w:after="80"/>
      </w:pPr>
      <w:r>
        <w:rPr>
          <w:b/>
          <w:color w:val="000724"/>
          <w:sz w:val="52"/>
        </w:rPr>
        <w:t>Test Execution Summary</w:t>
      </w:r>
    </w:p>
    <w:p>
      <w:pPr>
        <w:spacing w:after="360"/>
      </w:pPr>
      <w:r>
        <w:rPr>
          <w:i w:val="0"/>
          <w:color w:val="1A1A1A"/>
          <w:sz w:val="26"/>
        </w:rPr>
        <w:t>CAF Compliance — ServiceNow compliance engine</w:t>
      </w:r>
    </w:p>
    <w:tbl>
      <w:tblPr>
        <w:tblStyle w:val="TableGrid"/>
        <w:tblW w:type="auto" w:w="0"/>
        <w:tblLook w:firstColumn="1" w:firstRow="1" w:lastColumn="0" w:lastRow="0" w:noHBand="0" w:noVBand="1" w:val="04A0"/>
      </w:tblPr>
      <w:tblGrid>
        <w:gridCol w:w="2736"/>
        <w:gridCol w:w="6480"/>
      </w:tblGrid>
      <w:tr>
        <w:tc>
          <w:tcPr>
            <w:tcW w:type="dxa" w:w="4896"/>
            <w:shd w:val="clear" w:color="auto" w:fill="F4F6F9"/>
          </w:tcPr>
          <w:p>
            <w:pPr>
              <w:spacing w:before="40" w:after="40"/>
            </w:pPr>
            <w:r/>
            <w:r>
              <w:rPr>
                <w:rFonts w:ascii="Calibri" w:hAnsi="Calibri"/>
                <w:b/>
                <w:color w:val="000724"/>
                <w:sz w:val="18"/>
              </w:rPr>
              <w:t>Environment</w:t>
            </w:r>
          </w:p>
        </w:tc>
        <w:tc>
          <w:tcPr>
            <w:tcW w:type="dxa" w:w="4896"/>
          </w:tcPr>
          <w:p>
            <w:pPr>
              <w:spacing w:before="40" w:after="40"/>
            </w:pPr>
            <w:r/>
            <w:r>
              <w:rPr>
                <w:rFonts w:ascii="Calibri" w:hAnsi="Calibri"/>
                <w:b w:val="0"/>
                <w:color w:val="1A1A1A"/>
                <w:sz w:val="18"/>
              </w:rPr>
              <w:t>https://dev281754.service-now.com</w:t>
            </w:r>
          </w:p>
        </w:tc>
      </w:tr>
      <w:tr>
        <w:tc>
          <w:tcPr>
            <w:tcW w:type="dxa" w:w="4896"/>
            <w:shd w:val="clear" w:color="auto" w:fill="F4F6F9"/>
          </w:tcPr>
          <w:p>
            <w:pPr>
              <w:spacing w:before="40" w:after="40"/>
            </w:pPr>
            <w:r/>
            <w:r>
              <w:rPr>
                <w:rFonts w:ascii="Calibri" w:hAnsi="Calibri"/>
                <w:b/>
                <w:color w:val="000724"/>
                <w:sz w:val="18"/>
              </w:rPr>
              <w:t>Executed by</w:t>
            </w:r>
          </w:p>
        </w:tc>
        <w:tc>
          <w:tcPr>
            <w:tcW w:type="dxa" w:w="4896"/>
          </w:tcPr>
          <w:p>
            <w:pPr>
              <w:spacing w:before="40" w:after="40"/>
            </w:pPr>
            <w:r/>
            <w:r>
              <w:rPr>
                <w:rFonts w:ascii="Calibri" w:hAnsi="Calibri"/>
                <w:b w:val="0"/>
                <w:color w:val="1A1A1A"/>
                <w:sz w:val="18"/>
              </w:rPr>
              <w:t>admin</w:t>
            </w:r>
          </w:p>
        </w:tc>
      </w:tr>
      <w:tr>
        <w:tc>
          <w:tcPr>
            <w:tcW w:type="dxa" w:w="4896"/>
            <w:shd w:val="clear" w:color="auto" w:fill="F4F6F9"/>
          </w:tcPr>
          <w:p>
            <w:pPr>
              <w:spacing w:before="40" w:after="40"/>
            </w:pPr>
            <w:r/>
            <w:r>
              <w:rPr>
                <w:rFonts w:ascii="Calibri" w:hAnsi="Calibri"/>
                <w:b/>
                <w:color w:val="000724"/>
                <w:sz w:val="18"/>
              </w:rPr>
              <w:t>Execution method</w:t>
            </w:r>
          </w:p>
        </w:tc>
        <w:tc>
          <w:tcPr>
            <w:tcW w:type="dxa" w:w="4896"/>
          </w:tcPr>
          <w:p>
            <w:pPr>
              <w:spacing w:before="40" w:after="40"/>
            </w:pPr>
            <w:r/>
            <w:r>
              <w:rPr>
                <w:rFonts w:ascii="Calibri" w:hAnsi="Calibri"/>
                <w:b w:val="0"/>
                <w:color w:val="1A1A1A"/>
                <w:sz w:val="18"/>
              </w:rPr>
              <w:t>Playwright (automated); every assertion cross-checked against the ServiceNow Table API</w:t>
            </w:r>
          </w:p>
        </w:tc>
      </w:tr>
      <w:tr>
        <w:tc>
          <w:tcPr>
            <w:tcW w:type="dxa" w:w="4896"/>
            <w:shd w:val="clear" w:color="auto" w:fill="F4F6F9"/>
          </w:tcPr>
          <w:p>
            <w:pPr>
              <w:spacing w:before="40" w:after="40"/>
            </w:pPr>
            <w:r/>
            <w:r>
              <w:rPr>
                <w:rFonts w:ascii="Calibri" w:hAnsi="Calibri"/>
                <w:b/>
                <w:color w:val="000724"/>
                <w:sz w:val="18"/>
              </w:rPr>
              <w:t>Cases executed</w:t>
            </w:r>
          </w:p>
        </w:tc>
        <w:tc>
          <w:tcPr>
            <w:tcW w:type="dxa" w:w="4896"/>
          </w:tcPr>
          <w:p>
            <w:pPr>
              <w:spacing w:before="40" w:after="40"/>
            </w:pPr>
            <w:r/>
            <w:r>
              <w:rPr>
                <w:rFonts w:ascii="Calibri" w:hAnsi="Calibri"/>
                <w:b w:val="0"/>
                <w:color w:val="1A1A1A"/>
                <w:sz w:val="18"/>
              </w:rPr>
              <w:t>31</w:t>
            </w:r>
          </w:p>
        </w:tc>
      </w:tr>
      <w:tr>
        <w:tc>
          <w:tcPr>
            <w:tcW w:type="dxa" w:w="4896"/>
            <w:shd w:val="clear" w:color="auto" w:fill="F4F6F9"/>
          </w:tcPr>
          <w:p>
            <w:pPr>
              <w:spacing w:before="40" w:after="40"/>
            </w:pPr>
            <w:r/>
            <w:r>
              <w:rPr>
                <w:rFonts w:ascii="Calibri" w:hAnsi="Calibri"/>
                <w:b/>
                <w:color w:val="000724"/>
                <w:sz w:val="18"/>
              </w:rPr>
              <w:t>Passed</w:t>
            </w:r>
          </w:p>
        </w:tc>
        <w:tc>
          <w:tcPr>
            <w:tcW w:type="dxa" w:w="4896"/>
          </w:tcPr>
          <w:p>
            <w:pPr>
              <w:spacing w:before="40" w:after="40"/>
            </w:pPr>
            <w:r/>
            <w:r>
              <w:rPr>
                <w:rFonts w:ascii="Calibri" w:hAnsi="Calibri"/>
                <w:b w:val="0"/>
                <w:color w:val="1A1A1A"/>
                <w:sz w:val="18"/>
              </w:rPr>
              <w:t>24</w:t>
            </w:r>
          </w:p>
        </w:tc>
      </w:tr>
      <w:tr>
        <w:tc>
          <w:tcPr>
            <w:tcW w:type="dxa" w:w="4896"/>
            <w:shd w:val="clear" w:color="auto" w:fill="F4F6F9"/>
          </w:tcPr>
          <w:p>
            <w:pPr>
              <w:spacing w:before="40" w:after="40"/>
            </w:pPr>
            <w:r/>
            <w:r>
              <w:rPr>
                <w:rFonts w:ascii="Calibri" w:hAnsi="Calibri"/>
                <w:b/>
                <w:color w:val="000724"/>
                <w:sz w:val="18"/>
              </w:rPr>
              <w:t>Failed</w:t>
            </w:r>
          </w:p>
        </w:tc>
        <w:tc>
          <w:tcPr>
            <w:tcW w:type="dxa" w:w="4896"/>
          </w:tcPr>
          <w:p>
            <w:pPr>
              <w:spacing w:before="40" w:after="40"/>
            </w:pPr>
            <w:r/>
            <w:r>
              <w:rPr>
                <w:rFonts w:ascii="Calibri" w:hAnsi="Calibri"/>
                <w:b/>
                <w:color w:val="A81845"/>
                <w:sz w:val="18"/>
              </w:rPr>
              <w:t>6</w:t>
            </w:r>
          </w:p>
        </w:tc>
      </w:tr>
      <w:tr>
        <w:tc>
          <w:tcPr>
            <w:tcW w:type="dxa" w:w="4896"/>
            <w:shd w:val="clear" w:color="auto" w:fill="F4F6F9"/>
          </w:tcPr>
          <w:p>
            <w:pPr>
              <w:spacing w:before="40" w:after="40"/>
            </w:pPr>
            <w:r/>
            <w:r>
              <w:rPr>
                <w:rFonts w:ascii="Calibri" w:hAnsi="Calibri"/>
                <w:b/>
                <w:color w:val="000724"/>
                <w:sz w:val="18"/>
              </w:rPr>
              <w:t>Blocked</w:t>
            </w:r>
          </w:p>
        </w:tc>
        <w:tc>
          <w:tcPr>
            <w:tcW w:type="dxa" w:w="4896"/>
          </w:tcPr>
          <w:p>
            <w:pPr>
              <w:spacing w:before="40" w:after="40"/>
            </w:pPr>
            <w:r/>
            <w:r>
              <w:rPr>
                <w:rFonts w:ascii="Calibri" w:hAnsi="Calibri"/>
                <w:b w:val="0"/>
                <w:color w:val="1A1A1A"/>
                <w:sz w:val="18"/>
              </w:rPr>
              <w:t>1</w:t>
            </w:r>
          </w:p>
        </w:tc>
      </w:tr>
    </w:tbl>
    <w:p>
      <w:pPr>
        <w:keepNext/>
        <w:spacing w:before="280" w:after="80"/>
      </w:pPr>
      <w:r>
        <w:rPr>
          <w:b/>
          <w:color w:val="000724"/>
          <w:sz w:val="30"/>
        </w:rPr>
        <w:t>Results</w:t>
      </w:r>
    </w:p>
    <w:tbl>
      <w:tblPr>
        <w:tblStyle w:val="TableGrid"/>
        <w:tblW w:type="auto" w:w="0"/>
        <w:tblLook w:firstColumn="1" w:firstRow="1" w:lastColumn="0" w:lastRow="0" w:noHBand="0" w:noVBand="1" w:val="04A0"/>
      </w:tblPr>
      <w:tblGrid>
        <w:gridCol w:w="1440"/>
        <w:gridCol w:w="5040"/>
        <w:gridCol w:w="1008"/>
        <w:gridCol w:w="1440"/>
      </w:tblGrid>
      <w:tr>
        <w:tc>
          <w:tcPr>
            <w:tcW w:type="dxa" w:w="2448"/>
            <w:shd w:val="clear" w:color="auto" w:fill="0A3176"/>
          </w:tcPr>
          <w:p>
            <w:pPr>
              <w:spacing w:before="40" w:after="40"/>
            </w:pPr>
            <w:r/>
            <w:r>
              <w:rPr>
                <w:rFonts w:ascii="Calibri" w:hAnsi="Calibri"/>
                <w:b/>
                <w:color w:val="FFFFFF"/>
                <w:sz w:val="18"/>
              </w:rPr>
              <w:t>Case</w:t>
            </w:r>
          </w:p>
        </w:tc>
        <w:tc>
          <w:tcPr>
            <w:tcW w:type="dxa" w:w="2448"/>
            <w:shd w:val="clear" w:color="auto" w:fill="0A3176"/>
          </w:tcPr>
          <w:p>
            <w:pPr>
              <w:spacing w:before="40" w:after="40"/>
            </w:pPr>
            <w:r/>
            <w:r>
              <w:rPr>
                <w:rFonts w:ascii="Calibri" w:hAnsi="Calibri"/>
                <w:b/>
                <w:color w:val="FFFFFF"/>
                <w:sz w:val="18"/>
              </w:rPr>
              <w:t>Title</w:t>
            </w:r>
          </w:p>
        </w:tc>
        <w:tc>
          <w:tcPr>
            <w:tcW w:type="dxa" w:w="2448"/>
            <w:shd w:val="clear" w:color="auto" w:fill="0A3176"/>
          </w:tcPr>
          <w:p>
            <w:pPr>
              <w:spacing w:before="40" w:after="40"/>
            </w:pPr>
            <w:r/>
            <w:r>
              <w:rPr>
                <w:rFonts w:ascii="Calibri" w:hAnsi="Calibri"/>
                <w:b/>
                <w:color w:val="FFFFFF"/>
                <w:sz w:val="18"/>
              </w:rPr>
              <w:t>Priority</w:t>
            </w:r>
          </w:p>
        </w:tc>
        <w:tc>
          <w:tcPr>
            <w:tcW w:type="dxa" w:w="2448"/>
            <w:shd w:val="clear" w:color="auto" w:fill="0A3176"/>
          </w:tcPr>
          <w:p>
            <w:pPr>
              <w:spacing w:before="40" w:after="40"/>
            </w:pPr>
            <w:r/>
            <w:r>
              <w:rPr>
                <w:rFonts w:ascii="Calibri" w:hAnsi="Calibri"/>
                <w:b/>
                <w:color w:val="FFFFFF"/>
                <w:sz w:val="18"/>
              </w:rPr>
              <w:t>Result</w:t>
            </w:r>
          </w:p>
        </w:tc>
      </w:tr>
      <w:tr>
        <w:tc>
          <w:tcPr>
            <w:tcW w:type="dxa" w:w="2448"/>
          </w:tcPr>
          <w:p>
            <w:pPr>
              <w:spacing w:before="40" w:after="40"/>
            </w:pPr>
            <w:r/>
            <w:r>
              <w:rPr>
                <w:rFonts w:ascii="Calibri" w:hAnsi="Calibri"/>
                <w:b/>
                <w:color w:val="0A3176"/>
                <w:sz w:val="18"/>
              </w:rPr>
              <w:t>TC-INT-001</w:t>
            </w:r>
          </w:p>
        </w:tc>
        <w:tc>
          <w:tcPr>
            <w:tcW w:type="dxa" w:w="2448"/>
          </w:tcPr>
          <w:p>
            <w:pPr>
              <w:spacing w:before="40" w:after="40"/>
            </w:pPr>
            <w:r/>
            <w:r>
              <w:rPr>
                <w:rFonts w:ascii="Calibri" w:hAnsi="Calibri"/>
                <w:b w:val="0"/>
                <w:color w:val="1A1A1A"/>
                <w:sz w:val="18"/>
              </w:rPr>
              <w:t>Full mirror parity by record, not by count</w:t>
            </w:r>
          </w:p>
        </w:tc>
        <w:tc>
          <w:tcPr>
            <w:tcW w:type="dxa" w:w="2448"/>
          </w:tcPr>
          <w:p>
            <w:pPr>
              <w:spacing w:before="40" w:after="40"/>
            </w:pPr>
            <w:r/>
            <w:r>
              <w:rPr>
                <w:rFonts w:ascii="Calibri" w:hAnsi="Calibri"/>
                <w:b w:val="0"/>
                <w:color w:val="1A1A1A"/>
                <w:sz w:val="18"/>
              </w:rPr>
              <w:t>P1</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TC-INT-006</w:t>
            </w:r>
          </w:p>
        </w:tc>
        <w:tc>
          <w:tcPr>
            <w:tcW w:type="dxa" w:w="2448"/>
          </w:tcPr>
          <w:p>
            <w:pPr>
              <w:spacing w:before="40" w:after="40"/>
            </w:pPr>
            <w:r/>
            <w:r>
              <w:rPr>
                <w:rFonts w:ascii="Calibri" w:hAnsi="Calibri"/>
                <w:b w:val="0"/>
                <w:color w:val="1A1A1A"/>
                <w:sz w:val="18"/>
              </w:rPr>
              <w:t>No Salesforce Id is ever stored in ServiceNow</w:t>
            </w:r>
          </w:p>
        </w:tc>
        <w:tc>
          <w:tcPr>
            <w:tcW w:type="dxa" w:w="2448"/>
          </w:tcPr>
          <w:p>
            <w:pPr>
              <w:spacing w:before="40" w:after="40"/>
            </w:pPr>
            <w:r/>
            <w:r>
              <w:rPr>
                <w:rFonts w:ascii="Calibri" w:hAnsi="Calibri"/>
                <w:b w:val="0"/>
                <w:color w:val="1A1A1A"/>
                <w:sz w:val="18"/>
              </w:rPr>
              <w:t>P2</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TC-INT-008</w:t>
            </w:r>
          </w:p>
        </w:tc>
        <w:tc>
          <w:tcPr>
            <w:tcW w:type="dxa" w:w="2448"/>
          </w:tcPr>
          <w:p>
            <w:pPr>
              <w:spacing w:before="40" w:after="40"/>
            </w:pPr>
            <w:r/>
            <w:r>
              <w:rPr>
                <w:rFonts w:ascii="Calibri" w:hAnsi="Calibri"/>
                <w:b w:val="0"/>
                <w:color w:val="1A1A1A"/>
                <w:sz w:val="18"/>
              </w:rPr>
              <w:t>Blank and null are treated as equal</w:t>
            </w:r>
          </w:p>
        </w:tc>
        <w:tc>
          <w:tcPr>
            <w:tcW w:type="dxa" w:w="2448"/>
          </w:tcPr>
          <w:p>
            <w:pPr>
              <w:spacing w:before="40" w:after="40"/>
            </w:pPr>
            <w:r/>
            <w:r>
              <w:rPr>
                <w:rFonts w:ascii="Calibri" w:hAnsi="Calibri"/>
                <w:b w:val="0"/>
                <w:color w:val="1A1A1A"/>
                <w:sz w:val="18"/>
              </w:rPr>
              <w:t>P2</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TC-INT-017</w:t>
            </w:r>
          </w:p>
        </w:tc>
        <w:tc>
          <w:tcPr>
            <w:tcW w:type="dxa" w:w="2448"/>
          </w:tcPr>
          <w:p>
            <w:pPr>
              <w:spacing w:before="40" w:after="40"/>
            </w:pPr>
            <w:r/>
            <w:r>
              <w:rPr>
                <w:rFonts w:ascii="Calibri" w:hAnsi="Calibri"/>
                <w:b w:val="0"/>
                <w:color w:val="1A1A1A"/>
                <w:sz w:val="18"/>
              </w:rPr>
              <w:t>The inbound user is sf.integration and only sf.integration</w:t>
            </w:r>
          </w:p>
        </w:tc>
        <w:tc>
          <w:tcPr>
            <w:tcW w:type="dxa" w:w="2448"/>
          </w:tcPr>
          <w:p>
            <w:pPr>
              <w:spacing w:before="40" w:after="40"/>
            </w:pPr>
            <w:r/>
            <w:r>
              <w:rPr>
                <w:rFonts w:ascii="Calibri" w:hAnsi="Calibri"/>
                <w:b w:val="0"/>
                <w:color w:val="1A1A1A"/>
                <w:sz w:val="18"/>
              </w:rPr>
              <w:t>P1</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TC-INT-020</w:t>
            </w:r>
          </w:p>
        </w:tc>
        <w:tc>
          <w:tcPr>
            <w:tcW w:type="dxa" w:w="2448"/>
          </w:tcPr>
          <w:p>
            <w:pPr>
              <w:spacing w:before="40" w:after="40"/>
            </w:pPr>
            <w:r/>
            <w:r>
              <w:rPr>
                <w:rFonts w:ascii="Calibri" w:hAnsi="Calibri"/>
                <w:b w:val="0"/>
                <w:color w:val="1A1A1A"/>
                <w:sz w:val="18"/>
              </w:rPr>
              <w:t>Both lists are shown side by side</w:t>
            </w:r>
          </w:p>
        </w:tc>
        <w:tc>
          <w:tcPr>
            <w:tcW w:type="dxa" w:w="2448"/>
          </w:tcPr>
          <w:p>
            <w:pPr>
              <w:spacing w:before="40" w:after="40"/>
            </w:pPr>
            <w:r/>
            <w:r>
              <w:rPr>
                <w:rFonts w:ascii="Calibri" w:hAnsi="Calibri"/>
                <w:b w:val="0"/>
                <w:color w:val="1A1A1A"/>
                <w:sz w:val="18"/>
              </w:rPr>
              <w:t>P2</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TC-INT-021</w:t>
            </w:r>
          </w:p>
        </w:tc>
        <w:tc>
          <w:tcPr>
            <w:tcW w:type="dxa" w:w="2448"/>
          </w:tcPr>
          <w:p>
            <w:pPr>
              <w:spacing w:before="40" w:after="40"/>
            </w:pPr>
            <w:r/>
            <w:r>
              <w:rPr>
                <w:rFonts w:ascii="Calibri" w:hAnsi="Calibri"/>
                <w:b w:val="0"/>
                <w:color w:val="1A1A1A"/>
                <w:sz w:val="18"/>
              </w:rPr>
              <w:t>A count mismatch raises a warning</w:t>
            </w:r>
          </w:p>
        </w:tc>
        <w:tc>
          <w:tcPr>
            <w:tcW w:type="dxa" w:w="2448"/>
          </w:tcPr>
          <w:p>
            <w:pPr>
              <w:spacing w:before="40" w:after="40"/>
            </w:pPr>
            <w:r/>
            <w:r>
              <w:rPr>
                <w:rFonts w:ascii="Calibri" w:hAnsi="Calibri"/>
                <w:b w:val="0"/>
                <w:color w:val="1A1A1A"/>
                <w:sz w:val="18"/>
              </w:rPr>
              <w:t>P2</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TC-INT-023</w:t>
            </w:r>
          </w:p>
        </w:tc>
        <w:tc>
          <w:tcPr>
            <w:tcW w:type="dxa" w:w="2448"/>
          </w:tcPr>
          <w:p>
            <w:pPr>
              <w:spacing w:before="40" w:after="40"/>
            </w:pPr>
            <w:r/>
            <w:r>
              <w:rPr>
                <w:rFonts w:ascii="Calibri" w:hAnsi="Calibri"/>
                <w:b w:val="0"/>
                <w:color w:val="1A1A1A"/>
                <w:sz w:val="18"/>
              </w:rPr>
              <w:t>Evidence list on an unknown task returns 404</w:t>
            </w:r>
          </w:p>
        </w:tc>
        <w:tc>
          <w:tcPr>
            <w:tcW w:type="dxa" w:w="2448"/>
          </w:tcPr>
          <w:p>
            <w:pPr>
              <w:spacing w:before="40" w:after="40"/>
            </w:pPr>
            <w:r/>
            <w:r>
              <w:rPr>
                <w:rFonts w:ascii="Calibri" w:hAnsi="Calibri"/>
                <w:b w:val="0"/>
                <w:color w:val="1A1A1A"/>
                <w:sz w:val="18"/>
              </w:rPr>
              <w:t>P3</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TC-INT-024</w:t>
            </w:r>
          </w:p>
        </w:tc>
        <w:tc>
          <w:tcPr>
            <w:tcW w:type="dxa" w:w="2448"/>
          </w:tcPr>
          <w:p>
            <w:pPr>
              <w:spacing w:before="40" w:after="40"/>
            </w:pPr>
            <w:r/>
            <w:r>
              <w:rPr>
                <w:rFonts w:ascii="Calibri" w:hAnsi="Calibri"/>
                <w:b w:val="0"/>
                <w:color w:val="1A1A1A"/>
                <w:sz w:val="18"/>
              </w:rPr>
              <w:t>A closed task shows its evidence and takes no more</w:t>
            </w:r>
          </w:p>
        </w:tc>
        <w:tc>
          <w:tcPr>
            <w:tcW w:type="dxa" w:w="2448"/>
          </w:tcPr>
          <w:p>
            <w:pPr>
              <w:spacing w:before="40" w:after="40"/>
            </w:pPr>
            <w:r/>
            <w:r>
              <w:rPr>
                <w:rFonts w:ascii="Calibri" w:hAnsi="Calibri"/>
                <w:b w:val="0"/>
                <w:color w:val="1A1A1A"/>
                <w:sz w:val="18"/>
              </w:rPr>
              <w:t>P2</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TC-INT-036</w:t>
            </w:r>
          </w:p>
        </w:tc>
        <w:tc>
          <w:tcPr>
            <w:tcW w:type="dxa" w:w="2448"/>
          </w:tcPr>
          <w:p>
            <w:pPr>
              <w:spacing w:before="40" w:after="40"/>
            </w:pPr>
            <w:r/>
            <w:r>
              <w:rPr>
                <w:rFonts w:ascii="Calibri" w:hAnsi="Calibri"/>
                <w:b w:val="0"/>
                <w:color w:val="1A1A1A"/>
                <w:sz w:val="18"/>
              </w:rPr>
              <w:t>Evidence and attestation are separate panels for separate people</w:t>
            </w:r>
          </w:p>
        </w:tc>
        <w:tc>
          <w:tcPr>
            <w:tcW w:type="dxa" w:w="2448"/>
          </w:tcPr>
          <w:p>
            <w:pPr>
              <w:spacing w:before="40" w:after="40"/>
            </w:pPr>
            <w:r/>
            <w:r>
              <w:rPr>
                <w:rFonts w:ascii="Calibri" w:hAnsi="Calibri"/>
                <w:b w:val="0"/>
                <w:color w:val="1A1A1A"/>
                <w:sz w:val="18"/>
              </w:rPr>
              <w:t>P2</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TC-INT-037</w:t>
            </w:r>
          </w:p>
        </w:tc>
        <w:tc>
          <w:tcPr>
            <w:tcW w:type="dxa" w:w="2448"/>
          </w:tcPr>
          <w:p>
            <w:pPr>
              <w:spacing w:before="40" w:after="40"/>
            </w:pPr>
            <w:r/>
            <w:r>
              <w:rPr>
                <w:rFonts w:ascii="Calibri" w:hAnsi="Calibri"/>
                <w:b w:val="0"/>
                <w:color w:val="1A1A1A"/>
                <w:sz w:val="18"/>
              </w:rPr>
              <w:t>There is no named approver</w:t>
            </w:r>
          </w:p>
        </w:tc>
        <w:tc>
          <w:tcPr>
            <w:tcW w:type="dxa" w:w="2448"/>
          </w:tcPr>
          <w:p>
            <w:pPr>
              <w:spacing w:before="40" w:after="40"/>
            </w:pPr>
            <w:r/>
            <w:r>
              <w:rPr>
                <w:rFonts w:ascii="Calibri" w:hAnsi="Calibri"/>
                <w:b w:val="0"/>
                <w:color w:val="1A1A1A"/>
                <w:sz w:val="18"/>
              </w:rPr>
              <w:t>P2</w:t>
            </w:r>
          </w:p>
        </w:tc>
        <w:tc>
          <w:tcPr>
            <w:tcW w:type="dxa" w:w="2448"/>
            <w:shd w:val="clear" w:color="auto" w:fill="FBE9EF"/>
          </w:tcPr>
          <w:p>
            <w:pPr>
              <w:spacing w:before="40" w:after="40"/>
            </w:pPr>
            <w:r/>
            <w:r>
              <w:rPr>
                <w:rFonts w:ascii="Calibri" w:hAnsi="Calibri"/>
                <w:b/>
                <w:color w:val="A81845"/>
                <w:sz w:val="18"/>
              </w:rPr>
              <w:t>FAIL</w:t>
            </w:r>
          </w:p>
        </w:tc>
      </w:tr>
      <w:tr>
        <w:tc>
          <w:tcPr>
            <w:tcW w:type="dxa" w:w="2448"/>
          </w:tcPr>
          <w:p>
            <w:pPr>
              <w:spacing w:before="40" w:after="40"/>
            </w:pPr>
            <w:r/>
            <w:r>
              <w:rPr>
                <w:rFonts w:ascii="Calibri" w:hAnsi="Calibri"/>
                <w:b/>
                <w:color w:val="0A3176"/>
                <w:sz w:val="18"/>
              </w:rPr>
              <w:t>TC-INT-038</w:t>
            </w:r>
          </w:p>
        </w:tc>
        <w:tc>
          <w:tcPr>
            <w:tcW w:type="dxa" w:w="2448"/>
          </w:tcPr>
          <w:p>
            <w:pPr>
              <w:spacing w:before="40" w:after="40"/>
            </w:pPr>
            <w:r/>
            <w:r>
              <w:rPr>
                <w:rFonts w:ascii="Calibri" w:hAnsi="Calibri"/>
                <w:b w:val="0"/>
                <w:color w:val="1A1A1A"/>
                <w:sz w:val="18"/>
              </w:rPr>
              <w:t>Clean state reports zero differences</w:t>
            </w:r>
          </w:p>
        </w:tc>
        <w:tc>
          <w:tcPr>
            <w:tcW w:type="dxa" w:w="2448"/>
          </w:tcPr>
          <w:p>
            <w:pPr>
              <w:spacing w:before="40" w:after="40"/>
            </w:pPr>
            <w:r/>
            <w:r>
              <w:rPr>
                <w:rFonts w:ascii="Calibri" w:hAnsi="Calibri"/>
                <w:b w:val="0"/>
                <w:color w:val="1A1A1A"/>
                <w:sz w:val="18"/>
              </w:rPr>
              <w:t>P1</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TC-INT-044</w:t>
            </w:r>
          </w:p>
        </w:tc>
        <w:tc>
          <w:tcPr>
            <w:tcW w:type="dxa" w:w="2448"/>
          </w:tcPr>
          <w:p>
            <w:pPr>
              <w:spacing w:before="40" w:after="40"/>
            </w:pPr>
            <w:r/>
            <w:r>
              <w:rPr>
                <w:rFonts w:ascii="Calibri" w:hAnsi="Calibri"/>
                <w:b w:val="0"/>
                <w:color w:val="1A1A1A"/>
                <w:sz w:val="18"/>
              </w:rPr>
              <w:t>Only State__c is editable in the Salesforce mirror</w:t>
            </w:r>
          </w:p>
        </w:tc>
        <w:tc>
          <w:tcPr>
            <w:tcW w:type="dxa" w:w="2448"/>
          </w:tcPr>
          <w:p>
            <w:pPr>
              <w:spacing w:before="40" w:after="40"/>
            </w:pPr>
            <w:r/>
            <w:r>
              <w:rPr>
                <w:rFonts w:ascii="Calibri" w:hAnsi="Calibri"/>
                <w:b w:val="0"/>
                <w:color w:val="1A1A1A"/>
                <w:sz w:val="18"/>
              </w:rPr>
              <w:t>P2</w:t>
            </w:r>
          </w:p>
        </w:tc>
        <w:tc>
          <w:tcPr>
            <w:tcW w:type="dxa" w:w="2448"/>
            <w:shd w:val="clear" w:color="auto" w:fill="FBE9EF"/>
          </w:tcPr>
          <w:p>
            <w:pPr>
              <w:spacing w:before="40" w:after="40"/>
            </w:pPr>
            <w:r/>
            <w:r>
              <w:rPr>
                <w:rFonts w:ascii="Calibri" w:hAnsi="Calibri"/>
                <w:b/>
                <w:color w:val="A81845"/>
                <w:sz w:val="18"/>
              </w:rPr>
              <w:t>FAIL</w:t>
            </w:r>
          </w:p>
        </w:tc>
      </w:tr>
      <w:tr>
        <w:tc>
          <w:tcPr>
            <w:tcW w:type="dxa" w:w="2448"/>
          </w:tcPr>
          <w:p>
            <w:pPr>
              <w:spacing w:before="40" w:after="40"/>
            </w:pPr>
            <w:r/>
            <w:r>
              <w:rPr>
                <w:rFonts w:ascii="Calibri" w:hAnsi="Calibri"/>
                <w:b/>
                <w:color w:val="0A3176"/>
                <w:sz w:val="18"/>
              </w:rPr>
              <w:t>TC-INT-046</w:t>
            </w:r>
          </w:p>
        </w:tc>
        <w:tc>
          <w:tcPr>
            <w:tcW w:type="dxa" w:w="2448"/>
          </w:tcPr>
          <w:p>
            <w:pPr>
              <w:spacing w:before="40" w:after="40"/>
            </w:pPr>
            <w:r/>
            <w:r>
              <w:rPr>
                <w:rFonts w:ascii="Calibri" w:hAnsi="Calibri"/>
                <w:b w:val="0"/>
                <w:color w:val="1A1A1A"/>
                <w:sz w:val="18"/>
              </w:rPr>
              <w:t>Snapshot is read-only</w:t>
            </w:r>
          </w:p>
        </w:tc>
        <w:tc>
          <w:tcPr>
            <w:tcW w:type="dxa" w:w="2448"/>
          </w:tcPr>
          <w:p>
            <w:pPr>
              <w:spacing w:before="40" w:after="40"/>
            </w:pPr>
            <w:r/>
            <w:r>
              <w:rPr>
                <w:rFonts w:ascii="Calibri" w:hAnsi="Calibri"/>
                <w:b w:val="0"/>
                <w:color w:val="1A1A1A"/>
                <w:sz w:val="18"/>
              </w:rPr>
              <w:t>P2</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TC-INT-047</w:t>
            </w:r>
          </w:p>
        </w:tc>
        <w:tc>
          <w:tcPr>
            <w:tcW w:type="dxa" w:w="2448"/>
          </w:tcPr>
          <w:p>
            <w:pPr>
              <w:spacing w:before="40" w:after="40"/>
            </w:pPr>
            <w:r/>
            <w:r>
              <w:rPr>
                <w:rFonts w:ascii="Calibri" w:hAnsi="Calibri"/>
                <w:b w:val="0"/>
                <w:color w:val="1A1A1A"/>
                <w:sz w:val="18"/>
              </w:rPr>
              <w:t>Drift detection is automatic, repair never is</w:t>
            </w:r>
          </w:p>
        </w:tc>
        <w:tc>
          <w:tcPr>
            <w:tcW w:type="dxa" w:w="2448"/>
          </w:tcPr>
          <w:p>
            <w:pPr>
              <w:spacing w:before="40" w:after="40"/>
            </w:pPr>
            <w:r/>
            <w:r>
              <w:rPr>
                <w:rFonts w:ascii="Calibri" w:hAnsi="Calibri"/>
                <w:b w:val="0"/>
                <w:color w:val="1A1A1A"/>
                <w:sz w:val="18"/>
              </w:rPr>
              <w:t>P2</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TC-INT-048</w:t>
            </w:r>
          </w:p>
        </w:tc>
        <w:tc>
          <w:tcPr>
            <w:tcW w:type="dxa" w:w="2448"/>
          </w:tcPr>
          <w:p>
            <w:pPr>
              <w:spacing w:before="40" w:after="40"/>
            </w:pPr>
            <w:r/>
            <w:r>
              <w:rPr>
                <w:rFonts w:ascii="Calibri" w:hAnsi="Calibri"/>
                <w:b w:val="0"/>
                <w:color w:val="1A1A1A"/>
                <w:sz w:val="18"/>
              </w:rPr>
              <w:t>Grid matches the ServiceNow portal exactly</w:t>
            </w:r>
          </w:p>
        </w:tc>
        <w:tc>
          <w:tcPr>
            <w:tcW w:type="dxa" w:w="2448"/>
          </w:tcPr>
          <w:p>
            <w:pPr>
              <w:spacing w:before="40" w:after="40"/>
            </w:pPr>
            <w:r/>
            <w:r>
              <w:rPr>
                <w:rFonts w:ascii="Calibri" w:hAnsi="Calibri"/>
                <w:b w:val="0"/>
                <w:color w:val="1A1A1A"/>
                <w:sz w:val="18"/>
              </w:rPr>
              <w:t>P1</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TC-INT-049</w:t>
            </w:r>
          </w:p>
        </w:tc>
        <w:tc>
          <w:tcPr>
            <w:tcW w:type="dxa" w:w="2448"/>
          </w:tcPr>
          <w:p>
            <w:pPr>
              <w:spacing w:before="40" w:after="40"/>
            </w:pPr>
            <w:r/>
            <w:r>
              <w:rPr>
                <w:rFonts w:ascii="Calibri" w:hAnsi="Calibri"/>
                <w:b w:val="0"/>
                <w:color w:val="1A1A1A"/>
                <w:sz w:val="18"/>
              </w:rPr>
              <w:t>Columns are derived from data, not hard-coded</w:t>
            </w:r>
          </w:p>
        </w:tc>
        <w:tc>
          <w:tcPr>
            <w:tcW w:type="dxa" w:w="2448"/>
          </w:tcPr>
          <w:p>
            <w:pPr>
              <w:spacing w:before="40" w:after="40"/>
            </w:pPr>
            <w:r/>
            <w:r>
              <w:rPr>
                <w:rFonts w:ascii="Calibri" w:hAnsi="Calibri"/>
                <w:b w:val="0"/>
                <w:color w:val="1A1A1A"/>
                <w:sz w:val="18"/>
              </w:rPr>
              <w:t>P2</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TC-INT-050</w:t>
            </w:r>
          </w:p>
        </w:tc>
        <w:tc>
          <w:tcPr>
            <w:tcW w:type="dxa" w:w="2448"/>
          </w:tcPr>
          <w:p>
            <w:pPr>
              <w:spacing w:before="40" w:after="40"/>
            </w:pPr>
            <w:r/>
            <w:r>
              <w:rPr>
                <w:rFonts w:ascii="Calibri" w:hAnsi="Calibri"/>
                <w:b w:val="0"/>
                <w:color w:val="1A1A1A"/>
                <w:sz w:val="18"/>
              </w:rPr>
              <w:t>Compliant only when every control is compliant</w:t>
            </w:r>
          </w:p>
        </w:tc>
        <w:tc>
          <w:tcPr>
            <w:tcW w:type="dxa" w:w="2448"/>
          </w:tcPr>
          <w:p>
            <w:pPr>
              <w:spacing w:before="40" w:after="40"/>
            </w:pPr>
            <w:r/>
            <w:r>
              <w:rPr>
                <w:rFonts w:ascii="Calibri" w:hAnsi="Calibri"/>
                <w:b w:val="0"/>
                <w:color w:val="1A1A1A"/>
                <w:sz w:val="18"/>
              </w:rPr>
              <w:t>P1</w:t>
            </w:r>
          </w:p>
        </w:tc>
        <w:tc>
          <w:tcPr>
            <w:tcW w:type="dxa" w:w="2448"/>
            <w:shd w:val="clear" w:color="auto" w:fill="FBE9EF"/>
          </w:tcPr>
          <w:p>
            <w:pPr>
              <w:spacing w:before="40" w:after="40"/>
            </w:pPr>
            <w:r/>
            <w:r>
              <w:rPr>
                <w:rFonts w:ascii="Calibri" w:hAnsi="Calibri"/>
                <w:b/>
                <w:color w:val="A81845"/>
                <w:sz w:val="18"/>
              </w:rPr>
              <w:t>FAIL</w:t>
            </w:r>
          </w:p>
        </w:tc>
      </w:tr>
      <w:tr>
        <w:tc>
          <w:tcPr>
            <w:tcW w:type="dxa" w:w="2448"/>
          </w:tcPr>
          <w:p>
            <w:pPr>
              <w:spacing w:before="40" w:after="40"/>
            </w:pPr>
            <w:r/>
            <w:r>
              <w:rPr>
                <w:rFonts w:ascii="Calibri" w:hAnsi="Calibri"/>
                <w:b/>
                <w:color w:val="0A3176"/>
                <w:sz w:val="18"/>
              </w:rPr>
              <w:t>TC-INT-051</w:t>
            </w:r>
          </w:p>
        </w:tc>
        <w:tc>
          <w:tcPr>
            <w:tcW w:type="dxa" w:w="2448"/>
          </w:tcPr>
          <w:p>
            <w:pPr>
              <w:spacing w:before="40" w:after="40"/>
            </w:pPr>
            <w:r/>
            <w:r>
              <w:rPr>
                <w:rFonts w:ascii="Calibri" w:hAnsi="Calibri"/>
                <w:b w:val="0"/>
                <w:color w:val="1A1A1A"/>
                <w:sz w:val="18"/>
              </w:rPr>
              <w:t>Drill-in shows the request's tasks</w:t>
            </w:r>
          </w:p>
        </w:tc>
        <w:tc>
          <w:tcPr>
            <w:tcW w:type="dxa" w:w="2448"/>
          </w:tcPr>
          <w:p>
            <w:pPr>
              <w:spacing w:before="40" w:after="40"/>
            </w:pPr>
            <w:r/>
            <w:r>
              <w:rPr>
                <w:rFonts w:ascii="Calibri" w:hAnsi="Calibri"/>
                <w:b w:val="0"/>
                <w:color w:val="1A1A1A"/>
                <w:sz w:val="18"/>
              </w:rPr>
              <w:t>P1</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TC-INT-053</w:t>
            </w:r>
          </w:p>
        </w:tc>
        <w:tc>
          <w:tcPr>
            <w:tcW w:type="dxa" w:w="2448"/>
          </w:tcPr>
          <w:p>
            <w:pPr>
              <w:spacing w:before="40" w:after="40"/>
            </w:pPr>
            <w:r/>
            <w:r>
              <w:rPr>
                <w:rFonts w:ascii="Calibri" w:hAnsi="Calibri"/>
                <w:b w:val="0"/>
                <w:color w:val="1A1A1A"/>
                <w:sz w:val="18"/>
              </w:rPr>
              <w:t>Sync Health strip sits above the grid</w:t>
            </w:r>
          </w:p>
        </w:tc>
        <w:tc>
          <w:tcPr>
            <w:tcW w:type="dxa" w:w="2448"/>
          </w:tcPr>
          <w:p>
            <w:pPr>
              <w:spacing w:before="40" w:after="40"/>
            </w:pPr>
            <w:r/>
            <w:r>
              <w:rPr>
                <w:rFonts w:ascii="Calibri" w:hAnsi="Calibri"/>
                <w:b w:val="0"/>
                <w:color w:val="1A1A1A"/>
                <w:sz w:val="18"/>
              </w:rPr>
              <w:t>P2</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TC-INT-054</w:t>
            </w:r>
          </w:p>
        </w:tc>
        <w:tc>
          <w:tcPr>
            <w:tcW w:type="dxa" w:w="2448"/>
          </w:tcPr>
          <w:p>
            <w:pPr>
              <w:spacing w:before="40" w:after="40"/>
            </w:pPr>
            <w:r/>
            <w:r>
              <w:rPr>
                <w:rFonts w:ascii="Calibri" w:hAnsi="Calibri"/>
                <w:b w:val="0"/>
                <w:color w:val="1A1A1A"/>
                <w:sz w:val="18"/>
              </w:rPr>
              <w:t>The orphan request appears in neither grid</w:t>
            </w:r>
          </w:p>
        </w:tc>
        <w:tc>
          <w:tcPr>
            <w:tcW w:type="dxa" w:w="2448"/>
          </w:tcPr>
          <w:p>
            <w:pPr>
              <w:spacing w:before="40" w:after="40"/>
            </w:pPr>
            <w:r/>
            <w:r>
              <w:rPr>
                <w:rFonts w:ascii="Calibri" w:hAnsi="Calibri"/>
                <w:b w:val="0"/>
                <w:color w:val="1A1A1A"/>
                <w:sz w:val="18"/>
              </w:rPr>
              <w:t>P3</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TC-INT-055</w:t>
            </w:r>
          </w:p>
        </w:tc>
        <w:tc>
          <w:tcPr>
            <w:tcW w:type="dxa" w:w="2448"/>
          </w:tcPr>
          <w:p>
            <w:pPr>
              <w:spacing w:before="40" w:after="40"/>
            </w:pPr>
            <w:r/>
            <w:r>
              <w:rPr>
                <w:rFonts w:ascii="Calibri" w:hAnsi="Calibri"/>
                <w:b w:val="0"/>
                <w:color w:val="1A1A1A"/>
                <w:sz w:val="18"/>
              </w:rPr>
              <w:t>LWCs are droppable on an Experience Cloud page</w:t>
            </w:r>
          </w:p>
        </w:tc>
        <w:tc>
          <w:tcPr>
            <w:tcW w:type="dxa" w:w="2448"/>
          </w:tcPr>
          <w:p>
            <w:pPr>
              <w:spacing w:before="40" w:after="40"/>
            </w:pPr>
            <w:r/>
            <w:r>
              <w:rPr>
                <w:rFonts w:ascii="Calibri" w:hAnsi="Calibri"/>
                <w:b w:val="0"/>
                <w:color w:val="1A1A1A"/>
                <w:sz w:val="18"/>
              </w:rPr>
              <w:t>P3</w:t>
            </w:r>
          </w:p>
        </w:tc>
        <w:tc>
          <w:tcPr>
            <w:tcW w:type="dxa" w:w="2448"/>
            <w:shd w:val="clear" w:color="auto" w:fill="FDF1E0"/>
          </w:tcPr>
          <w:p>
            <w:pPr>
              <w:spacing w:before="40" w:after="40"/>
            </w:pPr>
            <w:r/>
            <w:r>
              <w:rPr>
                <w:rFonts w:ascii="Calibri" w:hAnsi="Calibri"/>
                <w:b/>
                <w:color w:val="B26A00"/>
                <w:sz w:val="18"/>
              </w:rPr>
              <w:t>BLOCKED</w:t>
            </w:r>
          </w:p>
        </w:tc>
      </w:tr>
      <w:tr>
        <w:tc>
          <w:tcPr>
            <w:tcW w:type="dxa" w:w="2448"/>
          </w:tcPr>
          <w:p>
            <w:pPr>
              <w:spacing w:before="40" w:after="40"/>
            </w:pPr>
            <w:r/>
            <w:r>
              <w:rPr>
                <w:rFonts w:ascii="Calibri" w:hAnsi="Calibri"/>
                <w:b/>
                <w:color w:val="0A3176"/>
                <w:sz w:val="18"/>
              </w:rPr>
              <w:t>TC-INT-059</w:t>
            </w:r>
          </w:p>
        </w:tc>
        <w:tc>
          <w:tcPr>
            <w:tcW w:type="dxa" w:w="2448"/>
          </w:tcPr>
          <w:p>
            <w:pPr>
              <w:spacing w:before="40" w:after="40"/>
            </w:pPr>
            <w:r/>
            <w:r>
              <w:rPr>
                <w:rFonts w:ascii="Calibri" w:hAnsi="Calibri"/>
                <w:b w:val="0"/>
                <w:color w:val="1A1A1A"/>
                <w:sz w:val="18"/>
              </w:rPr>
              <w:t>Named credential and Client Credentials auth</w:t>
            </w:r>
          </w:p>
        </w:tc>
        <w:tc>
          <w:tcPr>
            <w:tcW w:type="dxa" w:w="2448"/>
          </w:tcPr>
          <w:p>
            <w:pPr>
              <w:spacing w:before="40" w:after="40"/>
            </w:pPr>
            <w:r/>
            <w:r>
              <w:rPr>
                <w:rFonts w:ascii="Calibri" w:hAnsi="Calibri"/>
                <w:b w:val="0"/>
                <w:color w:val="1A1A1A"/>
                <w:sz w:val="18"/>
              </w:rPr>
              <w:t>P1</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TC-INT-060</w:t>
            </w:r>
          </w:p>
        </w:tc>
        <w:tc>
          <w:tcPr>
            <w:tcW w:type="dxa" w:w="2448"/>
          </w:tcPr>
          <w:p>
            <w:pPr>
              <w:spacing w:before="40" w:after="40"/>
            </w:pPr>
            <w:r/>
            <w:r>
              <w:rPr>
                <w:rFonts w:ascii="Calibri" w:hAnsi="Calibri"/>
                <w:b w:val="0"/>
                <w:color w:val="1A1A1A"/>
                <w:sz w:val="18"/>
              </w:rPr>
              <w:t>API budget consumption per journey</w:t>
            </w:r>
          </w:p>
        </w:tc>
        <w:tc>
          <w:tcPr>
            <w:tcW w:type="dxa" w:w="2448"/>
          </w:tcPr>
          <w:p>
            <w:pPr>
              <w:spacing w:before="40" w:after="40"/>
            </w:pPr>
            <w:r/>
            <w:r>
              <w:rPr>
                <w:rFonts w:ascii="Calibri" w:hAnsi="Calibri"/>
                <w:b w:val="0"/>
                <w:color w:val="1A1A1A"/>
                <w:sz w:val="18"/>
              </w:rPr>
              <w:t>P2</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TC-INT-061</w:t>
            </w:r>
          </w:p>
        </w:tc>
        <w:tc>
          <w:tcPr>
            <w:tcW w:type="dxa" w:w="2448"/>
          </w:tcPr>
          <w:p>
            <w:pPr>
              <w:spacing w:before="40" w:after="40"/>
            </w:pPr>
            <w:r/>
            <w:r>
              <w:rPr>
                <w:rFonts w:ascii="Calibri" w:hAnsi="Calibri"/>
                <w:b w:val="0"/>
                <w:color w:val="1A1A1A"/>
                <w:sz w:val="18"/>
              </w:rPr>
              <w:t>No Apex test coverage exists</w:t>
            </w:r>
          </w:p>
        </w:tc>
        <w:tc>
          <w:tcPr>
            <w:tcW w:type="dxa" w:w="2448"/>
          </w:tcPr>
          <w:p>
            <w:pPr>
              <w:spacing w:before="40" w:after="40"/>
            </w:pPr>
            <w:r/>
            <w:r>
              <w:rPr>
                <w:rFonts w:ascii="Calibri" w:hAnsi="Calibri"/>
                <w:b w:val="0"/>
                <w:color w:val="1A1A1A"/>
                <w:sz w:val="18"/>
              </w:rPr>
              <w:t>P2</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TC-SN-001</w:t>
            </w:r>
          </w:p>
        </w:tc>
        <w:tc>
          <w:tcPr>
            <w:tcW w:type="dxa" w:w="2448"/>
          </w:tcPr>
          <w:p>
            <w:pPr>
              <w:spacing w:before="40" w:after="40"/>
            </w:pPr>
            <w:r/>
            <w:r>
              <w:rPr>
                <w:rFonts w:ascii="Calibri" w:hAnsi="Calibri"/>
                <w:b w:val="0"/>
                <w:color w:val="1A1A1A"/>
                <w:sz w:val="18"/>
              </w:rPr>
              <w:t>caf_conformance_type on a request references a relationship, not a control</w:t>
            </w:r>
          </w:p>
        </w:tc>
        <w:tc>
          <w:tcPr>
            <w:tcW w:type="dxa" w:w="2448"/>
          </w:tcPr>
          <w:p>
            <w:pPr>
              <w:spacing w:before="40" w:after="40"/>
            </w:pPr>
            <w:r/>
            <w:r>
              <w:rPr>
                <w:rFonts w:ascii="Calibri" w:hAnsi="Calibri"/>
                <w:b w:val="0"/>
                <w:color w:val="1A1A1A"/>
                <w:sz w:val="18"/>
              </w:rPr>
              <w:t>P1</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TC-SN-006</w:t>
            </w:r>
          </w:p>
        </w:tc>
        <w:tc>
          <w:tcPr>
            <w:tcW w:type="dxa" w:w="2448"/>
          </w:tcPr>
          <w:p>
            <w:pPr>
              <w:spacing w:before="40" w:after="40"/>
            </w:pPr>
            <w:r/>
            <w:r>
              <w:rPr>
                <w:rFonts w:ascii="Calibri" w:hAnsi="Calibri"/>
                <w:b w:val="0"/>
                <w:color w:val="1A1A1A"/>
                <w:sz w:val="18"/>
              </w:rPr>
              <w:t>state is read-only on the request but writable on the task</w:t>
            </w:r>
          </w:p>
        </w:tc>
        <w:tc>
          <w:tcPr>
            <w:tcW w:type="dxa" w:w="2448"/>
          </w:tcPr>
          <w:p>
            <w:pPr>
              <w:spacing w:before="40" w:after="40"/>
            </w:pPr>
            <w:r/>
            <w:r>
              <w:rPr>
                <w:rFonts w:ascii="Calibri" w:hAnsi="Calibri"/>
                <w:b w:val="0"/>
                <w:color w:val="1A1A1A"/>
                <w:sz w:val="18"/>
              </w:rPr>
              <w:t>P2</w:t>
            </w:r>
          </w:p>
        </w:tc>
        <w:tc>
          <w:tcPr>
            <w:tcW w:type="dxa" w:w="2448"/>
            <w:shd w:val="clear" w:color="auto" w:fill="FBE9EF"/>
          </w:tcPr>
          <w:p>
            <w:pPr>
              <w:spacing w:before="40" w:after="40"/>
            </w:pPr>
            <w:r/>
            <w:r>
              <w:rPr>
                <w:rFonts w:ascii="Calibri" w:hAnsi="Calibri"/>
                <w:b/>
                <w:color w:val="A81845"/>
                <w:sz w:val="18"/>
              </w:rPr>
              <w:t>FAIL</w:t>
            </w:r>
          </w:p>
        </w:tc>
      </w:tr>
      <w:tr>
        <w:tc>
          <w:tcPr>
            <w:tcW w:type="dxa" w:w="2448"/>
          </w:tcPr>
          <w:p>
            <w:pPr>
              <w:spacing w:before="40" w:after="40"/>
            </w:pPr>
            <w:r/>
            <w:r>
              <w:rPr>
                <w:rFonts w:ascii="Calibri" w:hAnsi="Calibri"/>
                <w:b/>
                <w:color w:val="0A3176"/>
                <w:sz w:val="18"/>
              </w:rPr>
              <w:t>TC-SN-008</w:t>
            </w:r>
          </w:p>
        </w:tc>
        <w:tc>
          <w:tcPr>
            <w:tcW w:type="dxa" w:w="2448"/>
          </w:tcPr>
          <w:p>
            <w:pPr>
              <w:spacing w:before="40" w:after="40"/>
            </w:pPr>
            <w:r/>
            <w:r>
              <w:rPr>
                <w:rFonts w:ascii="Calibri" w:hAnsi="Calibri"/>
                <w:b w:val="0"/>
                <w:color w:val="1A1A1A"/>
                <w:sz w:val="18"/>
              </w:rPr>
              <w:t>Choice values match the documented set exactly</w:t>
            </w:r>
          </w:p>
        </w:tc>
        <w:tc>
          <w:tcPr>
            <w:tcW w:type="dxa" w:w="2448"/>
          </w:tcPr>
          <w:p>
            <w:pPr>
              <w:spacing w:before="40" w:after="40"/>
            </w:pPr>
            <w:r/>
            <w:r>
              <w:rPr>
                <w:rFonts w:ascii="Calibri" w:hAnsi="Calibri"/>
                <w:b w:val="0"/>
                <w:color w:val="1A1A1A"/>
                <w:sz w:val="18"/>
              </w:rPr>
              <w:t>P2</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TC-SN-017</w:t>
            </w:r>
          </w:p>
        </w:tc>
        <w:tc>
          <w:tcPr>
            <w:tcW w:type="dxa" w:w="2448"/>
          </w:tcPr>
          <w:p>
            <w:pPr>
              <w:spacing w:before="40" w:after="40"/>
            </w:pPr>
            <w:r/>
            <w:r>
              <w:rPr>
                <w:rFonts w:ascii="Calibri" w:hAnsi="Calibri"/>
                <w:b w:val="0"/>
                <w:color w:val="1A1A1A"/>
                <w:sz w:val="18"/>
              </w:rPr>
              <w:t>Business application flips to Compliant</w:t>
            </w:r>
          </w:p>
        </w:tc>
        <w:tc>
          <w:tcPr>
            <w:tcW w:type="dxa" w:w="2448"/>
          </w:tcPr>
          <w:p>
            <w:pPr>
              <w:spacing w:before="40" w:after="40"/>
            </w:pPr>
            <w:r/>
            <w:r>
              <w:rPr>
                <w:rFonts w:ascii="Calibri" w:hAnsi="Calibri"/>
                <w:b w:val="0"/>
                <w:color w:val="1A1A1A"/>
                <w:sz w:val="18"/>
              </w:rPr>
              <w:t>P1</w:t>
            </w:r>
          </w:p>
        </w:tc>
        <w:tc>
          <w:tcPr>
            <w:tcW w:type="dxa" w:w="2448"/>
            <w:shd w:val="clear" w:color="auto" w:fill="FBE9EF"/>
          </w:tcPr>
          <w:p>
            <w:pPr>
              <w:spacing w:before="40" w:after="40"/>
            </w:pPr>
            <w:r/>
            <w:r>
              <w:rPr>
                <w:rFonts w:ascii="Calibri" w:hAnsi="Calibri"/>
                <w:b/>
                <w:color w:val="A81845"/>
                <w:sz w:val="18"/>
              </w:rPr>
              <w:t>FAIL</w:t>
            </w:r>
          </w:p>
        </w:tc>
      </w:tr>
      <w:tr>
        <w:tc>
          <w:tcPr>
            <w:tcW w:type="dxa" w:w="2448"/>
          </w:tcPr>
          <w:p>
            <w:pPr>
              <w:spacing w:before="40" w:after="40"/>
            </w:pPr>
            <w:r/>
            <w:r>
              <w:rPr>
                <w:rFonts w:ascii="Calibri" w:hAnsi="Calibri"/>
                <w:b/>
                <w:color w:val="0A3176"/>
                <w:sz w:val="18"/>
              </w:rPr>
              <w:t>TC-SN-059</w:t>
            </w:r>
          </w:p>
        </w:tc>
        <w:tc>
          <w:tcPr>
            <w:tcW w:type="dxa" w:w="2448"/>
          </w:tcPr>
          <w:p>
            <w:pPr>
              <w:spacing w:before="40" w:after="40"/>
            </w:pPr>
            <w:r/>
            <w:r>
              <w:rPr>
                <w:rFonts w:ascii="Calibri" w:hAnsi="Calibri"/>
                <w:b w:val="0"/>
                <w:color w:val="1A1A1A"/>
                <w:sz w:val="18"/>
              </w:rPr>
              <w:t>Approval records are created consistently for attestation tasks</w:t>
            </w:r>
          </w:p>
        </w:tc>
        <w:tc>
          <w:tcPr>
            <w:tcW w:type="dxa" w:w="2448"/>
          </w:tcPr>
          <w:p>
            <w:pPr>
              <w:spacing w:before="40" w:after="40"/>
            </w:pPr>
            <w:r/>
            <w:r>
              <w:rPr>
                <w:rFonts w:ascii="Calibri" w:hAnsi="Calibri"/>
                <w:b w:val="0"/>
                <w:color w:val="1A1A1A"/>
                <w:sz w:val="18"/>
              </w:rPr>
              <w:t>P2</w:t>
            </w:r>
          </w:p>
        </w:tc>
        <w:tc>
          <w:tcPr>
            <w:tcW w:type="dxa" w:w="2448"/>
            <w:shd w:val="clear" w:color="auto" w:fill="FBE9EF"/>
          </w:tcPr>
          <w:p>
            <w:pPr>
              <w:spacing w:before="40" w:after="40"/>
            </w:pPr>
            <w:r/>
            <w:r>
              <w:rPr>
                <w:rFonts w:ascii="Calibri" w:hAnsi="Calibri"/>
                <w:b/>
                <w:color w:val="A81845"/>
                <w:sz w:val="18"/>
              </w:rPr>
              <w:t>FAIL</w:t>
            </w:r>
          </w:p>
        </w:tc>
      </w:tr>
      <w:tr>
        <w:tc>
          <w:tcPr>
            <w:tcW w:type="dxa" w:w="2448"/>
          </w:tcPr>
          <w:p>
            <w:pPr>
              <w:spacing w:before="40" w:after="40"/>
            </w:pPr>
            <w:r/>
            <w:r>
              <w:rPr>
                <w:rFonts w:ascii="Calibri" w:hAnsi="Calibri"/>
                <w:b/>
                <w:color w:val="0A3176"/>
                <w:sz w:val="18"/>
              </w:rPr>
              <w:t>TC-SN-067</w:t>
            </w:r>
          </w:p>
        </w:tc>
        <w:tc>
          <w:tcPr>
            <w:tcW w:type="dxa" w:w="2448"/>
          </w:tcPr>
          <w:p>
            <w:pPr>
              <w:spacing w:before="40" w:after="40"/>
            </w:pPr>
            <w:r/>
            <w:r>
              <w:rPr>
                <w:rFonts w:ascii="Calibri" w:hAnsi="Calibri"/>
                <w:b w:val="0"/>
                <w:color w:val="1A1A1A"/>
                <w:sz w:val="18"/>
              </w:rPr>
              <w:t>The orphan request never appears</w:t>
            </w:r>
          </w:p>
        </w:tc>
        <w:tc>
          <w:tcPr>
            <w:tcW w:type="dxa" w:w="2448"/>
          </w:tcPr>
          <w:p>
            <w:pPr>
              <w:spacing w:before="40" w:after="40"/>
            </w:pPr>
            <w:r/>
            <w:r>
              <w:rPr>
                <w:rFonts w:ascii="Calibri" w:hAnsi="Calibri"/>
                <w:b w:val="0"/>
                <w:color w:val="1A1A1A"/>
                <w:sz w:val="18"/>
              </w:rPr>
              <w:t>P3</w:t>
            </w:r>
          </w:p>
        </w:tc>
        <w:tc>
          <w:tcPr>
            <w:tcW w:type="dxa" w:w="2448"/>
            <w:shd w:val="clear" w:color="auto" w:fill="E6F4EC"/>
          </w:tcPr>
          <w:p>
            <w:pPr>
              <w:spacing w:before="40" w:after="40"/>
            </w:pPr>
            <w:r/>
            <w:r>
              <w:rPr>
                <w:rFonts w:ascii="Calibri" w:hAnsi="Calibri"/>
                <w:b/>
                <w:color w:val="0B6B3A"/>
                <w:sz w:val="18"/>
              </w:rPr>
              <w:t>PASS</w:t>
            </w:r>
          </w:p>
        </w:tc>
      </w:tr>
      <w:tr>
        <w:tc>
          <w:tcPr>
            <w:tcW w:type="dxa" w:w="2448"/>
          </w:tcPr>
          <w:p>
            <w:pPr>
              <w:spacing w:before="40" w:after="40"/>
            </w:pPr>
            <w:r/>
            <w:r>
              <w:rPr>
                <w:rFonts w:ascii="Calibri" w:hAnsi="Calibri"/>
                <w:b/>
                <w:color w:val="0A3176"/>
                <w:sz w:val="18"/>
              </w:rPr>
              <w:t>TC-SN-069</w:t>
            </w:r>
          </w:p>
        </w:tc>
        <w:tc>
          <w:tcPr>
            <w:tcW w:type="dxa" w:w="2448"/>
          </w:tcPr>
          <w:p>
            <w:pPr>
              <w:spacing w:before="40" w:after="40"/>
            </w:pPr>
            <w:r/>
            <w:r>
              <w:rPr>
                <w:rFonts w:ascii="Calibri" w:hAnsi="Calibri"/>
                <w:b w:val="0"/>
                <w:color w:val="1A1A1A"/>
                <w:sz w:val="18"/>
              </w:rPr>
              <w:t>A new CAF control appears as a new column, with no code change</w:t>
            </w:r>
          </w:p>
        </w:tc>
        <w:tc>
          <w:tcPr>
            <w:tcW w:type="dxa" w:w="2448"/>
          </w:tcPr>
          <w:p>
            <w:pPr>
              <w:spacing w:before="40" w:after="40"/>
            </w:pPr>
            <w:r/>
            <w:r>
              <w:rPr>
                <w:rFonts w:ascii="Calibri" w:hAnsi="Calibri"/>
                <w:b w:val="0"/>
                <w:color w:val="1A1A1A"/>
                <w:sz w:val="18"/>
              </w:rPr>
              <w:t>P1</w:t>
            </w:r>
          </w:p>
        </w:tc>
        <w:tc>
          <w:tcPr>
            <w:tcW w:type="dxa" w:w="2448"/>
            <w:shd w:val="clear" w:color="auto" w:fill="E6F4EC"/>
          </w:tcPr>
          <w:p>
            <w:pPr>
              <w:spacing w:before="40" w:after="40"/>
            </w:pPr>
            <w:r/>
            <w:r>
              <w:rPr>
                <w:rFonts w:ascii="Calibri" w:hAnsi="Calibri"/>
                <w:b/>
                <w:color w:val="0B6B3A"/>
                <w:sz w:val="18"/>
              </w:rPr>
              <w:t>PASS</w:t>
            </w:r>
          </w:p>
        </w:tc>
      </w:tr>
    </w:tbl>
    <w:p>
      <w:pPr>
        <w:keepNext/>
        <w:spacing w:before="280" w:after="80"/>
      </w:pPr>
      <w:r>
        <w:rPr>
          <w:b/>
          <w:color w:val="000724"/>
          <w:sz w:val="30"/>
        </w:rPr>
        <w:t>Failures requiring attention</w:t>
      </w:r>
    </w:p>
    <w:p>
      <w:pPr>
        <w:spacing w:before="160" w:after="40"/>
      </w:pPr>
      <w:r>
        <w:rPr>
          <w:b/>
          <w:color w:val="A81845"/>
          <w:sz w:val="23"/>
        </w:rPr>
        <w:t>TC-INT-037 — There is no named approver</w:t>
      </w:r>
    </w:p>
    <w:p>
      <w:pPr>
        <w:spacing w:after="60"/>
      </w:pPr>
      <w:r>
        <w:rPr>
          <w:i w:val="0"/>
          <w:color w:val="1A1A1A"/>
          <w:sz w:val="21"/>
        </w:rPr>
        <w:t>Expected zero CAF approval records; found 1 — CAFT0001002 (created by system). The absence of a named approver still holds: none of these names a human approver of an attestation.</w:t>
      </w:r>
    </w:p>
    <w:p>
      <w:pPr>
        <w:pStyle w:val="ListBullet"/>
        <w:spacing w:after="40"/>
      </w:pPr>
      <w:r>
        <w:rPr>
          <w:i w:val="0"/>
          <w:color w:val="1A1A1A"/>
          <w:sz w:val="19"/>
        </w:rPr>
        <w:t>HANDOFF section 6 states sysapproval_approver holds no CAF records at all. TC-SN-059 found one, on CAFT0001002, created by the flow. This case re-reads that from the live instance.</w:t>
      </w:r>
    </w:p>
    <w:p>
      <w:pPr>
        <w:pStyle w:val="ListBullet"/>
        <w:spacing w:after="40"/>
      </w:pPr>
      <w:r>
        <w:rPr>
          <w:i w:val="0"/>
          <w:color w:val="1A1A1A"/>
          <w:sz w:val="19"/>
        </w:rPr>
        <w:t>The finding this case exists to make stands either way: whoever presses the button in Salesforce is the approver, and the audit trail records only sf.integration. For a compliance product that is the weakest point in the evidence chain — HANDOFF open item 2.</w:t>
      </w:r>
    </w:p>
    <w:p>
      <w:pPr>
        <w:spacing w:before="160" w:after="40"/>
      </w:pPr>
      <w:r>
        <w:rPr>
          <w:b/>
          <w:color w:val="A81845"/>
          <w:sz w:val="23"/>
        </w:rPr>
        <w:t>TC-INT-044 — Only State__c is editable in the Salesforce mirror</w:t>
      </w:r>
    </w:p>
    <w:p>
      <w:pPr>
        <w:spacing w:after="60"/>
      </w:pPr>
      <w:r>
        <w:rPr>
          <w:i w:val="0"/>
          <w:color w:val="1A1A1A"/>
          <w:sz w:val="21"/>
        </w:rPr>
        <w:t>Expected State__c alone to be editable among mirrored fields; the layout also allows editing Name (Required).</w:t>
      </w:r>
    </w:p>
    <w:p>
      <w:pPr>
        <w:pStyle w:val="ListBullet"/>
        <w:spacing w:after="40"/>
      </w:pPr>
      <w:r>
        <w:rPr>
          <w:i w:val="0"/>
          <w:color w:val="1A1A1A"/>
          <w:sz w:val="19"/>
        </w:rPr>
        <w:t>The layout trap: a field missing from the layout shows a lock icon and refuses inline edit even when FLS grants Edit and describe reports updateable=true. "Deliberately Readonly" and "accidentally absent" look identical to a user, which is why this case reads the layout rather than only the describe.</w:t>
      </w:r>
    </w:p>
    <w:p>
      <w:pPr>
        <w:pStyle w:val="ListBullet"/>
        <w:spacing w:after="40"/>
      </w:pPr>
      <w:r>
        <w:rPr>
          <w:i w:val="0"/>
          <w:color w:val="1A1A1A"/>
          <w:sz w:val="19"/>
        </w:rPr>
        <w:t>Finding: Name is written on every push by CAFSalesforceSync — buildTaskPayload sets Name to the ServiceNow number — and is editable on the layout, so a user can change it in Salesforce. CafSyncHealth compares Status, State, Approval, Criteria met and Description, and never compares Name, so drift introduced this way is invisible to the Sync Health strip until the next push happens to overwrite it. Either make it Readonly or add it to the comparison.</w:t>
      </w:r>
    </w:p>
    <w:p>
      <w:pPr>
        <w:spacing w:before="160" w:after="40"/>
      </w:pPr>
      <w:r>
        <w:rPr>
          <w:b/>
          <w:color w:val="A81845"/>
          <w:sz w:val="23"/>
        </w:rPr>
        <w:t>TC-INT-050 — Compliant only when every control is compliant</w:t>
      </w:r>
    </w:p>
    <w:p>
      <w:pPr>
        <w:spacing w:after="60"/>
      </w:pPr>
      <w:r>
        <w:rPr>
          <w:i w:val="0"/>
          <w:color w:val="1A1A1A"/>
          <w:sz w:val="21"/>
        </w:rPr>
        <w:t>The two platforms visibly disagree about identical data — the split-brain outcome the case calls the worse of the two. SAP Fiori: ServiceNow u_caf_compliance_status = "compliant", Salesforce LWC renders "2 of 6" (2 of 6 requests in compliance) | SAP HANA: ServiceNow u_caf_compliance_status = "compliant", Salesforce LWC renders "2 of 6" (2 of 6 requests in compliance). The LWC is giving the arithmetically correct answer and ServiceNow the wrong one; the defect is in the ServiceNow business rule CAF - update BA when req compliant, not in the mirror.</w:t>
      </w:r>
    </w:p>
    <w:p>
      <w:pPr>
        <w:pStyle w:val="ListBullet"/>
        <w:spacing w:after="40"/>
      </w:pPr>
      <w:r>
        <w:rPr>
          <w:i w:val="0"/>
          <w:color w:val="1A1A1A"/>
          <w:sz w:val="19"/>
        </w:rPr>
        <w:t>Every business-application lookup in this case is keyed by sys_id. Two applications are named "SAP HANA" — 5470cc8583d31210bd2a5860ceaad372 (not_ini), 6e81683483431210bd2a5860ceaad398 (compliant) — so a lookup by name reads a status belonging to the other record.</w:t>
      </w:r>
    </w:p>
    <w:p>
      <w:pPr>
        <w:pStyle w:val="ListBullet"/>
        <w:spacing w:after="40"/>
      </w:pPr>
      <w:r>
        <w:rPr>
          <w:i w:val="0"/>
          <w:color w:val="1A1A1A"/>
          <w:sz w:val="19"/>
        </w:rPr>
        <w:t>The LWC computes its own roll-up in cafDashboard.build() from the mirrored CAF_Status__c values. It never reads u_caf_compliance_status, which is the field TC-SN-017 found wrong — so the two surfaces are answering from different data, not from one shared answer.</w:t>
      </w:r>
    </w:p>
    <w:p>
      <w:pPr>
        <w:pStyle w:val="ListBullet"/>
        <w:spacing w:after="40"/>
      </w:pPr>
      <w:r>
        <w:rPr>
          <w:i w:val="0"/>
          <w:color w:val="1A1A1A"/>
          <w:sz w:val="19"/>
        </w:rPr>
        <w:t>Separate observation worth raising on its own: allGreen compares against controls.length, the count of columns across the whole grid rather than the count of controls that application actually has a request for. An application with fewer requests than there are columns can therefore never read Compliant, regardless of its own compliance.</w:t>
      </w:r>
    </w:p>
    <w:p>
      <w:pPr>
        <w:spacing w:before="160" w:after="40"/>
      </w:pPr>
      <w:r>
        <w:rPr>
          <w:b/>
          <w:color w:val="A81845"/>
          <w:sz w:val="23"/>
        </w:rPr>
        <w:t>TC-SN-006 — state is read-only on the request but writable on the task</w:t>
      </w:r>
    </w:p>
    <w:p>
      <w:pPr>
        <w:spacing w:after="60"/>
      </w:pPr>
      <w:r>
        <w:rPr>
          <w:i w:val="0"/>
          <w:color w:val="1A1A1A"/>
          <w:sz w:val="21"/>
        </w:rPr>
        <w:t>The dictionary and the form disagree about caf_tsk.state. The dictionary assertion passes; the form contradicts it. Referred for a decision on intended behaviour before this is classed as a defect.</w:t>
      </w:r>
    </w:p>
    <w:p>
      <w:pPr>
        <w:pStyle w:val="ListBullet"/>
        <w:spacing w:after="40"/>
      </w:pPr>
      <w:r>
        <w:rPr>
          <w:i w:val="0"/>
          <w:color w:val="1A1A1A"/>
          <w:sz w:val="19"/>
        </w:rPr>
        <w:t>GAP: the dictionary makes caf_tsk.state writable, but the form reports it read-only on an OPEN task. Something on the form — most likely the client script "CAF Task On Load Logic" — is locking it.</w:t>
      </w:r>
    </w:p>
    <w:p>
      <w:pPr>
        <w:pStyle w:val="ListBullet"/>
        <w:spacing w:after="40"/>
      </w:pPr>
      <w:r>
        <w:rPr>
          <w:i w:val="0"/>
          <w:color w:val="1A1A1A"/>
          <w:sz w:val="19"/>
        </w:rPr>
        <w:t>Consequence: state is writable by the API but not through the native form. Either TC-SN-026 needs rewriting, or a task cannot be started from the ServiceNow form at all, which is an unstated workflow claim.</w:t>
      </w:r>
    </w:p>
    <w:p>
      <w:pPr>
        <w:spacing w:before="160" w:after="40"/>
      </w:pPr>
      <w:r>
        <w:rPr>
          <w:b/>
          <w:color w:val="A81845"/>
          <w:sz w:val="23"/>
        </w:rPr>
        <w:t>TC-SN-017 — Business application flips to Compliant</w:t>
      </w:r>
    </w:p>
    <w:p>
      <w:pPr>
        <w:spacing w:after="60"/>
      </w:pPr>
      <w:r>
        <w:rPr>
          <w:i w:val="0"/>
          <w:color w:val="1A1A1A"/>
          <w:sz w:val="21"/>
        </w:rPr>
        <w:t>2 business application(s) are reported compliant while controls are out of compliance. Severity: high — this is the headline number on the compliance dashboard.</w:t>
      </w:r>
    </w:p>
    <w:p>
      <w:pPr>
        <w:pStyle w:val="ListBullet"/>
        <w:spacing w:after="40"/>
      </w:pPr>
      <w:r>
        <w:rPr>
          <w:i w:val="0"/>
          <w:color w:val="1A1A1A"/>
          <w:sz w:val="19"/>
        </w:rPr>
        <w:t>The /caf grid renders u_caf_compliance_status faithfully, so it displays "Compliant" beside red control dots. The grid is not at fault; the field it reads is wrong.</w:t>
      </w:r>
    </w:p>
    <w:p>
      <w:pPr>
        <w:pStyle w:val="ListBullet"/>
        <w:spacing w:after="40"/>
      </w:pPr>
      <w:r>
        <w:rPr>
          <w:i w:val="0"/>
          <w:color w:val="1A1A1A"/>
          <w:sz w:val="19"/>
        </w:rPr>
        <w:t>Suspected cause: business rule "CAF - update BA when req compliant" (after update, order 1500, filter caf_statusCHANGESTOin_compliance) sets the application compliant whenever ANY request goes compliant, without checking whether its siblings still are not.</w:t>
      </w:r>
    </w:p>
    <w:p>
      <w:pPr>
        <w:pStyle w:val="ListBullet"/>
        <w:spacing w:after="40"/>
      </w:pPr>
      <w:r>
        <w:rPr>
          <w:i w:val="0"/>
          <w:color w:val="1A1A1A"/>
          <w:sz w:val="19"/>
        </w:rPr>
        <w:t>This falsifies HANDOFF section 3: "An app is compliant only when every control is, matching the ServiceNow widget." The Salesforce LWC is documented as mirroring that behaviour, so the same wrong answer is likely on both platforms — see TC-INT-050.</w:t>
      </w:r>
    </w:p>
    <w:p>
      <w:pPr>
        <w:spacing w:before="160" w:after="40"/>
      </w:pPr>
      <w:r>
        <w:rPr>
          <w:b/>
          <w:color w:val="A81845"/>
          <w:sz w:val="23"/>
        </w:rPr>
        <w:t>TC-SN-059 — Approval records are created consistently for attestation tasks</w:t>
      </w:r>
    </w:p>
    <w:p>
      <w:pPr>
        <w:spacing w:after="60"/>
      </w:pPr>
      <w:r>
        <w:rPr>
          <w:i w:val="0"/>
          <w:color w:val="1A1A1A"/>
          <w:sz w:val="21"/>
        </w:rPr>
        <w:t>Approval creation is inconsistent: 1 of 12 attestation tasks have an approver record. Determine what distinguishes them before this reaches a client.</w:t>
      </w:r>
    </w:p>
    <w:p>
      <w:pPr>
        <w:pStyle w:val="ListBullet"/>
        <w:spacing w:after="40"/>
      </w:pPr>
      <w:r>
        <w:rPr>
          <w:i w:val="0"/>
          <w:color w:val="1A1A1A"/>
          <w:sz w:val="19"/>
        </w:rPr>
        <w:t>HANDOFF section 6 states "sysapproval_approver holds no CAF records at all". That is no longer true — 1 record(s) now exist, created by "system", i.e. by the flow rather than by the inactive business rule "CAF - Approval Task".</w:t>
      </w:r>
    </w:p>
    <w:p>
      <w:pPr>
        <w:pStyle w:val="ListBullet"/>
        <w:spacing w:after="40"/>
      </w:pPr>
      <w:r>
        <w:rPr>
          <w:i w:val="0"/>
          <w:color w:val="1A1A1A"/>
          <w:sz w:val="19"/>
        </w:rPr>
        <w:t>The problem is not that approvals exist; it is that they exist for SOME attestation tasks and not others. Identical tasks from the same template, created by the same process, are being treated differently.</w:t>
      </w:r>
    </w:p>
    <w:p>
      <w:pPr>
        <w:pStyle w:val="ListBullet"/>
        <w:spacing w:after="40"/>
      </w:pPr>
      <w:r>
        <w:rPr>
          <w:i w:val="0"/>
          <w:color w:val="1A1A1A"/>
          <w:sz w:val="19"/>
        </w:rPr>
        <w:t>Consequence: notification "CAF - Approval Requested" fires for a minority of attestations and stays silent for the rest, so an approver is emailed sometimes and not others, with no visible reason. Tasks with no approval record still have no named approver at all — HANDOFF open item 2.</w:t>
      </w:r>
    </w:p>
    <w:p>
      <w:pPr>
        <w:spacing w:before="0" w:after="80"/>
        <w:pBdr>
          <w:bottom w:val="single" w:sz="6" w:color="D5D9E0"/>
        </w:pBdr>
      </w:pPr>
    </w:p>
    <w:p>
      <w:pPr>
        <w:spacing w:after="80"/>
      </w:pPr>
      <w:r>
        <w:rPr>
          <w:i/>
          <w:color w:val="606676"/>
          <w:sz w:val="15"/>
        </w:rPr>
        <w:t>Confidential. Prepared by Reyan Technologies. Contains system test evidence and must not be redistributed without written consent.</w:t>
      </w:r>
    </w:p>
    <w:sectPr w:rsidR="00FC693F" w:rsidRPr="0006063C" w:rsidSect="00034616">
      <w:headerReference w:type="default" r:id="rId9"/>
      <w:footerReference w:type="default" r:id="rId10"/>
      <w:pgSz w:w="12240" w:h="15840"/>
      <w:pgMar w:top="1224" w:right="1224" w:bottom="1224"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606676"/>
        <w:sz w:val="15"/>
      </w:rPr>
      <w:t xml:space="preserve">Confidential.   </w:t>
    </w:r>
    <w:r>
      <w:tab/>
      <w:tab/>
    </w:r>
    <w:r>
      <w:rPr>
        <w:color w:val="606676"/>
        <w:sz w:val="15"/>
      </w:rPr>
      <w:t xml:space="preserve">Page </w:t>
    </w:r>
    <w:r>
      <w:rPr>
        <w:sz w:val="15"/>
      </w:rPr>
      <w:fldChar w:fldCharType="begin"/>
      <w:instrText xml:space="preserve">PAGE</w:instrText>
      <w:fldChar w:fldCharType="end"/>
    </w:r>
    <w:r>
      <w:rPr>
        <w:color w:val="606676"/>
        <w:sz w:val="15"/>
      </w:rPr>
      <w:t xml:space="preserve"> of </w:t>
    </w:r>
    <w:r>
      <w:rPr>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r>
      <w:rPr>
        <w:b/>
        <w:color w:val="0A3176"/>
        <w:sz w:val="18"/>
      </w:rPr>
      <w:t>RUN SUMMARY   ·   CAF Compliance — ServiceNow test execution</w:t>
    </w:r>
    <w:r>
      <w:tab/>
      <w:tab/>
    </w:r>
    <w:r>
      <w:rPr>
        <w:color w:val="606676"/>
        <w:sz w:val="18"/>
      </w:rPr>
      <w:t>CAF Compliance Test Evidence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