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jc w:val="left"/>
      </w:pPr>
      <w:r>
        <w:drawing>
          <wp:inline xmlns:a="http://schemas.openxmlformats.org/drawingml/2006/main" xmlns:pic="http://schemas.openxmlformats.org/drawingml/2006/picture">
            <wp:extent cx="1554480" cy="801529"/>
            <wp:docPr id="1" name="Picture 1"/>
            <wp:cNvGraphicFramePr>
              <a:graphicFrameLocks noChangeAspect="1"/>
            </wp:cNvGraphicFramePr>
            <a:graphic>
              <a:graphicData uri="http://schemas.openxmlformats.org/drawingml/2006/picture">
                <pic:pic>
                  <pic:nvPicPr>
                    <pic:cNvPr id="0" name="reyan-logo.png"/>
                    <pic:cNvPicPr/>
                  </pic:nvPicPr>
                  <pic:blipFill>
                    <a:blip r:embed="rId11"/>
                    <a:stretch>
                      <a:fillRect/>
                    </a:stretch>
                  </pic:blipFill>
                  <pic:spPr>
                    <a:xfrm>
                      <a:off x="0" y="0"/>
                      <a:ext cx="1554480" cy="801529"/>
                    </a:xfrm>
                    <a:prstGeom prst="rect"/>
                  </pic:spPr>
                </pic:pic>
              </a:graphicData>
            </a:graphic>
          </wp:inline>
        </w:drawing>
      </w:r>
    </w:p>
    <w:p>
      <w:pPr>
        <w:spacing w:after="40"/>
      </w:pPr>
      <w:r>
        <w:rPr>
          <w:b/>
          <w:color w:val="0A3176"/>
          <w:sz w:val="20"/>
        </w:rPr>
        <w:t>CAF Compliance  ·  Test Evidence Record</w:t>
      </w:r>
    </w:p>
    <w:p>
      <w:pPr>
        <w:spacing w:after="80"/>
      </w:pPr>
      <w:r>
        <w:rPr>
          <w:b/>
          <w:color w:val="000724"/>
          <w:sz w:val="52"/>
        </w:rPr>
        <w:t>TC-INT-008</w:t>
      </w:r>
    </w:p>
    <w:p>
      <w:pPr>
        <w:spacing w:after="400"/>
      </w:pPr>
      <w:r>
        <w:rPr>
          <w:color w:val="1A1A1A"/>
          <w:sz w:val="28"/>
        </w:rPr>
        <w:t>Blank and null are treated as equal</w:t>
      </w:r>
    </w:p>
    <w:tbl>
      <w:tblPr>
        <w:tblW w:type="auto" w:w="0"/>
        <w:jc w:val="left"/>
        <w:tblLook w:firstColumn="1" w:firstRow="1" w:lastColumn="0" w:lastRow="0" w:noHBand="0" w:noVBand="1" w:val="04A0"/>
      </w:tblPr>
      <w:tblGrid>
        <w:gridCol w:w="3600"/>
      </w:tblGrid>
      <w:tr>
        <w:tc>
          <w:tcPr>
            <w:tcW w:type="dxa" w:w="9792"/>
            <w:shd w:val="clear" w:color="auto" w:fill="E6F4EC"/>
          </w:tcPr>
          <w:p>
            <w:pPr>
              <w:spacing w:before="120" w:after="120"/>
            </w:pPr>
            <w:r/>
            <w:r>
              <w:rPr>
                <w:rFonts w:ascii="Calibri" w:hAnsi="Calibri"/>
                <w:b/>
                <w:color w:val="0B6B3A"/>
                <w:sz w:val="26"/>
              </w:rPr>
              <w:t>RESULT:  PASS</w:t>
            </w:r>
          </w:p>
        </w:tc>
      </w:tr>
    </w:tbl>
    <w:p>
      <w:pPr>
        <w:spacing w:after="200"/>
      </w:pPr>
    </w:p>
    <w:p>
      <w:pPr>
        <w:spacing w:after="320"/>
      </w:pPr>
      <w:r>
        <w:rPr>
          <w:i w:val="0"/>
          <w:color w:val="1A1A1A"/>
          <w:sz w:val="20"/>
        </w:rPr>
        <w:t>No false-positive drift from blank-versus-null.</w:t>
      </w:r>
    </w:p>
    <w:tbl>
      <w:tblPr>
        <w:tblStyle w:val="TableGrid"/>
        <w:tblW w:type="auto" w:w="0"/>
        <w:tblLook w:firstColumn="1" w:firstRow="1" w:lastColumn="0" w:lastRow="0" w:noHBand="0" w:noVBand="1" w:val="04A0"/>
      </w:tblPr>
      <w:tblGrid>
        <w:gridCol w:w="2736"/>
        <w:gridCol w:w="6480"/>
      </w:tblGrid>
      <w:tr>
        <w:tc>
          <w:tcPr>
            <w:tcW w:type="dxa" w:w="4896"/>
            <w:shd w:val="clear" w:color="auto" w:fill="F4F6F9"/>
          </w:tcPr>
          <w:p>
            <w:pPr>
              <w:spacing w:before="40" w:after="40"/>
            </w:pPr>
            <w:r/>
            <w:r>
              <w:rPr>
                <w:rFonts w:ascii="Calibri" w:hAnsi="Calibri"/>
                <w:b/>
                <w:color w:val="000724"/>
                <w:sz w:val="18"/>
              </w:rPr>
              <w:t>Test case</w:t>
            </w:r>
          </w:p>
        </w:tc>
        <w:tc>
          <w:tcPr>
            <w:tcW w:type="dxa" w:w="4896"/>
          </w:tcPr>
          <w:p>
            <w:pPr>
              <w:spacing w:before="40" w:after="40"/>
            </w:pPr>
            <w:r/>
            <w:r>
              <w:rPr>
                <w:rFonts w:ascii="Calibri" w:hAnsi="Calibri"/>
                <w:b w:val="0"/>
                <w:color w:val="1A1A1A"/>
                <w:sz w:val="18"/>
              </w:rPr>
              <w:t>TC-INT-008</w:t>
            </w:r>
          </w:p>
        </w:tc>
      </w:tr>
      <w:tr>
        <w:tc>
          <w:tcPr>
            <w:tcW w:type="dxa" w:w="4896"/>
            <w:shd w:val="clear" w:color="auto" w:fill="F4F6F9"/>
          </w:tcPr>
          <w:p>
            <w:pPr>
              <w:spacing w:before="40" w:after="40"/>
            </w:pPr>
            <w:r/>
            <w:r>
              <w:rPr>
                <w:rFonts w:ascii="Calibri" w:hAnsi="Calibri"/>
                <w:b/>
                <w:color w:val="000724"/>
                <w:sz w:val="18"/>
              </w:rPr>
              <w:t>Priority</w:t>
            </w:r>
          </w:p>
        </w:tc>
        <w:tc>
          <w:tcPr>
            <w:tcW w:type="dxa" w:w="4896"/>
          </w:tcPr>
          <w:p>
            <w:pPr>
              <w:spacing w:before="40" w:after="40"/>
            </w:pPr>
            <w:r/>
            <w:r>
              <w:rPr>
                <w:rFonts w:ascii="Calibri" w:hAnsi="Calibri"/>
                <w:b w:val="0"/>
                <w:color w:val="1A1A1A"/>
                <w:sz w:val="18"/>
              </w:rPr>
              <w:t>P2</w:t>
            </w:r>
          </w:p>
        </w:tc>
      </w:tr>
      <w:tr>
        <w:tc>
          <w:tcPr>
            <w:tcW w:type="dxa" w:w="4896"/>
            <w:shd w:val="clear" w:color="auto" w:fill="F4F6F9"/>
          </w:tcPr>
          <w:p>
            <w:pPr>
              <w:spacing w:before="40" w:after="40"/>
            </w:pPr>
            <w:r/>
            <w:r>
              <w:rPr>
                <w:rFonts w:ascii="Calibri" w:hAnsi="Calibri"/>
                <w:b/>
                <w:color w:val="000724"/>
                <w:sz w:val="18"/>
              </w:rPr>
              <w:t>Type</w:t>
            </w:r>
          </w:p>
        </w:tc>
        <w:tc>
          <w:tcPr>
            <w:tcW w:type="dxa" w:w="4896"/>
          </w:tcPr>
          <w:p>
            <w:pPr>
              <w:spacing w:before="40" w:after="40"/>
            </w:pPr>
            <w:r/>
            <w:r>
              <w:rPr>
                <w:rFonts w:ascii="Calibri" w:hAnsi="Calibri"/>
                <w:b w:val="0"/>
                <w:color w:val="1A1A1A"/>
                <w:sz w:val="18"/>
              </w:rPr>
              <w:t>Boundary</w:t>
            </w:r>
          </w:p>
        </w:tc>
      </w:tr>
      <w:tr>
        <w:tc>
          <w:tcPr>
            <w:tcW w:type="dxa" w:w="4896"/>
            <w:shd w:val="clear" w:color="auto" w:fill="F4F6F9"/>
          </w:tcPr>
          <w:p>
            <w:pPr>
              <w:spacing w:before="40" w:after="40"/>
            </w:pPr>
            <w:r/>
            <w:r>
              <w:rPr>
                <w:rFonts w:ascii="Calibri" w:hAnsi="Calibri"/>
                <w:b/>
                <w:color w:val="000724"/>
                <w:sz w:val="18"/>
              </w:rPr>
              <w:t>Component under test</w:t>
            </w:r>
          </w:p>
        </w:tc>
        <w:tc>
          <w:tcPr>
            <w:tcW w:type="dxa" w:w="4896"/>
          </w:tcPr>
          <w:p>
            <w:pPr>
              <w:spacing w:before="40" w:after="40"/>
            </w:pPr>
            <w:r/>
            <w:r>
              <w:rPr>
                <w:rFonts w:ascii="Calibri" w:hAnsi="Calibri"/>
                <w:b w:val="0"/>
                <w:color w:val="1A1A1A"/>
                <w:sz w:val="18"/>
              </w:rPr>
              <w:t>CafSyncHealth comparison</w:t>
            </w:r>
          </w:p>
        </w:tc>
      </w:tr>
      <w:tr>
        <w:tc>
          <w:tcPr>
            <w:tcW w:type="dxa" w:w="4896"/>
            <w:shd w:val="clear" w:color="auto" w:fill="F4F6F9"/>
          </w:tcPr>
          <w:p>
            <w:pPr>
              <w:spacing w:before="40" w:after="40"/>
            </w:pPr>
            <w:r/>
            <w:r>
              <w:rPr>
                <w:rFonts w:ascii="Calibri" w:hAnsi="Calibri"/>
                <w:b/>
                <w:color w:val="000724"/>
                <w:sz w:val="18"/>
              </w:rPr>
              <w:t>Application</w:t>
            </w:r>
          </w:p>
        </w:tc>
        <w:tc>
          <w:tcPr>
            <w:tcW w:type="dxa" w:w="4896"/>
          </w:tcPr>
          <w:p>
            <w:pPr>
              <w:spacing w:before="40" w:after="40"/>
            </w:pPr>
            <w:r/>
            <w:r>
              <w:rPr>
                <w:rFonts w:ascii="Calibri" w:hAnsi="Calibri"/>
                <w:b w:val="0"/>
                <w:color w:val="1A1A1A"/>
                <w:sz w:val="18"/>
              </w:rPr>
              <w:t>CAF Compliance — scope x_gskn2_caf_compli</w:t>
            </w:r>
          </w:p>
        </w:tc>
      </w:tr>
      <w:tr>
        <w:tc>
          <w:tcPr>
            <w:tcW w:type="dxa" w:w="4896"/>
            <w:shd w:val="clear" w:color="auto" w:fill="F4F6F9"/>
          </w:tcPr>
          <w:p>
            <w:pPr>
              <w:spacing w:before="40" w:after="40"/>
            </w:pPr>
            <w:r/>
            <w:r>
              <w:rPr>
                <w:rFonts w:ascii="Calibri" w:hAnsi="Calibri"/>
                <w:b/>
                <w:color w:val="000724"/>
                <w:sz w:val="18"/>
              </w:rPr>
              <w:t>Environment</w:t>
            </w:r>
          </w:p>
        </w:tc>
        <w:tc>
          <w:tcPr>
            <w:tcW w:type="dxa" w:w="4896"/>
          </w:tcPr>
          <w:p>
            <w:pPr>
              <w:spacing w:before="40" w:after="40"/>
            </w:pPr>
            <w:r/>
            <w:r>
              <w:rPr>
                <w:rFonts w:ascii="Calibri" w:hAnsi="Calibri"/>
                <w:b w:val="0"/>
                <w:color w:val="1A1A1A"/>
                <w:sz w:val="18"/>
              </w:rPr>
              <w:t>https://dev281754.service-now.com</w:t>
            </w:r>
          </w:p>
        </w:tc>
      </w:tr>
      <w:tr>
        <w:tc>
          <w:tcPr>
            <w:tcW w:type="dxa" w:w="4896"/>
            <w:shd w:val="clear" w:color="auto" w:fill="F4F6F9"/>
          </w:tcPr>
          <w:p>
            <w:pPr>
              <w:spacing w:before="40" w:after="40"/>
            </w:pPr>
            <w:r/>
            <w:r>
              <w:rPr>
                <w:rFonts w:ascii="Calibri" w:hAnsi="Calibri"/>
                <w:b/>
                <w:color w:val="000724"/>
                <w:sz w:val="18"/>
              </w:rPr>
              <w:t>Executed by</w:t>
            </w:r>
          </w:p>
        </w:tc>
        <w:tc>
          <w:tcPr>
            <w:tcW w:type="dxa" w:w="4896"/>
          </w:tcPr>
          <w:p>
            <w:pPr>
              <w:spacing w:before="40" w:after="40"/>
            </w:pPr>
            <w:r/>
            <w:r>
              <w:rPr>
                <w:rFonts w:ascii="Calibri" w:hAnsi="Calibri"/>
                <w:b w:val="0"/>
                <w:color w:val="1A1A1A"/>
                <w:sz w:val="18"/>
              </w:rPr>
              <w:t>admin</w:t>
            </w:r>
          </w:p>
        </w:tc>
      </w:tr>
      <w:tr>
        <w:tc>
          <w:tcPr>
            <w:tcW w:type="dxa" w:w="4896"/>
            <w:shd w:val="clear" w:color="auto" w:fill="F4F6F9"/>
          </w:tcPr>
          <w:p>
            <w:pPr>
              <w:spacing w:before="40" w:after="40"/>
            </w:pPr>
            <w:r/>
            <w:r>
              <w:rPr>
                <w:rFonts w:ascii="Calibri" w:hAnsi="Calibri"/>
                <w:b/>
                <w:color w:val="000724"/>
                <w:sz w:val="18"/>
              </w:rPr>
              <w:t>Execution method</w:t>
            </w:r>
          </w:p>
        </w:tc>
        <w:tc>
          <w:tcPr>
            <w:tcW w:type="dxa" w:w="4896"/>
          </w:tcPr>
          <w:p>
            <w:pPr>
              <w:spacing w:before="40" w:after="40"/>
            </w:pPr>
            <w:r/>
            <w:r>
              <w:rPr>
                <w:rFonts w:ascii="Calibri" w:hAnsi="Calibri"/>
                <w:b w:val="0"/>
                <w:color w:val="1A1A1A"/>
                <w:sz w:val="18"/>
              </w:rPr>
              <w:t>Playwright (automated); every assertion cross-checked against the ServiceNow Table API</w:t>
            </w:r>
          </w:p>
        </w:tc>
      </w:tr>
      <w:tr>
        <w:tc>
          <w:tcPr>
            <w:tcW w:type="dxa" w:w="4896"/>
            <w:shd w:val="clear" w:color="auto" w:fill="F4F6F9"/>
          </w:tcPr>
          <w:p>
            <w:pPr>
              <w:spacing w:before="40" w:after="40"/>
            </w:pPr>
            <w:r/>
            <w:r>
              <w:rPr>
                <w:rFonts w:ascii="Calibri" w:hAnsi="Calibri"/>
                <w:b/>
                <w:color w:val="000724"/>
                <w:sz w:val="18"/>
              </w:rPr>
              <w:t>Specification</w:t>
            </w:r>
          </w:p>
        </w:tc>
        <w:tc>
          <w:tcPr>
            <w:tcW w:type="dxa" w:w="4896"/>
          </w:tcPr>
          <w:p>
            <w:pPr>
              <w:spacing w:before="40" w:after="40"/>
            </w:pPr>
            <w:r/>
            <w:r>
              <w:rPr>
                <w:rFonts w:ascii="Calibri" w:hAnsi="Calibri"/>
                <w:b w:val="0"/>
                <w:color w:val="1A1A1A"/>
                <w:sz w:val="18"/>
              </w:rPr>
              <w:t>TEST-CASES-INTEGRATION.md</w:t>
            </w:r>
          </w:p>
        </w:tc>
      </w:tr>
    </w:tbl>
    <w:p>
      <w:r>
        <w:br w:type="page"/>
      </w:r>
    </w:p>
    <w:p>
      <w:pPr>
        <w:keepNext/>
        <w:spacing w:before="0" w:after="80"/>
      </w:pPr>
      <w:r>
        <w:rPr>
          <w:b/>
          <w:color w:val="000724"/>
          <w:sz w:val="30"/>
        </w:rPr>
        <w:t>Purpose</w:t>
      </w:r>
    </w:p>
    <w:p>
      <w:pPr>
        <w:spacing w:after="80"/>
      </w:pPr>
      <w:r>
        <w:rPr>
          <w:i w:val="0"/>
          <w:color w:val="1A1A1A"/>
          <w:sz w:val="21"/>
        </w:rPr>
        <w:t>ServiceNow returns null for an empty field; Salesforce may hold null or empty string. Treating them as different would report drift on every record with an empty approval, which is most of them.</w:t>
      </w:r>
    </w:p>
    <w:p>
      <w:pPr>
        <w:keepNext/>
        <w:spacing w:before="280" w:after="80"/>
      </w:pPr>
      <w:r>
        <w:rPr>
          <w:b/>
          <w:color w:val="000724"/>
          <w:sz w:val="30"/>
        </w:rPr>
        <w:t>Expected result</w:t>
      </w:r>
    </w:p>
    <w:p>
      <w:pPr>
        <w:pStyle w:val="ListBullet"/>
        <w:spacing w:after="80"/>
      </w:pPr>
      <w:r>
        <w:rPr>
          <w:i w:val="0"/>
          <w:color w:val="1A1A1A"/>
          <w:sz w:val="21"/>
        </w:rPr>
        <w:t>Records with an empty mirrored field on one or both sides raise zero differences.</w:t>
      </w:r>
    </w:p>
    <w:p>
      <w:pPr>
        <w:pStyle w:val="ListBullet"/>
        <w:spacing w:after="80"/>
      </w:pPr>
      <w:r>
        <w:rPr>
          <w:i w:val="0"/>
          <w:color w:val="1A1A1A"/>
          <w:sz w:val="21"/>
        </w:rPr>
        <w:t>This is the single most likely source of false-positive drift.</w:t>
      </w:r>
    </w:p>
    <w:p>
      <w:pPr>
        <w:keepNext/>
        <w:spacing w:before="280" w:after="80"/>
      </w:pPr>
      <w:r>
        <w:rPr>
          <w:b/>
          <w:color w:val="000724"/>
          <w:sz w:val="30"/>
        </w:rPr>
        <w:t>Steps executed</w:t>
      </w:r>
    </w:p>
    <w:p>
      <w:pPr>
        <w:keepNext/>
        <w:spacing w:before="120" w:after="40"/>
      </w:pPr>
      <w:r>
        <w:rPr>
          <w:b/>
          <w:color w:val="0A3176"/>
          <w:sz w:val="23"/>
        </w:rPr>
        <w:t xml:space="preserve">Step 1   </w:t>
      </w:r>
      <w:r>
        <w:rPr>
          <w:sz w:val="21"/>
        </w:rPr>
        <w:t>Count records that currently have an empty mirrored optional field on at least one side.</w:t>
      </w:r>
    </w:p>
    <w:p>
      <w:pPr>
        <w:keepNext/>
        <w:spacing w:before="120" w:after="40"/>
      </w:pPr>
      <w:r>
        <w:rPr>
          <w:b/>
          <w:color w:val="0A3176"/>
          <w:sz w:val="23"/>
        </w:rPr>
        <w:t xml:space="preserve">Step 2   </w:t>
      </w:r>
      <w:r>
        <w:rPr>
          <w:sz w:val="21"/>
        </w:rPr>
        <w:t>Run the real comparison — CafSyncHealth.check() — and see whether any of them is reported.</w:t>
      </w:r>
    </w:p>
    <w:p>
      <w:pPr>
        <w:keepNext/>
        <w:spacing w:before="280" w:after="80"/>
      </w:pPr>
      <w:r>
        <w:rPr>
          <w:b/>
          <w:color w:val="000724"/>
          <w:sz w:val="30"/>
        </w:rPr>
        <w:t>Actual result</w:t>
      </w:r>
    </w:p>
    <w:p>
      <w:pPr>
        <w:pStyle w:val="ListBullet"/>
        <w:spacing w:after="80"/>
      </w:pPr>
      <w:r>
        <w:rPr>
          <w:i w:val="0"/>
          <w:color w:val="1A1A1A"/>
          <w:sz w:val="21"/>
        </w:rPr>
        <w:t>26 of 30 task(s) have at least one empty mirrored optional field.</w:t>
      </w:r>
    </w:p>
    <w:p>
      <w:pPr>
        <w:pStyle w:val="ListBullet"/>
        <w:spacing w:after="80"/>
      </w:pPr>
      <w:r>
        <w:rPr>
          <w:i w:val="0"/>
          <w:color w:val="1A1A1A"/>
          <w:sz w:val="21"/>
        </w:rPr>
        <w:t>Zero differences attributable to an empty value, across 26 record(s) that hold one.</w:t>
      </w:r>
    </w:p>
    <w:p>
      <w:pPr>
        <w:keepNext/>
        <w:spacing w:before="280" w:after="80"/>
      </w:pPr>
      <w:r>
        <w:rPr>
          <w:b/>
          <w:color w:val="000724"/>
          <w:sz w:val="30"/>
        </w:rPr>
        <w:t>Record evidence</w:t>
      </w:r>
    </w:p>
    <w:p>
      <w:pPr>
        <w:spacing w:after="160"/>
      </w:pPr>
      <w:r>
        <w:rPr>
          <w:i/>
          <w:color w:val="606676"/>
          <w:sz w:val="18"/>
        </w:rPr>
        <w:t>Read directly from the ServiceNow Table API during execution. This is the evidence that determines the verdict; a screen capture shows what was displayed, not what was stored.</w:t>
      </w:r>
    </w:p>
    <w:p>
      <w:pPr>
        <w:spacing w:after="20"/>
      </w:pPr>
      <w:r>
        <w:rPr>
          <w:i w:val="0"/>
          <w:color w:val="000724"/>
          <w:sz w:val="20"/>
        </w:rPr>
        <w:t>Tasks with an empty mirrored optional field</w:t>
      </w:r>
    </w:p>
    <w:p>
      <w:pPr>
        <w:spacing w:after="60"/>
      </w:pPr>
      <w:r>
        <w:rPr>
          <w:rFonts w:ascii="Consolas" w:hAnsi="Consolas"/>
          <w:i w:val="0"/>
          <w:color w:val="606676"/>
          <w:sz w:val="16"/>
        </w:rPr>
        <w:t>x_gskn2_caf_compli_caf_tsk   ·   cnit get x_gskn2_caf_compli_caf_tsk -Fields number,approval,met_criteria -ProfileName caf-reyan</w:t>
      </w:r>
    </w:p>
    <w:tbl>
      <w:tblPr>
        <w:tblStyle w:val="TableGrid"/>
        <w:tblW w:type="auto" w:w="0"/>
        <w:tblLook w:firstColumn="1" w:firstRow="1" w:lastColumn="0" w:lastRow="0" w:noHBand="0" w:noVBand="1" w:val="04A0"/>
      </w:tblPr>
      <w:tblGrid>
        <w:gridCol w:w="3264"/>
        <w:gridCol w:w="3264"/>
        <w:gridCol w:w="3264"/>
      </w:tblGrid>
      <w:tr>
        <w:tc>
          <w:tcPr>
            <w:tcW w:type="dxa" w:w="3264"/>
            <w:shd w:val="clear" w:color="auto" w:fill="0A3176"/>
          </w:tcPr>
          <w:p>
            <w:pPr>
              <w:spacing w:before="40" w:after="40"/>
            </w:pPr>
            <w:r/>
            <w:r>
              <w:rPr>
                <w:rFonts w:ascii="Consolas" w:hAnsi="Consolas"/>
                <w:b/>
                <w:color w:val="FFFFFF"/>
                <w:sz w:val="16"/>
              </w:rPr>
              <w:t>number</w:t>
            </w:r>
          </w:p>
        </w:tc>
        <w:tc>
          <w:tcPr>
            <w:tcW w:type="dxa" w:w="3264"/>
            <w:shd w:val="clear" w:color="auto" w:fill="0A3176"/>
          </w:tcPr>
          <w:p>
            <w:pPr>
              <w:spacing w:before="40" w:after="40"/>
            </w:pPr>
            <w:r/>
            <w:r>
              <w:rPr>
                <w:rFonts w:ascii="Consolas" w:hAnsi="Consolas"/>
                <w:b/>
                <w:color w:val="FFFFFF"/>
                <w:sz w:val="16"/>
              </w:rPr>
              <w:t>approval</w:t>
            </w:r>
          </w:p>
        </w:tc>
        <w:tc>
          <w:tcPr>
            <w:tcW w:type="dxa" w:w="3264"/>
            <w:shd w:val="clear" w:color="auto" w:fill="0A3176"/>
          </w:tcPr>
          <w:p>
            <w:pPr>
              <w:spacing w:before="40" w:after="40"/>
            </w:pPr>
            <w:r/>
            <w:r>
              <w:rPr>
                <w:rFonts w:ascii="Consolas" w:hAnsi="Consolas"/>
                <w:b/>
                <w:color w:val="FFFFFF"/>
                <w:sz w:val="16"/>
              </w:rPr>
              <w:t>met_criteria</w:t>
            </w:r>
          </w:p>
        </w:tc>
      </w:tr>
      <w:tr>
        <w:tc>
          <w:tcPr>
            <w:tcW w:type="dxa" w:w="3264"/>
          </w:tcPr>
          <w:p>
            <w:pPr>
              <w:spacing w:before="40" w:after="40"/>
            </w:pPr>
            <w:r/>
            <w:r>
              <w:rPr>
                <w:rFonts w:ascii="Consolas" w:hAnsi="Consolas"/>
                <w:b w:val="0"/>
                <w:color w:val="1A1A1A"/>
                <w:sz w:val="16"/>
              </w:rPr>
              <w:t>CAFT0001024</w:t>
            </w:r>
          </w:p>
        </w:tc>
        <w:tc>
          <w:tcPr>
            <w:tcW w:type="dxa" w:w="3264"/>
          </w:tcPr>
          <w:p>
            <w:pPr>
              <w:spacing w:before="40" w:after="40"/>
            </w:pPr>
            <w:r/>
            <w:r>
              <w:rPr>
                <w:rFonts w:ascii="Consolas" w:hAnsi="Consolas"/>
                <w:b w:val="0"/>
                <w:color w:val="1A1A1A"/>
                <w:sz w:val="16"/>
              </w:rPr>
              <w:t>requested</w:t>
            </w:r>
          </w:p>
        </w:tc>
        <w:tc>
          <w:tcPr>
            <w:tcW w:type="dxa" w:w="3264"/>
          </w:tcPr>
          <w:p>
            <w:pPr>
              <w:spacing w:before="40" w:after="40"/>
            </w:pPr>
            <w:r/>
            <w:r>
              <w:rPr>
                <w:rFonts w:ascii="Consolas" w:hAnsi="Consolas"/>
                <w:b w:val="0"/>
                <w:color w:val="1A1A1A"/>
                <w:sz w:val="16"/>
              </w:rPr>
            </w:r>
          </w:p>
        </w:tc>
      </w:tr>
      <w:tr>
        <w:tc>
          <w:tcPr>
            <w:tcW w:type="dxa" w:w="3264"/>
          </w:tcPr>
          <w:p>
            <w:pPr>
              <w:spacing w:before="40" w:after="40"/>
            </w:pPr>
            <w:r/>
            <w:r>
              <w:rPr>
                <w:rFonts w:ascii="Consolas" w:hAnsi="Consolas"/>
                <w:b w:val="0"/>
                <w:color w:val="1A1A1A"/>
                <w:sz w:val="16"/>
              </w:rPr>
              <w:t>CAFT0001042</w:t>
            </w:r>
          </w:p>
        </w:tc>
        <w:tc>
          <w:tcPr>
            <w:tcW w:type="dxa" w:w="3264"/>
          </w:tcPr>
          <w:p>
            <w:pPr>
              <w:spacing w:before="40" w:after="40"/>
            </w:pPr>
            <w:r/>
            <w:r>
              <w:rPr>
                <w:rFonts w:ascii="Consolas" w:hAnsi="Consolas"/>
                <w:b w:val="0"/>
                <w:color w:val="1A1A1A"/>
                <w:sz w:val="16"/>
              </w:rPr>
              <w:t>approved</w:t>
            </w:r>
          </w:p>
        </w:tc>
        <w:tc>
          <w:tcPr>
            <w:tcW w:type="dxa" w:w="3264"/>
          </w:tcPr>
          <w:p>
            <w:pPr>
              <w:spacing w:before="40" w:after="40"/>
            </w:pPr>
            <w:r/>
            <w:r>
              <w:rPr>
                <w:rFonts w:ascii="Consolas" w:hAnsi="Consolas"/>
                <w:b w:val="0"/>
                <w:color w:val="1A1A1A"/>
                <w:sz w:val="16"/>
              </w:rPr>
            </w:r>
          </w:p>
        </w:tc>
      </w:tr>
      <w:tr>
        <w:tc>
          <w:tcPr>
            <w:tcW w:type="dxa" w:w="3264"/>
          </w:tcPr>
          <w:p>
            <w:pPr>
              <w:spacing w:before="40" w:after="40"/>
            </w:pPr>
            <w:r/>
            <w:r>
              <w:rPr>
                <w:rFonts w:ascii="Consolas" w:hAnsi="Consolas"/>
                <w:b w:val="0"/>
                <w:color w:val="1A1A1A"/>
                <w:sz w:val="16"/>
              </w:rPr>
              <w:t>CAFT0001034</w:t>
            </w:r>
          </w:p>
        </w:tc>
        <w:tc>
          <w:tcPr>
            <w:tcW w:type="dxa" w:w="3264"/>
          </w:tcPr>
          <w:p>
            <w:pPr>
              <w:spacing w:before="40" w:after="40"/>
            </w:pPr>
            <w:r/>
            <w:r>
              <w:rPr>
                <w:rFonts w:ascii="Consolas" w:hAnsi="Consolas"/>
                <w:b w:val="0"/>
                <w:color w:val="1A1A1A"/>
                <w:sz w:val="16"/>
              </w:rPr>
              <w:t>requested</w:t>
            </w:r>
          </w:p>
        </w:tc>
        <w:tc>
          <w:tcPr>
            <w:tcW w:type="dxa" w:w="3264"/>
          </w:tcPr>
          <w:p>
            <w:pPr>
              <w:spacing w:before="40" w:after="40"/>
            </w:pPr>
            <w:r/>
            <w:r>
              <w:rPr>
                <w:rFonts w:ascii="Consolas" w:hAnsi="Consolas"/>
                <w:b w:val="0"/>
                <w:color w:val="1A1A1A"/>
                <w:sz w:val="16"/>
              </w:rPr>
            </w:r>
          </w:p>
        </w:tc>
      </w:tr>
      <w:tr>
        <w:tc>
          <w:tcPr>
            <w:tcW w:type="dxa" w:w="3264"/>
          </w:tcPr>
          <w:p>
            <w:pPr>
              <w:spacing w:before="40" w:after="40"/>
            </w:pPr>
            <w:r/>
            <w:r>
              <w:rPr>
                <w:rFonts w:ascii="Consolas" w:hAnsi="Consolas"/>
                <w:b w:val="0"/>
                <w:color w:val="1A1A1A"/>
                <w:sz w:val="16"/>
              </w:rPr>
              <w:t>CAFT0001036</w:t>
            </w:r>
          </w:p>
        </w:tc>
        <w:tc>
          <w:tcPr>
            <w:tcW w:type="dxa" w:w="3264"/>
          </w:tcPr>
          <w:p>
            <w:pPr>
              <w:spacing w:before="40" w:after="40"/>
            </w:pPr>
            <w:r/>
            <w:r>
              <w:rPr>
                <w:rFonts w:ascii="Consolas" w:hAnsi="Consolas"/>
                <w:b w:val="0"/>
                <w:color w:val="1A1A1A"/>
                <w:sz w:val="16"/>
              </w:rPr>
              <w:t>requested</w:t>
            </w:r>
          </w:p>
        </w:tc>
        <w:tc>
          <w:tcPr>
            <w:tcW w:type="dxa" w:w="3264"/>
          </w:tcPr>
          <w:p>
            <w:pPr>
              <w:spacing w:before="40" w:after="40"/>
            </w:pPr>
            <w:r/>
            <w:r>
              <w:rPr>
                <w:rFonts w:ascii="Consolas" w:hAnsi="Consolas"/>
                <w:b w:val="0"/>
                <w:color w:val="1A1A1A"/>
                <w:sz w:val="16"/>
              </w:rPr>
            </w:r>
          </w:p>
        </w:tc>
      </w:tr>
      <w:tr>
        <w:tc>
          <w:tcPr>
            <w:tcW w:type="dxa" w:w="3264"/>
          </w:tcPr>
          <w:p>
            <w:pPr>
              <w:spacing w:before="40" w:after="40"/>
            </w:pPr>
            <w:r/>
            <w:r>
              <w:rPr>
                <w:rFonts w:ascii="Consolas" w:hAnsi="Consolas"/>
                <w:b w:val="0"/>
                <w:color w:val="1A1A1A"/>
                <w:sz w:val="16"/>
              </w:rPr>
              <w:t>CAFT0001003</w:t>
            </w:r>
          </w:p>
        </w:tc>
        <w:tc>
          <w:tcPr>
            <w:tcW w:type="dxa" w:w="3264"/>
          </w:tcPr>
          <w:p>
            <w:pPr>
              <w:spacing w:before="40" w:after="40"/>
            </w:pPr>
            <w:r/>
            <w:r>
              <w:rPr>
                <w:rFonts w:ascii="Consolas" w:hAnsi="Consolas"/>
                <w:b w:val="0"/>
                <w:color w:val="1A1A1A"/>
                <w:sz w:val="16"/>
              </w:rPr>
              <w:t>requested</w:t>
            </w:r>
          </w:p>
        </w:tc>
        <w:tc>
          <w:tcPr>
            <w:tcW w:type="dxa" w:w="3264"/>
          </w:tcPr>
          <w:p>
            <w:pPr>
              <w:spacing w:before="40" w:after="40"/>
            </w:pPr>
            <w:r/>
            <w:r>
              <w:rPr>
                <w:rFonts w:ascii="Consolas" w:hAnsi="Consolas"/>
                <w:b w:val="0"/>
                <w:color w:val="1A1A1A"/>
                <w:sz w:val="16"/>
              </w:rPr>
            </w:r>
          </w:p>
        </w:tc>
      </w:tr>
      <w:tr>
        <w:tc>
          <w:tcPr>
            <w:tcW w:type="dxa" w:w="3264"/>
          </w:tcPr>
          <w:p>
            <w:pPr>
              <w:spacing w:before="40" w:after="40"/>
            </w:pPr>
            <w:r/>
            <w:r>
              <w:rPr>
                <w:rFonts w:ascii="Consolas" w:hAnsi="Consolas"/>
                <w:b w:val="0"/>
                <w:color w:val="1A1A1A"/>
                <w:sz w:val="16"/>
              </w:rPr>
              <w:t>CAFT0001019</w:t>
            </w:r>
          </w:p>
        </w:tc>
        <w:tc>
          <w:tcPr>
            <w:tcW w:type="dxa" w:w="3264"/>
          </w:tcPr>
          <w:p>
            <w:pPr>
              <w:spacing w:before="40" w:after="40"/>
            </w:pPr>
            <w:r/>
            <w:r>
              <w:rPr>
                <w:rFonts w:ascii="Consolas" w:hAnsi="Consolas"/>
                <w:b w:val="0"/>
                <w:color w:val="1A1A1A"/>
                <w:sz w:val="16"/>
              </w:rPr>
              <w:t>requested</w:t>
            </w:r>
          </w:p>
        </w:tc>
        <w:tc>
          <w:tcPr>
            <w:tcW w:type="dxa" w:w="3264"/>
          </w:tcPr>
          <w:p>
            <w:pPr>
              <w:spacing w:before="40" w:after="40"/>
            </w:pPr>
            <w:r/>
            <w:r>
              <w:rPr>
                <w:rFonts w:ascii="Consolas" w:hAnsi="Consolas"/>
                <w:b w:val="0"/>
                <w:color w:val="1A1A1A"/>
                <w:sz w:val="16"/>
              </w:rPr>
            </w:r>
          </w:p>
        </w:tc>
      </w:tr>
      <w:tr>
        <w:tc>
          <w:tcPr>
            <w:tcW w:type="dxa" w:w="3264"/>
          </w:tcPr>
          <w:p>
            <w:pPr>
              <w:spacing w:before="40" w:after="40"/>
            </w:pPr>
            <w:r/>
            <w:r>
              <w:rPr>
                <w:rFonts w:ascii="Consolas" w:hAnsi="Consolas"/>
                <w:b w:val="0"/>
                <w:color w:val="1A1A1A"/>
                <w:sz w:val="16"/>
              </w:rPr>
              <w:t>CAFT0001021</w:t>
            </w:r>
          </w:p>
        </w:tc>
        <w:tc>
          <w:tcPr>
            <w:tcW w:type="dxa" w:w="3264"/>
          </w:tcPr>
          <w:p>
            <w:pPr>
              <w:spacing w:before="40" w:after="40"/>
            </w:pPr>
            <w:r/>
            <w:r>
              <w:rPr>
                <w:rFonts w:ascii="Consolas" w:hAnsi="Consolas"/>
                <w:b w:val="0"/>
                <w:color w:val="1A1A1A"/>
                <w:sz w:val="16"/>
              </w:rPr>
              <w:t>requested</w:t>
            </w:r>
          </w:p>
        </w:tc>
        <w:tc>
          <w:tcPr>
            <w:tcW w:type="dxa" w:w="3264"/>
          </w:tcPr>
          <w:p>
            <w:pPr>
              <w:spacing w:before="40" w:after="40"/>
            </w:pPr>
            <w:r/>
            <w:r>
              <w:rPr>
                <w:rFonts w:ascii="Consolas" w:hAnsi="Consolas"/>
                <w:b w:val="0"/>
                <w:color w:val="1A1A1A"/>
                <w:sz w:val="16"/>
              </w:rPr>
            </w:r>
          </w:p>
        </w:tc>
      </w:tr>
      <w:tr>
        <w:tc>
          <w:tcPr>
            <w:tcW w:type="dxa" w:w="3264"/>
          </w:tcPr>
          <w:p>
            <w:pPr>
              <w:spacing w:before="40" w:after="40"/>
            </w:pPr>
            <w:r/>
            <w:r>
              <w:rPr>
                <w:rFonts w:ascii="Consolas" w:hAnsi="Consolas"/>
                <w:b w:val="0"/>
                <w:color w:val="1A1A1A"/>
                <w:sz w:val="16"/>
              </w:rPr>
              <w:t>CAFT0001051</w:t>
            </w:r>
          </w:p>
        </w:tc>
        <w:tc>
          <w:tcPr>
            <w:tcW w:type="dxa" w:w="3264"/>
          </w:tcPr>
          <w:p>
            <w:pPr>
              <w:spacing w:before="40" w:after="40"/>
            </w:pPr>
            <w:r/>
            <w:r>
              <w:rPr>
                <w:rFonts w:ascii="Consolas" w:hAnsi="Consolas"/>
                <w:b w:val="0"/>
                <w:color w:val="1A1A1A"/>
                <w:sz w:val="16"/>
              </w:rPr>
              <w:t>requested</w:t>
            </w:r>
          </w:p>
        </w:tc>
        <w:tc>
          <w:tcPr>
            <w:tcW w:type="dxa" w:w="3264"/>
          </w:tcPr>
          <w:p>
            <w:pPr>
              <w:spacing w:before="40" w:after="40"/>
            </w:pPr>
            <w:r/>
            <w:r>
              <w:rPr>
                <w:rFonts w:ascii="Consolas" w:hAnsi="Consolas"/>
                <w:b w:val="0"/>
                <w:color w:val="1A1A1A"/>
                <w:sz w:val="16"/>
              </w:rPr>
            </w:r>
          </w:p>
        </w:tc>
      </w:tr>
      <w:tr>
        <w:tc>
          <w:tcPr>
            <w:tcW w:type="dxa" w:w="3264"/>
          </w:tcPr>
          <w:p>
            <w:pPr>
              <w:spacing w:before="40" w:after="40"/>
            </w:pPr>
            <w:r/>
            <w:r>
              <w:rPr>
                <w:rFonts w:ascii="Consolas" w:hAnsi="Consolas"/>
                <w:b w:val="0"/>
                <w:color w:val="1A1A1A"/>
                <w:sz w:val="16"/>
              </w:rPr>
              <w:t>CAFT0001045</w:t>
            </w:r>
          </w:p>
        </w:tc>
        <w:tc>
          <w:tcPr>
            <w:tcW w:type="dxa" w:w="3264"/>
          </w:tcPr>
          <w:p>
            <w:pPr>
              <w:spacing w:before="40" w:after="40"/>
            </w:pPr>
            <w:r/>
            <w:r>
              <w:rPr>
                <w:rFonts w:ascii="Consolas" w:hAnsi="Consolas"/>
                <w:b w:val="0"/>
                <w:color w:val="1A1A1A"/>
                <w:sz w:val="16"/>
              </w:rPr>
              <w:t>approved</w:t>
            </w:r>
          </w:p>
        </w:tc>
        <w:tc>
          <w:tcPr>
            <w:tcW w:type="dxa" w:w="3264"/>
          </w:tcPr>
          <w:p>
            <w:pPr>
              <w:spacing w:before="40" w:after="40"/>
            </w:pPr>
            <w:r/>
            <w:r>
              <w:rPr>
                <w:rFonts w:ascii="Consolas" w:hAnsi="Consolas"/>
                <w:b w:val="0"/>
                <w:color w:val="1A1A1A"/>
                <w:sz w:val="16"/>
              </w:rPr>
            </w:r>
          </w:p>
        </w:tc>
      </w:tr>
      <w:tr>
        <w:tc>
          <w:tcPr>
            <w:tcW w:type="dxa" w:w="3264"/>
          </w:tcPr>
          <w:p>
            <w:pPr>
              <w:spacing w:before="40" w:after="40"/>
            </w:pPr>
            <w:r/>
            <w:r>
              <w:rPr>
                <w:rFonts w:ascii="Consolas" w:hAnsi="Consolas"/>
                <w:b w:val="0"/>
                <w:color w:val="1A1A1A"/>
                <w:sz w:val="16"/>
              </w:rPr>
              <w:t>CAFT0001020</w:t>
            </w:r>
          </w:p>
        </w:tc>
        <w:tc>
          <w:tcPr>
            <w:tcW w:type="dxa" w:w="3264"/>
          </w:tcPr>
          <w:p>
            <w:pPr>
              <w:spacing w:before="40" w:after="40"/>
            </w:pPr>
            <w:r/>
            <w:r>
              <w:rPr>
                <w:rFonts w:ascii="Consolas" w:hAnsi="Consolas"/>
                <w:b w:val="0"/>
                <w:color w:val="1A1A1A"/>
                <w:sz w:val="16"/>
              </w:rPr>
              <w:t>requested</w:t>
            </w:r>
          </w:p>
        </w:tc>
        <w:tc>
          <w:tcPr>
            <w:tcW w:type="dxa" w:w="3264"/>
          </w:tcPr>
          <w:p>
            <w:pPr>
              <w:spacing w:before="40" w:after="40"/>
            </w:pPr>
            <w:r/>
            <w:r>
              <w:rPr>
                <w:rFonts w:ascii="Consolas" w:hAnsi="Consolas"/>
                <w:b w:val="0"/>
                <w:color w:val="1A1A1A"/>
                <w:sz w:val="16"/>
              </w:rPr>
            </w:r>
          </w:p>
        </w:tc>
      </w:tr>
      <w:tr>
        <w:tc>
          <w:tcPr>
            <w:tcW w:type="dxa" w:w="3264"/>
          </w:tcPr>
          <w:p>
            <w:pPr>
              <w:spacing w:before="40" w:after="40"/>
            </w:pPr>
            <w:r/>
            <w:r>
              <w:rPr>
                <w:rFonts w:ascii="Consolas" w:hAnsi="Consolas"/>
                <w:b w:val="0"/>
                <w:color w:val="1A1A1A"/>
                <w:sz w:val="16"/>
              </w:rPr>
              <w:t>CAFT0001046</w:t>
            </w:r>
          </w:p>
        </w:tc>
        <w:tc>
          <w:tcPr>
            <w:tcW w:type="dxa" w:w="3264"/>
          </w:tcPr>
          <w:p>
            <w:pPr>
              <w:spacing w:before="40" w:after="40"/>
            </w:pPr>
            <w:r/>
            <w:r>
              <w:rPr>
                <w:rFonts w:ascii="Consolas" w:hAnsi="Consolas"/>
                <w:b w:val="0"/>
                <w:color w:val="1A1A1A"/>
                <w:sz w:val="16"/>
              </w:rPr>
              <w:t>requested</w:t>
            </w:r>
          </w:p>
        </w:tc>
        <w:tc>
          <w:tcPr>
            <w:tcW w:type="dxa" w:w="3264"/>
          </w:tcPr>
          <w:p>
            <w:pPr>
              <w:spacing w:before="40" w:after="40"/>
            </w:pPr>
            <w:r/>
            <w:r>
              <w:rPr>
                <w:rFonts w:ascii="Consolas" w:hAnsi="Consolas"/>
                <w:b w:val="0"/>
                <w:color w:val="1A1A1A"/>
                <w:sz w:val="16"/>
              </w:rPr>
            </w:r>
          </w:p>
        </w:tc>
      </w:tr>
      <w:tr>
        <w:tc>
          <w:tcPr>
            <w:tcW w:type="dxa" w:w="3264"/>
          </w:tcPr>
          <w:p>
            <w:pPr>
              <w:spacing w:before="40" w:after="40"/>
            </w:pPr>
            <w:r/>
            <w:r>
              <w:rPr>
                <w:rFonts w:ascii="Consolas" w:hAnsi="Consolas"/>
                <w:b w:val="0"/>
                <w:color w:val="1A1A1A"/>
                <w:sz w:val="16"/>
              </w:rPr>
              <w:t>CAFT0001035</w:t>
            </w:r>
          </w:p>
        </w:tc>
        <w:tc>
          <w:tcPr>
            <w:tcW w:type="dxa" w:w="3264"/>
          </w:tcPr>
          <w:p>
            <w:pPr>
              <w:spacing w:before="40" w:after="40"/>
            </w:pPr>
            <w:r/>
            <w:r>
              <w:rPr>
                <w:rFonts w:ascii="Consolas" w:hAnsi="Consolas"/>
                <w:b w:val="0"/>
                <w:color w:val="1A1A1A"/>
                <w:sz w:val="16"/>
              </w:rPr>
              <w:t>requested</w:t>
            </w:r>
          </w:p>
        </w:tc>
        <w:tc>
          <w:tcPr>
            <w:tcW w:type="dxa" w:w="3264"/>
          </w:tcPr>
          <w:p>
            <w:pPr>
              <w:spacing w:before="40" w:after="40"/>
            </w:pPr>
            <w:r/>
            <w:r>
              <w:rPr>
                <w:rFonts w:ascii="Consolas" w:hAnsi="Consolas"/>
                <w:b w:val="0"/>
                <w:color w:val="1A1A1A"/>
                <w:sz w:val="16"/>
              </w:rPr>
            </w:r>
          </w:p>
        </w:tc>
      </w:tr>
      <w:tr>
        <w:tc>
          <w:tcPr>
            <w:tcW w:type="dxa" w:w="3264"/>
          </w:tcPr>
          <w:p>
            <w:pPr>
              <w:spacing w:before="40" w:after="40"/>
            </w:pPr>
            <w:r/>
            <w:r>
              <w:rPr>
                <w:rFonts w:ascii="Consolas" w:hAnsi="Consolas"/>
                <w:b w:val="0"/>
                <w:color w:val="1A1A1A"/>
                <w:sz w:val="16"/>
              </w:rPr>
              <w:t>CAFT0001038</w:t>
            </w:r>
          </w:p>
        </w:tc>
        <w:tc>
          <w:tcPr>
            <w:tcW w:type="dxa" w:w="3264"/>
          </w:tcPr>
          <w:p>
            <w:pPr>
              <w:spacing w:before="40" w:after="40"/>
            </w:pPr>
            <w:r/>
            <w:r>
              <w:rPr>
                <w:rFonts w:ascii="Consolas" w:hAnsi="Consolas"/>
                <w:b w:val="0"/>
                <w:color w:val="1A1A1A"/>
                <w:sz w:val="16"/>
              </w:rPr>
              <w:t>requested</w:t>
            </w:r>
          </w:p>
        </w:tc>
        <w:tc>
          <w:tcPr>
            <w:tcW w:type="dxa" w:w="3264"/>
          </w:tcPr>
          <w:p>
            <w:pPr>
              <w:spacing w:before="40" w:after="40"/>
            </w:pPr>
            <w:r/>
            <w:r>
              <w:rPr>
                <w:rFonts w:ascii="Consolas" w:hAnsi="Consolas"/>
                <w:b w:val="0"/>
                <w:color w:val="1A1A1A"/>
                <w:sz w:val="16"/>
              </w:rPr>
            </w:r>
          </w:p>
        </w:tc>
      </w:tr>
      <w:tr>
        <w:tc>
          <w:tcPr>
            <w:tcW w:type="dxa" w:w="3264"/>
          </w:tcPr>
          <w:p>
            <w:pPr>
              <w:spacing w:before="40" w:after="40"/>
            </w:pPr>
            <w:r/>
            <w:r>
              <w:rPr>
                <w:rFonts w:ascii="Consolas" w:hAnsi="Consolas"/>
                <w:b w:val="0"/>
                <w:color w:val="1A1A1A"/>
                <w:sz w:val="16"/>
              </w:rPr>
              <w:t>CAFT0001037</w:t>
            </w:r>
          </w:p>
        </w:tc>
        <w:tc>
          <w:tcPr>
            <w:tcW w:type="dxa" w:w="3264"/>
          </w:tcPr>
          <w:p>
            <w:pPr>
              <w:spacing w:before="40" w:after="40"/>
            </w:pPr>
            <w:r/>
            <w:r>
              <w:rPr>
                <w:rFonts w:ascii="Consolas" w:hAnsi="Consolas"/>
                <w:b w:val="0"/>
                <w:color w:val="1A1A1A"/>
                <w:sz w:val="16"/>
              </w:rPr>
              <w:t>requested</w:t>
            </w:r>
          </w:p>
        </w:tc>
        <w:tc>
          <w:tcPr>
            <w:tcW w:type="dxa" w:w="3264"/>
          </w:tcPr>
          <w:p>
            <w:pPr>
              <w:spacing w:before="40" w:after="40"/>
            </w:pPr>
            <w:r/>
            <w:r>
              <w:rPr>
                <w:rFonts w:ascii="Consolas" w:hAnsi="Consolas"/>
                <w:b w:val="0"/>
                <w:color w:val="1A1A1A"/>
                <w:sz w:val="16"/>
              </w:rPr>
            </w:r>
          </w:p>
        </w:tc>
      </w:tr>
    </w:tbl>
    <w:p>
      <w:pPr>
        <w:spacing w:after="200"/>
      </w:pPr>
      <w:r>
        <w:rPr>
          <w:i/>
          <w:color w:val="606676"/>
          <w:sz w:val="15"/>
        </w:rPr>
        <w:t>12 further row(s) not shown. Full data in the run JSON.</w:t>
      </w:r>
    </w:p>
    <w:p>
      <w:pPr>
        <w:spacing w:after="20"/>
      </w:pPr>
      <w:r>
        <w:rPr>
          <w:i w:val="0"/>
          <w:color w:val="000724"/>
          <w:sz w:val="20"/>
        </w:rPr>
        <w:t>CafSyncHealth.check() result</w:t>
      </w:r>
    </w:p>
    <w:p>
      <w:pPr>
        <w:spacing w:after="60"/>
      </w:pPr>
      <w:r>
        <w:rPr>
          <w:rFonts w:ascii="Consolas" w:hAnsi="Consolas"/>
          <w:i w:val="0"/>
          <w:color w:val="606676"/>
          <w:sz w:val="16"/>
        </w:rPr>
        <w:t>CafSyncHealth   ·   sf apex run — CafSyncHealth.check()</w:t>
      </w:r>
    </w:p>
    <w:tbl>
      <w:tblPr>
        <w:tblStyle w:val="TableGrid"/>
        <w:tblW w:type="auto" w:w="0"/>
        <w:tblLook w:firstColumn="1" w:firstRow="1" w:lastColumn="0" w:lastRow="0" w:noHBand="0" w:noVBand="1" w:val="04A0"/>
      </w:tblPr>
      <w:tblGrid>
        <w:gridCol w:w="3264"/>
        <w:gridCol w:w="3264"/>
        <w:gridCol w:w="3264"/>
      </w:tblGrid>
      <w:tr>
        <w:tc>
          <w:tcPr>
            <w:tcW w:type="dxa" w:w="3264"/>
            <w:shd w:val="clear" w:color="auto" w:fill="0A3176"/>
          </w:tcPr>
          <w:p>
            <w:pPr>
              <w:spacing w:before="40" w:after="40"/>
            </w:pPr>
            <w:r/>
            <w:r>
              <w:rPr>
                <w:rFonts w:ascii="Consolas" w:hAnsi="Consolas"/>
                <w:b/>
                <w:color w:val="FFFFFF"/>
                <w:sz w:val="16"/>
              </w:rPr>
              <w:t>compared</w:t>
            </w:r>
          </w:p>
        </w:tc>
        <w:tc>
          <w:tcPr>
            <w:tcW w:type="dxa" w:w="3264"/>
            <w:shd w:val="clear" w:color="auto" w:fill="0A3176"/>
          </w:tcPr>
          <w:p>
            <w:pPr>
              <w:spacing w:before="40" w:after="40"/>
            </w:pPr>
            <w:r/>
            <w:r>
              <w:rPr>
                <w:rFonts w:ascii="Consolas" w:hAnsi="Consolas"/>
                <w:b/>
                <w:color w:val="FFFFFF"/>
                <w:sz w:val="16"/>
              </w:rPr>
              <w:t>inSync</w:t>
            </w:r>
          </w:p>
        </w:tc>
        <w:tc>
          <w:tcPr>
            <w:tcW w:type="dxa" w:w="3264"/>
            <w:shd w:val="clear" w:color="auto" w:fill="0A3176"/>
          </w:tcPr>
          <w:p>
            <w:pPr>
              <w:spacing w:before="40" w:after="40"/>
            </w:pPr>
            <w:r/>
            <w:r>
              <w:rPr>
                <w:rFonts w:ascii="Consolas" w:hAnsi="Consolas"/>
                <w:b/>
                <w:color w:val="FFFFFF"/>
                <w:sz w:val="16"/>
              </w:rPr>
              <w:t>differences</w:t>
            </w:r>
          </w:p>
        </w:tc>
      </w:tr>
      <w:tr>
        <w:tc>
          <w:tcPr>
            <w:tcW w:type="dxa" w:w="3264"/>
          </w:tcPr>
          <w:p>
            <w:pPr>
              <w:spacing w:before="40" w:after="40"/>
            </w:pPr>
            <w:r/>
            <w:r>
              <w:rPr>
                <w:rFonts w:ascii="Consolas" w:hAnsi="Consolas"/>
                <w:b w:val="0"/>
                <w:color w:val="1A1A1A"/>
                <w:sz w:val="16"/>
              </w:rPr>
              <w:t>49</w:t>
            </w:r>
          </w:p>
        </w:tc>
        <w:tc>
          <w:tcPr>
            <w:tcW w:type="dxa" w:w="3264"/>
          </w:tcPr>
          <w:p>
            <w:pPr>
              <w:spacing w:before="40" w:after="40"/>
            </w:pPr>
            <w:r/>
            <w:r>
              <w:rPr>
                <w:rFonts w:ascii="Consolas" w:hAnsi="Consolas"/>
                <w:b w:val="0"/>
                <w:color w:val="1A1A1A"/>
                <w:sz w:val="16"/>
              </w:rPr>
              <w:t>true</w:t>
            </w:r>
          </w:p>
        </w:tc>
        <w:tc>
          <w:tcPr>
            <w:tcW w:type="dxa" w:w="3264"/>
          </w:tcPr>
          <w:p>
            <w:pPr>
              <w:spacing w:before="40" w:after="40"/>
            </w:pPr>
            <w:r/>
            <w:r>
              <w:rPr>
                <w:rFonts w:ascii="Consolas" w:hAnsi="Consolas"/>
                <w:b w:val="0"/>
                <w:color w:val="1A1A1A"/>
                <w:sz w:val="16"/>
              </w:rPr>
              <w:t>0</w:t>
            </w:r>
          </w:p>
        </w:tc>
      </w:tr>
    </w:tbl>
    <w:p>
      <w:pPr>
        <w:spacing w:after="120"/>
      </w:pPr>
    </w:p>
    <w:p>
      <w:pPr>
        <w:keepNext/>
        <w:spacing w:before="280" w:after="80"/>
      </w:pPr>
      <w:r>
        <w:rPr>
          <w:b/>
          <w:color w:val="000724"/>
          <w:sz w:val="30"/>
        </w:rPr>
        <w:t>Observations</w:t>
      </w:r>
    </w:p>
    <w:p>
      <w:pPr>
        <w:pStyle w:val="ListBullet"/>
        <w:spacing w:after="80"/>
      </w:pPr>
      <w:r>
        <w:rPr>
          <w:i w:val="0"/>
          <w:color w:val="1A1A1A"/>
          <w:sz w:val="21"/>
        </w:rPr>
        <w:t>CafSyncHealth.compareField() returns early when both values are blank, so null and empty string are the same value to the comparison. This case confirms the code path on live data rather than by reading it.</w:t>
      </w:r>
    </w:p>
    <w:p>
      <w:pPr>
        <w:keepNext/>
        <w:spacing w:before="280" w:after="80"/>
      </w:pPr>
      <w:r>
        <w:rPr>
          <w:b/>
          <w:color w:val="000724"/>
          <w:sz w:val="30"/>
        </w:rPr>
        <w:t>Verdict</w:t>
      </w:r>
    </w:p>
    <w:tbl>
      <w:tblPr>
        <w:tblW w:type="auto" w:w="0"/>
        <w:tblLook w:firstColumn="1" w:firstRow="1" w:lastColumn="0" w:lastRow="0" w:noHBand="0" w:noVBand="1" w:val="04A0"/>
      </w:tblPr>
      <w:tblGrid>
        <w:gridCol w:w="9792"/>
      </w:tblGrid>
      <w:tr>
        <w:tc>
          <w:tcPr>
            <w:tcW w:type="dxa" w:w="9792"/>
            <w:shd w:val="clear" w:color="auto" w:fill="E6F4EC"/>
          </w:tcPr>
          <w:p>
            <w:pPr>
              <w:spacing w:before="40" w:after="40"/>
            </w:pPr>
            <w:r/>
            <w:r>
              <w:rPr>
                <w:rFonts w:ascii="Calibri" w:hAnsi="Calibri"/>
                <w:b/>
                <w:color w:val="0B6B3A"/>
                <w:sz w:val="24"/>
              </w:rPr>
              <w:t>PASS</w:t>
            </w:r>
          </w:p>
        </w:tc>
      </w:tr>
    </w:tbl>
    <w:p>
      <w:pPr>
        <w:spacing w:after="200"/>
      </w:pPr>
      <w:r>
        <w:rPr>
          <w:i w:val="0"/>
          <w:color w:val="1A1A1A"/>
          <w:sz w:val="21"/>
        </w:rPr>
        <w:t>No false-positive drift from blank-versus-null.</w:t>
      </w:r>
    </w:p>
    <w:p>
      <w:pPr>
        <w:spacing w:before="0" w:after="80"/>
        <w:pBdr>
          <w:bottom w:val="single" w:sz="6" w:color="D5D9E0"/>
        </w:pBdr>
      </w:pPr>
    </w:p>
    <w:p>
      <w:pPr>
        <w:spacing w:after="80"/>
      </w:pPr>
      <w:r>
        <w:rPr>
          <w:i/>
          <w:color w:val="606676"/>
          <w:sz w:val="15"/>
        </w:rPr>
        <w:t>Confidential. Prepared by Reyan Technologies. Contains system test evidence and must not be redistributed without written consent.</w:t>
      </w:r>
    </w:p>
    <w:sectPr w:rsidR="00FC693F" w:rsidRPr="0006063C" w:rsidSect="00034616">
      <w:headerReference w:type="default" r:id="rId9"/>
      <w:footerReference w:type="default" r:id="rId10"/>
      <w:pgSz w:w="12240" w:h="15840"/>
      <w:pgMar w:top="1224" w:right="1224" w:bottom="1224"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606676"/>
        <w:sz w:val="15"/>
      </w:rPr>
      <w:t xml:space="preserve">Confidential.   </w:t>
    </w:r>
    <w:r>
      <w:tab/>
      <w:tab/>
    </w:r>
    <w:r>
      <w:rPr>
        <w:color w:val="606676"/>
        <w:sz w:val="15"/>
      </w:rPr>
      <w:t xml:space="preserve">Page </w:t>
    </w:r>
    <w:r>
      <w:rPr>
        <w:sz w:val="15"/>
      </w:rPr>
      <w:fldChar w:fldCharType="begin"/>
      <w:instrText xml:space="preserve">PAGE</w:instrText>
      <w:fldChar w:fldCharType="end"/>
    </w:r>
    <w:r>
      <w:rPr>
        <w:color w:val="606676"/>
        <w:sz w:val="15"/>
      </w:rPr>
      <w:t xml:space="preserve"> of </w:t>
    </w:r>
    <w:r>
      <w:rPr>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r>
      <w:rPr>
        <w:b/>
        <w:color w:val="0A3176"/>
        <w:sz w:val="18"/>
      </w:rPr>
      <w:t>TC-INT-008   ·   Blank and null are treated as equal</w:t>
    </w:r>
    <w:r>
      <w:tab/>
      <w:tab/>
    </w:r>
    <w:r>
      <w:rPr>
        <w:color w:val="606676"/>
        <w:sz w:val="18"/>
      </w:rPr>
      <w:t>CAF Compliance Test Evidence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