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20"/>
        <w:jc w:val="left"/>
      </w:pPr>
      <w:r>
        <w:drawing>
          <wp:inline xmlns:a="http://schemas.openxmlformats.org/drawingml/2006/main" xmlns:pic="http://schemas.openxmlformats.org/drawingml/2006/picture">
            <wp:extent cx="1554480" cy="801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yan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801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0A3176"/>
          <w:sz w:val="20"/>
        </w:rPr>
        <w:t>CAF Compliance  ·  Test Evidence Record</w:t>
      </w:r>
    </w:p>
    <w:p>
      <w:pPr>
        <w:spacing w:after="80"/>
      </w:pPr>
      <w:r>
        <w:rPr>
          <w:b/>
          <w:color w:val="000724"/>
          <w:sz w:val="52"/>
        </w:rPr>
        <w:t>TC-INT-020</w:t>
      </w:r>
    </w:p>
    <w:p>
      <w:pPr>
        <w:spacing w:after="400"/>
      </w:pPr>
      <w:r>
        <w:rPr>
          <w:color w:val="1A1A1A"/>
          <w:sz w:val="28"/>
        </w:rPr>
        <w:t>Both lists are shown side by side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600"/>
      </w:tblGrid>
      <w:tr>
        <w:tc>
          <w:tcPr>
            <w:tcW w:type="dxa" w:w="9792"/>
            <w:shd w:val="clear" w:color="auto" w:fill="E6F4EC"/>
          </w:tcPr>
          <w:p>
            <w:pPr>
              <w:spacing w:before="120" w:after="120"/>
            </w:pPr>
            <w:r/>
            <w:r>
              <w:rPr>
                <w:rFonts w:ascii="Calibri" w:hAnsi="Calibri"/>
                <w:b/>
                <w:color w:val="0B6B3A"/>
                <w:sz w:val="26"/>
              </w:rPr>
              <w:t>RESULT:  PASS</w:t>
            </w:r>
          </w:p>
        </w:tc>
      </w:tr>
    </w:tbl>
    <w:p>
      <w:pPr>
        <w:spacing w:after="200"/>
      </w:pPr>
    </w:p>
    <w:p>
      <w:pPr>
        <w:spacing w:after="320"/>
      </w:pPr>
      <w:r>
        <w:rPr>
          <w:i w:val="0"/>
          <w:color w:val="1A1A1A"/>
          <w:sz w:val="20"/>
        </w:rPr>
        <w:t>Two labelled columns, each agreeing with its own platform — a failed push would show as an empty column beside a populated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6"/>
        <w:gridCol w:w="6480"/>
      </w:tblGrid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Test case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TC-INT-020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Priority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P2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Type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Positive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Component under test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cafEvidence LWC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Application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CAF Compliance — scope x_gskn2_caf_compli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Environment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https://orgfarm-4938c7f768-dev-ed.develop.lightning.force.com + https://dev281754.service-now.com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Executed by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admin.070b86ccf531@agentforce.com (Salesforce) / admin (ServiceNow)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Execution method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Playwright driving Lightning Experience. Every screen assertion is cross-checked against the ServiceNow record over cnit and the Salesforce record over the sf CLI. No case in this file writes to either platform.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Specification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TEST-CASES-INTEGRATION.md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b/>
          <w:color w:val="000724"/>
          <w:sz w:val="30"/>
        </w:rPr>
        <w:t>Expected result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The panel lists Salesforce files and ServiceNow attachments separately.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A failed push is therefore visible rather than inferred.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Steps executed</w:t>
      </w:r>
    </w:p>
    <w:p>
      <w:pPr>
        <w:keepNext/>
        <w:spacing w:before="120" w:after="40"/>
      </w:pPr>
      <w:r>
        <w:rPr>
          <w:b/>
          <w:color w:val="0A3176"/>
          <w:sz w:val="23"/>
        </w:rPr>
        <w:t xml:space="preserve">Step 1   </w:t>
      </w:r>
      <w:r>
        <w:rPr>
          <w:sz w:val="21"/>
        </w:rPr>
        <w:t>Open the evidence panel on CAFT0001022, which holds files on both sides.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1049" cy="6035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evidence-both-li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1049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676"/>
          <w:sz w:val="15"/>
        </w:rPr>
        <w:t>Screen capture — 01-evidence-both-lists.png</w:t>
      </w:r>
    </w:p>
    <w:p>
      <w:pPr>
        <w:keepNext/>
        <w:spacing w:before="120" w:after="40"/>
      </w:pPr>
      <w:r>
        <w:rPr>
          <w:b/>
          <w:color w:val="0A3176"/>
          <w:sz w:val="23"/>
        </w:rPr>
        <w:t xml:space="preserve">Step 2   </w:t>
      </w:r>
      <w:r>
        <w:rPr>
          <w:sz w:val="21"/>
        </w:rPr>
        <w:t>Confirm each column against its own platform.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Actual result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Panel shows two separate columns: "Salesforce Files" (1) and "ServiceNow attachments" (2).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Salesforce column lists: dr-plan-evidence.txt</w:t>
        <w:br/>
        <w:t>69 B · Reyan Technologies · 2026-08-07 14:45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ServiceNow column lists: dr-plan-evidence.txt</w:t>
        <w:br/>
        <w:t>69 B · sf.integration · 2026-08-07 13:45:39 | backup-restore-test.txt</w:t>
        <w:br/>
        <w:t>58 B · sf.integration · 2026-08-07 13:40:47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Underneath: 1 ContentVersion(s) and 2 sys_attachment(s).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Record evidence</w:t>
      </w:r>
    </w:p>
    <w:p>
      <w:pPr>
        <w:spacing w:after="160"/>
      </w:pPr>
      <w:r>
        <w:rPr>
          <w:i/>
          <w:color w:val="606676"/>
          <w:sz w:val="18"/>
        </w:rPr>
        <w:t>Read directly from the ServiceNow Table API during execution. This is the evidence that determines the verdict; a screen capture shows what was displayed, not what was stored.</w:t>
      </w:r>
    </w:p>
    <w:p>
      <w:pPr>
        <w:spacing w:after="20"/>
      </w:pPr>
      <w:r>
        <w:rPr>
          <w:i w:val="0"/>
          <w:color w:val="000724"/>
          <w:sz w:val="20"/>
        </w:rPr>
        <w:t>Evidence panel</w:t>
      </w:r>
    </w:p>
    <w:p>
      <w:pPr>
        <w:spacing w:after="60"/>
      </w:pPr>
      <w:r>
        <w:rPr>
          <w:rFonts w:ascii="Consolas" w:hAnsi="Consolas"/>
          <w:i w:val="0"/>
          <w:color w:val="606676"/>
          <w:sz w:val="16"/>
        </w:rPr>
        <w:t>cafEvidence   ·   task CAFT0001022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3264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count</w:t>
            </w:r>
          </w:p>
        </w:tc>
        <w:tc>
          <w:tcPr>
            <w:tcW w:type="dxa" w:w="3264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items</w:t>
            </w:r>
          </w:p>
        </w:tc>
      </w:tr>
      <w:tr>
        <w:tc>
          <w:tcPr>
            <w:tcW w:type="dxa" w:w="326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Salesforce Files</w:t>
            </w:r>
          </w:p>
        </w:tc>
        <w:tc>
          <w:tcPr>
            <w:tcW w:type="dxa" w:w="326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dr-plan-evidence.txt</w:t>
              <w:br/>
              <w:t>69 B · Reyan Technologie…</w:t>
            </w:r>
          </w:p>
        </w:tc>
      </w:tr>
      <w:tr>
        <w:tc>
          <w:tcPr>
            <w:tcW w:type="dxa" w:w="326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ServiceNow attachments</w:t>
            </w:r>
          </w:p>
        </w:tc>
        <w:tc>
          <w:tcPr>
            <w:tcW w:type="dxa" w:w="326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dr-plan-evidence.txt</w:t>
              <w:br/>
              <w:t>69 B · sf.integration · …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i w:val="0"/>
          <w:color w:val="000724"/>
          <w:sz w:val="20"/>
        </w:rPr>
        <w:t>sys_attachment in ServiceNow</w:t>
      </w:r>
    </w:p>
    <w:p>
      <w:pPr>
        <w:spacing w:after="60"/>
      </w:pPr>
      <w:r>
        <w:rPr>
          <w:rFonts w:ascii="Consolas" w:hAnsi="Consolas"/>
          <w:i w:val="0"/>
          <w:color w:val="606676"/>
          <w:sz w:val="16"/>
        </w:rPr>
        <w:t>sys_attachment   ·   cnit get sys_attachment -Query "table_name=x_gskn2_caf_compli_caf_tsk^table_sys_id=8f936cf483431210bd2a5860ceaad36c" -ProfileName caf-reyan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size_bytes</w:t>
            </w:r>
          </w:p>
        </w:tc>
        <w:tc>
          <w:tcPr>
            <w:tcW w:type="dxa" w:w="4896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file_name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58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backup-restore-test.txt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69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dr-plan-evidence.txt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i w:val="0"/>
          <w:color w:val="000724"/>
          <w:sz w:val="20"/>
        </w:rPr>
        <w:t>Files linked to the task in Salesforce</w:t>
      </w:r>
    </w:p>
    <w:p>
      <w:pPr>
        <w:spacing w:after="60"/>
      </w:pPr>
      <w:r>
        <w:rPr>
          <w:rFonts w:ascii="Consolas" w:hAnsi="Consolas"/>
          <w:i w:val="0"/>
          <w:color w:val="606676"/>
          <w:sz w:val="16"/>
        </w:rPr>
        <w:t>ContentDocumentLink   ·   sf data query --query "SELECT ContentDocument.Title, ContentDocument.ContentSize FROM ContentDocumentLink WHERE LinkedEntityId IN (SELECT Id FROM CAF_Task__c WHERE SN_Number__c = 'CAFT0001022')" --target-org caf-sf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4896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size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dr-plan-evidence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69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000724"/>
          <w:sz w:val="30"/>
        </w:rPr>
        <w:t>Observations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Two copies on purpose, and not reconciled. Salesforce’s copy makes preview and download work with no round trip; ServiceNow’s is the copy an auditor is entitled to and the only one the attestation gate counts.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Verdict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6F4EC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B6B3A"/>
                <w:sz w:val="24"/>
              </w:rPr>
              <w:t>PASS</w:t>
            </w:r>
          </w:p>
        </w:tc>
      </w:tr>
    </w:tbl>
    <w:p>
      <w:pPr>
        <w:spacing w:after="200"/>
      </w:pPr>
      <w:r>
        <w:rPr>
          <w:i w:val="0"/>
          <w:color w:val="1A1A1A"/>
          <w:sz w:val="21"/>
        </w:rPr>
        <w:t>Two labelled columns, each agreeing with its own platform — a failed push would show as an empty column beside a populated one.</w:t>
      </w:r>
    </w:p>
    <w:p>
      <w:pPr>
        <w:spacing w:before="0" w:after="80"/>
        <w:pBdr>
          <w:bottom w:val="single" w:sz="6" w:color="D5D9E0"/>
        </w:pBdr>
      </w:pPr>
    </w:p>
    <w:p>
      <w:pPr>
        <w:spacing w:after="80"/>
      </w:pPr>
      <w:r>
        <w:rPr>
          <w:i/>
          <w:color w:val="606676"/>
          <w:sz w:val="15"/>
        </w:rPr>
        <w:t>Confidential. Prepared by Reyan Technologies. Contains system test evidence and must not be redistributed without written consent.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06676"/>
        <w:sz w:val="15"/>
      </w:rPr>
      <w:t xml:space="preserve">Confidential.   </w:t>
    </w:r>
    <w:r>
      <w:tab/>
      <w:tab/>
    </w:r>
    <w:r>
      <w:rPr>
        <w:color w:val="606676"/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color w:val="606676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</w:pPr>
    <w:r/>
    <w:r>
      <w:rPr>
        <w:b/>
        <w:color w:val="0A3176"/>
        <w:sz w:val="18"/>
      </w:rPr>
      <w:t>TC-INT-020   ·   Both lists are shown side by side</w:t>
    </w:r>
    <w:r>
      <w:tab/>
      <w:tab/>
    </w:r>
    <w:r>
      <w:rPr>
        <w:color w:val="606676"/>
        <w:sz w:val="18"/>
      </w:rPr>
      <w:t>CAF Compliance Test Evidence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