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left"/>
      </w:pPr>
      <w:r>
        <w:drawing>
          <wp:inline xmlns:a="http://schemas.openxmlformats.org/drawingml/2006/main" xmlns:pic="http://schemas.openxmlformats.org/drawingml/2006/picture">
            <wp:extent cx="1554480" cy="801529"/>
            <wp:docPr id="1" name="Picture 1"/>
            <wp:cNvGraphicFramePr>
              <a:graphicFrameLocks noChangeAspect="1"/>
            </wp:cNvGraphicFramePr>
            <a:graphic>
              <a:graphicData uri="http://schemas.openxmlformats.org/drawingml/2006/picture">
                <pic:pic>
                  <pic:nvPicPr>
                    <pic:cNvPr id="0" name="reyan-logo.png"/>
                    <pic:cNvPicPr/>
                  </pic:nvPicPr>
                  <pic:blipFill>
                    <a:blip r:embed="rId11"/>
                    <a:stretch>
                      <a:fillRect/>
                    </a:stretch>
                  </pic:blipFill>
                  <pic:spPr>
                    <a:xfrm>
                      <a:off x="0" y="0"/>
                      <a:ext cx="1554480" cy="801529"/>
                    </a:xfrm>
                    <a:prstGeom prst="rect"/>
                  </pic:spPr>
                </pic:pic>
              </a:graphicData>
            </a:graphic>
          </wp:inline>
        </w:drawing>
      </w:r>
    </w:p>
    <w:p>
      <w:pPr>
        <w:spacing w:after="40"/>
      </w:pPr>
      <w:r>
        <w:rPr>
          <w:b/>
          <w:color w:val="0A3176"/>
          <w:sz w:val="20"/>
        </w:rPr>
        <w:t>CAF Compliance  ·  Test Evidence Record</w:t>
      </w:r>
    </w:p>
    <w:p>
      <w:pPr>
        <w:spacing w:after="80"/>
      </w:pPr>
      <w:r>
        <w:rPr>
          <w:b/>
          <w:color w:val="000724"/>
          <w:sz w:val="52"/>
        </w:rPr>
        <w:t>TC-INT-044</w:t>
      </w:r>
    </w:p>
    <w:p>
      <w:pPr>
        <w:spacing w:after="400"/>
      </w:pPr>
      <w:r>
        <w:rPr>
          <w:color w:val="1A1A1A"/>
          <w:sz w:val="28"/>
        </w:rPr>
        <w:t>Only State__c is editable in the Salesforce mirror</w:t>
      </w:r>
    </w:p>
    <w:tbl>
      <w:tblPr>
        <w:tblW w:type="auto" w:w="0"/>
        <w:jc w:val="left"/>
        <w:tblLook w:firstColumn="1" w:firstRow="1" w:lastColumn="0" w:lastRow="0" w:noHBand="0" w:noVBand="1" w:val="04A0"/>
      </w:tblPr>
      <w:tblGrid>
        <w:gridCol w:w="3600"/>
      </w:tblGrid>
      <w:tr>
        <w:tc>
          <w:tcPr>
            <w:tcW w:type="dxa" w:w="9792"/>
            <w:shd w:val="clear" w:color="auto" w:fill="FBE9EF"/>
          </w:tcPr>
          <w:p>
            <w:pPr>
              <w:spacing w:before="120" w:after="120"/>
            </w:pPr>
            <w:r/>
            <w:r>
              <w:rPr>
                <w:rFonts w:ascii="Calibri" w:hAnsi="Calibri"/>
                <w:b/>
                <w:color w:val="A81845"/>
                <w:sz w:val="26"/>
              </w:rPr>
              <w:t>RESULT:  FAIL</w:t>
            </w:r>
          </w:p>
        </w:tc>
      </w:tr>
    </w:tbl>
    <w:p>
      <w:pPr>
        <w:spacing w:after="200"/>
      </w:pPr>
    </w:p>
    <w:p>
      <w:pPr>
        <w:spacing w:after="320"/>
      </w:pPr>
      <w:r>
        <w:rPr>
          <w:i w:val="0"/>
          <w:color w:val="1A1A1A"/>
          <w:sz w:val="20"/>
        </w:rPr>
        <w:t>Expected State__c alone to be editable among mirrored fields; the layout also allows editing Name (Required).</w:t>
      </w:r>
    </w:p>
    <w:tbl>
      <w:tblPr>
        <w:tblStyle w:val="TableGrid"/>
        <w:tblW w:type="auto" w:w="0"/>
        <w:tblLook w:firstColumn="1" w:firstRow="1" w:lastColumn="0" w:lastRow="0" w:noHBand="0" w:noVBand="1" w:val="04A0"/>
      </w:tblPr>
      <w:tblGrid>
        <w:gridCol w:w="2736"/>
        <w:gridCol w:w="6480"/>
      </w:tblGrid>
      <w:tr>
        <w:tc>
          <w:tcPr>
            <w:tcW w:type="dxa" w:w="4896"/>
            <w:shd w:val="clear" w:color="auto" w:fill="F4F6F9"/>
          </w:tcPr>
          <w:p>
            <w:pPr>
              <w:spacing w:before="40" w:after="40"/>
            </w:pPr>
            <w:r/>
            <w:r>
              <w:rPr>
                <w:rFonts w:ascii="Calibri" w:hAnsi="Calibri"/>
                <w:b/>
                <w:color w:val="000724"/>
                <w:sz w:val="18"/>
              </w:rPr>
              <w:t>Test case</w:t>
            </w:r>
          </w:p>
        </w:tc>
        <w:tc>
          <w:tcPr>
            <w:tcW w:type="dxa" w:w="4896"/>
          </w:tcPr>
          <w:p>
            <w:pPr>
              <w:spacing w:before="40" w:after="40"/>
            </w:pPr>
            <w:r/>
            <w:r>
              <w:rPr>
                <w:rFonts w:ascii="Calibri" w:hAnsi="Calibri"/>
                <w:b w:val="0"/>
                <w:color w:val="1A1A1A"/>
                <w:sz w:val="18"/>
              </w:rPr>
              <w:t>TC-INT-044</w:t>
            </w:r>
          </w:p>
        </w:tc>
      </w:tr>
      <w:tr>
        <w:tc>
          <w:tcPr>
            <w:tcW w:type="dxa" w:w="4896"/>
            <w:shd w:val="clear" w:color="auto" w:fill="F4F6F9"/>
          </w:tcPr>
          <w:p>
            <w:pPr>
              <w:spacing w:before="40" w:after="40"/>
            </w:pPr>
            <w:r/>
            <w:r>
              <w:rPr>
                <w:rFonts w:ascii="Calibri" w:hAnsi="Calibri"/>
                <w:b/>
                <w:color w:val="000724"/>
                <w:sz w:val="18"/>
              </w:rPr>
              <w:t>Priority</w:t>
            </w:r>
          </w:p>
        </w:tc>
        <w:tc>
          <w:tcPr>
            <w:tcW w:type="dxa" w:w="4896"/>
          </w:tcPr>
          <w:p>
            <w:pPr>
              <w:spacing w:before="40" w:after="40"/>
            </w:pPr>
            <w:r/>
            <w:r>
              <w:rPr>
                <w:rFonts w:ascii="Calibri" w:hAnsi="Calibri"/>
                <w:b w:val="0"/>
                <w:color w:val="1A1A1A"/>
                <w:sz w:val="18"/>
              </w:rPr>
              <w:t>P2</w:t>
            </w:r>
          </w:p>
        </w:tc>
      </w:tr>
      <w:tr>
        <w:tc>
          <w:tcPr>
            <w:tcW w:type="dxa" w:w="4896"/>
            <w:shd w:val="clear" w:color="auto" w:fill="F4F6F9"/>
          </w:tcPr>
          <w:p>
            <w:pPr>
              <w:spacing w:before="40" w:after="40"/>
            </w:pPr>
            <w:r/>
            <w:r>
              <w:rPr>
                <w:rFonts w:ascii="Calibri" w:hAnsi="Calibri"/>
                <w:b/>
                <w:color w:val="000724"/>
                <w:sz w:val="18"/>
              </w:rPr>
              <w:t>Type</w:t>
            </w:r>
          </w:p>
        </w:tc>
        <w:tc>
          <w:tcPr>
            <w:tcW w:type="dxa" w:w="4896"/>
          </w:tcPr>
          <w:p>
            <w:pPr>
              <w:spacing w:before="40" w:after="40"/>
            </w:pPr>
            <w:r/>
            <w:r>
              <w:rPr>
                <w:rFonts w:ascii="Calibri" w:hAnsi="Calibri"/>
                <w:b w:val="0"/>
                <w:color w:val="1A1A1A"/>
                <w:sz w:val="18"/>
              </w:rPr>
              <w:t>Negative</w:t>
            </w:r>
          </w:p>
        </w:tc>
      </w:tr>
      <w:tr>
        <w:tc>
          <w:tcPr>
            <w:tcW w:type="dxa" w:w="4896"/>
            <w:shd w:val="clear" w:color="auto" w:fill="F4F6F9"/>
          </w:tcPr>
          <w:p>
            <w:pPr>
              <w:spacing w:before="40" w:after="40"/>
            </w:pPr>
            <w:r/>
            <w:r>
              <w:rPr>
                <w:rFonts w:ascii="Calibri" w:hAnsi="Calibri"/>
                <w:b/>
                <w:color w:val="000724"/>
                <w:sz w:val="18"/>
              </w:rPr>
              <w:t>Component under test</w:t>
            </w:r>
          </w:p>
        </w:tc>
        <w:tc>
          <w:tcPr>
            <w:tcW w:type="dxa" w:w="4896"/>
          </w:tcPr>
          <w:p>
            <w:pPr>
              <w:spacing w:before="40" w:after="40"/>
            </w:pPr>
            <w:r/>
            <w:r>
              <w:rPr>
                <w:rFonts w:ascii="Calibri" w:hAnsi="Calibri"/>
                <w:b w:val="0"/>
                <w:color w:val="1A1A1A"/>
                <w:sz w:val="18"/>
              </w:rPr>
              <w:t>CAF Task page layout</w:t>
            </w:r>
          </w:p>
        </w:tc>
      </w:tr>
      <w:tr>
        <w:tc>
          <w:tcPr>
            <w:tcW w:type="dxa" w:w="4896"/>
            <w:shd w:val="clear" w:color="auto" w:fill="F4F6F9"/>
          </w:tcPr>
          <w:p>
            <w:pPr>
              <w:spacing w:before="40" w:after="40"/>
            </w:pPr>
            <w:r/>
            <w:r>
              <w:rPr>
                <w:rFonts w:ascii="Calibri" w:hAnsi="Calibri"/>
                <w:b/>
                <w:color w:val="000724"/>
                <w:sz w:val="18"/>
              </w:rPr>
              <w:t>Application</w:t>
            </w:r>
          </w:p>
        </w:tc>
        <w:tc>
          <w:tcPr>
            <w:tcW w:type="dxa" w:w="4896"/>
          </w:tcPr>
          <w:p>
            <w:pPr>
              <w:spacing w:before="40" w:after="40"/>
            </w:pPr>
            <w:r/>
            <w:r>
              <w:rPr>
                <w:rFonts w:ascii="Calibri" w:hAnsi="Calibri"/>
                <w:b w:val="0"/>
                <w:color w:val="1A1A1A"/>
                <w:sz w:val="18"/>
              </w:rPr>
              <w:t>CAF Compliance — scope x_gskn2_caf_compli</w:t>
            </w:r>
          </w:p>
        </w:tc>
      </w:tr>
      <w:tr>
        <w:tc>
          <w:tcPr>
            <w:tcW w:type="dxa" w:w="4896"/>
            <w:shd w:val="clear" w:color="auto" w:fill="F4F6F9"/>
          </w:tcPr>
          <w:p>
            <w:pPr>
              <w:spacing w:before="40" w:after="40"/>
            </w:pPr>
            <w:r/>
            <w:r>
              <w:rPr>
                <w:rFonts w:ascii="Calibri" w:hAnsi="Calibri"/>
                <w:b/>
                <w:color w:val="000724"/>
                <w:sz w:val="18"/>
              </w:rPr>
              <w:t>Environment</w:t>
            </w:r>
          </w:p>
        </w:tc>
        <w:tc>
          <w:tcPr>
            <w:tcW w:type="dxa" w:w="4896"/>
          </w:tcPr>
          <w:p>
            <w:pPr>
              <w:spacing w:before="40" w:after="40"/>
            </w:pPr>
            <w:r/>
            <w:r>
              <w:rPr>
                <w:rFonts w:ascii="Calibri" w:hAnsi="Calibri"/>
                <w:b w:val="0"/>
                <w:color w:val="1A1A1A"/>
                <w:sz w:val="18"/>
              </w:rPr>
              <w:t>https://dev281754.service-now.com</w:t>
            </w:r>
          </w:p>
        </w:tc>
      </w:tr>
      <w:tr>
        <w:tc>
          <w:tcPr>
            <w:tcW w:type="dxa" w:w="4896"/>
            <w:shd w:val="clear" w:color="auto" w:fill="F4F6F9"/>
          </w:tcPr>
          <w:p>
            <w:pPr>
              <w:spacing w:before="40" w:after="40"/>
            </w:pPr>
            <w:r/>
            <w:r>
              <w:rPr>
                <w:rFonts w:ascii="Calibri" w:hAnsi="Calibri"/>
                <w:b/>
                <w:color w:val="000724"/>
                <w:sz w:val="18"/>
              </w:rPr>
              <w:t>Executed by</w:t>
            </w:r>
          </w:p>
        </w:tc>
        <w:tc>
          <w:tcPr>
            <w:tcW w:type="dxa" w:w="4896"/>
          </w:tcPr>
          <w:p>
            <w:pPr>
              <w:spacing w:before="40" w:after="40"/>
            </w:pPr>
            <w:r/>
            <w:r>
              <w:rPr>
                <w:rFonts w:ascii="Calibri" w:hAnsi="Calibri"/>
                <w:b w:val="0"/>
                <w:color w:val="1A1A1A"/>
                <w:sz w:val="18"/>
              </w:rPr>
              <w:t>admin</w:t>
            </w:r>
          </w:p>
        </w:tc>
      </w:tr>
      <w:tr>
        <w:tc>
          <w:tcPr>
            <w:tcW w:type="dxa" w:w="4896"/>
            <w:shd w:val="clear" w:color="auto" w:fill="F4F6F9"/>
          </w:tcPr>
          <w:p>
            <w:pPr>
              <w:spacing w:before="40" w:after="40"/>
            </w:pPr>
            <w:r/>
            <w:r>
              <w:rPr>
                <w:rFonts w:ascii="Calibri" w:hAnsi="Calibri"/>
                <w:b/>
                <w:color w:val="000724"/>
                <w:sz w:val="18"/>
              </w:rPr>
              <w:t>Execution method</w:t>
            </w:r>
          </w:p>
        </w:tc>
        <w:tc>
          <w:tcPr>
            <w:tcW w:type="dxa" w:w="4896"/>
          </w:tcPr>
          <w:p>
            <w:pPr>
              <w:spacing w:before="40" w:after="40"/>
            </w:pPr>
            <w:r/>
            <w:r>
              <w:rPr>
                <w:rFonts w:ascii="Calibri" w:hAnsi="Calibri"/>
                <w:b w:val="0"/>
                <w:color w:val="1A1A1A"/>
                <w:sz w:val="18"/>
              </w:rPr>
              <w:t>Playwright (automated); every assertion cross-checked against the ServiceNow Table API</w:t>
            </w:r>
          </w:p>
        </w:tc>
      </w:tr>
      <w:tr>
        <w:tc>
          <w:tcPr>
            <w:tcW w:type="dxa" w:w="4896"/>
            <w:shd w:val="clear" w:color="auto" w:fill="F4F6F9"/>
          </w:tcPr>
          <w:p>
            <w:pPr>
              <w:spacing w:before="40" w:after="40"/>
            </w:pPr>
            <w:r/>
            <w:r>
              <w:rPr>
                <w:rFonts w:ascii="Calibri" w:hAnsi="Calibri"/>
                <w:b/>
                <w:color w:val="000724"/>
                <w:sz w:val="18"/>
              </w:rPr>
              <w:t>Specification</w:t>
            </w:r>
          </w:p>
        </w:tc>
        <w:tc>
          <w:tcPr>
            <w:tcW w:type="dxa" w:w="4896"/>
          </w:tcPr>
          <w:p>
            <w:pPr>
              <w:spacing w:before="40" w:after="40"/>
            </w:pPr>
            <w:r/>
            <w:r>
              <w:rPr>
                <w:rFonts w:ascii="Calibri" w:hAnsi="Calibri"/>
                <w:b w:val="0"/>
                <w:color w:val="1A1A1A"/>
                <w:sz w:val="18"/>
              </w:rPr>
              <w:t>TEST-CASES-INTEGRATION.md</w:t>
            </w:r>
          </w:p>
        </w:tc>
      </w:tr>
    </w:tbl>
    <w:p>
      <w:r>
        <w:br w:type="page"/>
      </w:r>
    </w:p>
    <w:p>
      <w:pPr>
        <w:keepNext/>
        <w:spacing w:before="0" w:after="80"/>
      </w:pPr>
      <w:r>
        <w:rPr>
          <w:b/>
          <w:color w:val="000724"/>
          <w:sz w:val="30"/>
        </w:rPr>
        <w:t>From the specification</w:t>
      </w:r>
    </w:p>
    <w:p>
      <w:pPr>
        <w:keepNext/>
        <w:spacing w:before="120" w:after="20"/>
      </w:pPr>
      <w:r>
        <w:rPr>
          <w:b/>
          <w:color w:val="0A3176"/>
          <w:sz w:val="23"/>
        </w:rPr>
        <w:t>Watch for the layout trap</w:t>
      </w:r>
    </w:p>
    <w:p>
      <w:pPr>
        <w:spacing w:after="80"/>
      </w:pPr>
      <w:r>
        <w:rPr>
          <w:i w:val="0"/>
          <w:color w:val="1A1A1A"/>
          <w:sz w:val="20"/>
        </w:rPr>
        <w:t>a field missing from the page layout shows a lock icon and refuses inline edit in a list view even when FLS grants Edit and describe reports updateable=true. Distinguish "deliberately Readonly" from "accidentally absent from the layout"; they look identical to a user.</w:t>
      </w:r>
    </w:p>
    <w:p>
      <w:pPr>
        <w:keepNext/>
        <w:spacing w:before="280" w:after="80"/>
      </w:pPr>
      <w:r>
        <w:rPr>
          <w:b/>
          <w:color w:val="000724"/>
          <w:sz w:val="30"/>
        </w:rPr>
        <w:t>Expected result</w:t>
      </w:r>
    </w:p>
    <w:p>
      <w:pPr>
        <w:pStyle w:val="ListBullet"/>
        <w:spacing w:after="80"/>
      </w:pPr>
      <w:r>
        <w:rPr>
          <w:i w:val="0"/>
          <w:color w:val="1A1A1A"/>
          <w:sz w:val="21"/>
        </w:rPr>
        <w:t>Every mirrored field except State__c is Readonly on the CAF Task layout.</w:t>
      </w:r>
    </w:p>
    <w:p>
      <w:pPr>
        <w:pStyle w:val="ListBullet"/>
        <w:spacing w:after="80"/>
      </w:pPr>
      <w:r>
        <w:rPr>
          <w:i w:val="0"/>
          <w:color w:val="1A1A1A"/>
          <w:sz w:val="21"/>
        </w:rPr>
        <w:t>State__c is editable solely to make the drift demo possible.</w:t>
      </w:r>
    </w:p>
    <w:p>
      <w:pPr>
        <w:keepNext/>
        <w:spacing w:before="280" w:after="80"/>
      </w:pPr>
      <w:r>
        <w:rPr>
          <w:b/>
          <w:color w:val="000724"/>
          <w:sz w:val="30"/>
        </w:rPr>
        <w:t>Steps executed</w:t>
      </w:r>
    </w:p>
    <w:p>
      <w:pPr>
        <w:keepNext/>
        <w:spacing w:before="120" w:after="40"/>
      </w:pPr>
      <w:r>
        <w:rPr>
          <w:b/>
          <w:color w:val="0A3176"/>
          <w:sz w:val="23"/>
        </w:rPr>
        <w:t xml:space="preserve">Step 1   </w:t>
      </w:r>
      <w:r>
        <w:rPr>
          <w:sz w:val="21"/>
        </w:rPr>
        <w:t>Read the CAF Task page layout and its per-field behavior.</w:t>
      </w:r>
    </w:p>
    <w:p>
      <w:pPr>
        <w:keepNext/>
        <w:spacing w:before="120" w:after="40"/>
      </w:pPr>
      <w:r>
        <w:rPr>
          <w:b/>
          <w:color w:val="0A3176"/>
          <w:sz w:val="23"/>
        </w:rPr>
        <w:t xml:space="preserve">Step 2   </w:t>
      </w:r>
      <w:r>
        <w:rPr>
          <w:sz w:val="21"/>
        </w:rPr>
        <w:t>Cross-check against what the org itself reports as updateable.</w:t>
      </w:r>
    </w:p>
    <w:p>
      <w:pPr>
        <w:keepNext/>
        <w:spacing w:before="120" w:after="40"/>
      </w:pPr>
      <w:r>
        <w:rPr>
          <w:b/>
          <w:color w:val="0A3176"/>
          <w:sz w:val="23"/>
        </w:rPr>
        <w:t xml:space="preserve">Step 3   </w:t>
      </w:r>
      <w:r>
        <w:rPr>
          <w:sz w:val="21"/>
        </w:rPr>
        <w:t>Establish which fields the sync actually mirrors — the set the case is about.</w:t>
      </w:r>
    </w:p>
    <w:p>
      <w:pPr>
        <w:keepNext/>
        <w:spacing w:before="280" w:after="80"/>
      </w:pPr>
      <w:r>
        <w:rPr>
          <w:b/>
          <w:color w:val="000724"/>
          <w:sz w:val="30"/>
        </w:rPr>
        <w:t>Actual result</w:t>
      </w:r>
    </w:p>
    <w:p>
      <w:pPr>
        <w:pStyle w:val="ListBullet"/>
        <w:spacing w:after="80"/>
      </w:pPr>
      <w:r>
        <w:rPr>
          <w:i w:val="0"/>
          <w:color w:val="1A1A1A"/>
          <w:sz w:val="21"/>
        </w:rPr>
        <w:t>Mirrored fields (from the push payload): Name, SN_Number__c, Short_Description__c, Planned_Completion_Date__c, Business_Application__c, CAF_Control__c, CAF_Status__c, State__c, Approval__c, Met_Criteria__c</w:t>
      </w:r>
    </w:p>
    <w:p>
      <w:pPr>
        <w:pStyle w:val="ListBullet"/>
        <w:spacing w:after="80"/>
      </w:pPr>
      <w:r>
        <w:rPr>
          <w:i w:val="0"/>
          <w:color w:val="1A1A1A"/>
          <w:sz w:val="21"/>
        </w:rPr>
        <w:t>Editable on the layout AND mirrored: Name (Required), State__c (Edit)</w:t>
      </w:r>
    </w:p>
    <w:p>
      <w:pPr>
        <w:pStyle w:val="ListBullet"/>
        <w:spacing w:after="80"/>
      </w:pPr>
      <w:r>
        <w:rPr>
          <w:i w:val="0"/>
          <w:color w:val="1A1A1A"/>
          <w:sz w:val="21"/>
        </w:rPr>
        <w:t>Editable on the layout but not mirrored: OwnerId</w:t>
      </w:r>
    </w:p>
    <w:p>
      <w:pPr>
        <w:pStyle w:val="ListBullet"/>
        <w:spacing w:after="80"/>
      </w:pPr>
      <w:r>
        <w:rPr>
          <w:i w:val="0"/>
          <w:color w:val="1A1A1A"/>
          <w:sz w:val="21"/>
        </w:rPr>
        <w:t>Readonly on the layout: SN_Number__c, Short_Description__c, CAF_Request__c, Approval__c, Met_Criteria__c, Planned_Completion_Date__c, ServiceNow_Sys_Id__c, CreatedById, LastModifiedById</w:t>
      </w:r>
    </w:p>
    <w:p>
      <w:pPr>
        <w:pStyle w:val="ListBullet"/>
        <w:spacing w:after="80"/>
      </w:pPr>
      <w:r>
        <w:rPr>
          <w:i w:val="0"/>
          <w:color w:val="1A1A1A"/>
          <w:sz w:val="21"/>
        </w:rPr>
        <w:t>Custom fields absent from the layout entirely: none</w:t>
      </w:r>
    </w:p>
    <w:p>
      <w:pPr>
        <w:keepNext/>
        <w:spacing w:before="280" w:after="80"/>
      </w:pPr>
      <w:r>
        <w:rPr>
          <w:b/>
          <w:color w:val="000724"/>
          <w:sz w:val="30"/>
        </w:rPr>
        <w:t>Record evidence</w:t>
      </w:r>
    </w:p>
    <w:p>
      <w:pPr>
        <w:spacing w:after="160"/>
      </w:pPr>
      <w:r>
        <w:rPr>
          <w:i/>
          <w:color w:val="606676"/>
          <w:sz w:val="18"/>
        </w:rPr>
        <w:t>Read directly from the ServiceNow Table API during execution. This is the evidence that determines the verdict; a screen capture shows what was displayed, not what was stored.</w:t>
      </w:r>
    </w:p>
    <w:p>
      <w:pPr>
        <w:spacing w:after="20"/>
      </w:pPr>
      <w:r>
        <w:rPr>
          <w:i w:val="0"/>
          <w:color w:val="000724"/>
          <w:sz w:val="20"/>
        </w:rPr>
        <w:t>CAF Task layout — field behaviour</w:t>
      </w:r>
    </w:p>
    <w:p>
      <w:pPr>
        <w:spacing w:after="60"/>
      </w:pPr>
      <w:r>
        <w:rPr>
          <w:rFonts w:ascii="Consolas" w:hAnsi="Consolas"/>
          <w:i w:val="0"/>
          <w:color w:val="606676"/>
          <w:sz w:val="16"/>
        </w:rPr>
        <w:t>CAF_Task__c layout   ·   C:\Users\patel\Documents\ServiceNow Work Project Docs\Personal AI Assisted\dev281754 CAF App Reyan\salesforce\force-app\layouts\CAF_Task__c-CAF Task Layout.layout</w:t>
      </w:r>
    </w:p>
    <w:tbl>
      <w:tblPr>
        <w:tblStyle w:val="TableGrid"/>
        <w:tblW w:type="auto" w:w="0"/>
        <w:tblLook w:firstColumn="1" w:firstRow="1" w:lastColumn="0" w:lastRow="0" w:noHBand="0" w:noVBand="1" w:val="04A0"/>
      </w:tblPr>
      <w:tblGrid>
        <w:gridCol w:w="4896"/>
        <w:gridCol w:w="4896"/>
      </w:tblGrid>
      <w:tr>
        <w:tc>
          <w:tcPr>
            <w:tcW w:type="dxa" w:w="4896"/>
            <w:shd w:val="clear" w:color="auto" w:fill="0A3176"/>
          </w:tcPr>
          <w:p>
            <w:pPr>
              <w:spacing w:before="40" w:after="40"/>
            </w:pPr>
            <w:r/>
            <w:r>
              <w:rPr>
                <w:rFonts w:ascii="Consolas" w:hAnsi="Consolas"/>
                <w:b/>
                <w:color w:val="FFFFFF"/>
                <w:sz w:val="16"/>
              </w:rPr>
              <w:t>field</w:t>
            </w:r>
          </w:p>
        </w:tc>
        <w:tc>
          <w:tcPr>
            <w:tcW w:type="dxa" w:w="4896"/>
            <w:shd w:val="clear" w:color="auto" w:fill="0A3176"/>
          </w:tcPr>
          <w:p>
            <w:pPr>
              <w:spacing w:before="40" w:after="40"/>
            </w:pPr>
            <w:r/>
            <w:r>
              <w:rPr>
                <w:rFonts w:ascii="Consolas" w:hAnsi="Consolas"/>
                <w:b/>
                <w:color w:val="FFFFFF"/>
                <w:sz w:val="16"/>
              </w:rPr>
              <w:t>behavior</w:t>
            </w:r>
          </w:p>
        </w:tc>
      </w:tr>
      <w:tr>
        <w:tc>
          <w:tcPr>
            <w:tcW w:type="dxa" w:w="4896"/>
          </w:tcPr>
          <w:p>
            <w:pPr>
              <w:spacing w:before="40" w:after="40"/>
            </w:pPr>
            <w:r/>
            <w:r>
              <w:rPr>
                <w:rFonts w:ascii="Consolas" w:hAnsi="Consolas"/>
                <w:b w:val="0"/>
                <w:color w:val="1A1A1A"/>
                <w:sz w:val="16"/>
              </w:rPr>
              <w:t>Name</w:t>
            </w:r>
          </w:p>
        </w:tc>
        <w:tc>
          <w:tcPr>
            <w:tcW w:type="dxa" w:w="4896"/>
          </w:tcPr>
          <w:p>
            <w:pPr>
              <w:spacing w:before="40" w:after="40"/>
            </w:pPr>
            <w:r/>
            <w:r>
              <w:rPr>
                <w:rFonts w:ascii="Consolas" w:hAnsi="Consolas"/>
                <w:b w:val="0"/>
                <w:color w:val="1A1A1A"/>
                <w:sz w:val="16"/>
              </w:rPr>
              <w:t>Required</w:t>
            </w:r>
          </w:p>
        </w:tc>
      </w:tr>
      <w:tr>
        <w:tc>
          <w:tcPr>
            <w:tcW w:type="dxa" w:w="4896"/>
          </w:tcPr>
          <w:p>
            <w:pPr>
              <w:spacing w:before="40" w:after="40"/>
            </w:pPr>
            <w:r/>
            <w:r>
              <w:rPr>
                <w:rFonts w:ascii="Consolas" w:hAnsi="Consolas"/>
                <w:b w:val="0"/>
                <w:color w:val="1A1A1A"/>
                <w:sz w:val="16"/>
              </w:rPr>
              <w:t>SN_Number__c</w:t>
            </w:r>
          </w:p>
        </w:tc>
        <w:tc>
          <w:tcPr>
            <w:tcW w:type="dxa" w:w="4896"/>
          </w:tcPr>
          <w:p>
            <w:pPr>
              <w:spacing w:before="40" w:after="40"/>
            </w:pPr>
            <w:r/>
            <w:r>
              <w:rPr>
                <w:rFonts w:ascii="Consolas" w:hAnsi="Consolas"/>
                <w:b w:val="0"/>
                <w:color w:val="1A1A1A"/>
                <w:sz w:val="16"/>
              </w:rPr>
              <w:t>Readonly</w:t>
            </w:r>
          </w:p>
        </w:tc>
      </w:tr>
      <w:tr>
        <w:tc>
          <w:tcPr>
            <w:tcW w:type="dxa" w:w="4896"/>
          </w:tcPr>
          <w:p>
            <w:pPr>
              <w:spacing w:before="40" w:after="40"/>
            </w:pPr>
            <w:r/>
            <w:r>
              <w:rPr>
                <w:rFonts w:ascii="Consolas" w:hAnsi="Consolas"/>
                <w:b w:val="0"/>
                <w:color w:val="1A1A1A"/>
                <w:sz w:val="16"/>
              </w:rPr>
              <w:t>Short_Description__c</w:t>
            </w:r>
          </w:p>
        </w:tc>
        <w:tc>
          <w:tcPr>
            <w:tcW w:type="dxa" w:w="4896"/>
          </w:tcPr>
          <w:p>
            <w:pPr>
              <w:spacing w:before="40" w:after="40"/>
            </w:pPr>
            <w:r/>
            <w:r>
              <w:rPr>
                <w:rFonts w:ascii="Consolas" w:hAnsi="Consolas"/>
                <w:b w:val="0"/>
                <w:color w:val="1A1A1A"/>
                <w:sz w:val="16"/>
              </w:rPr>
              <w:t>Readonly</w:t>
            </w:r>
          </w:p>
        </w:tc>
      </w:tr>
      <w:tr>
        <w:tc>
          <w:tcPr>
            <w:tcW w:type="dxa" w:w="4896"/>
          </w:tcPr>
          <w:p>
            <w:pPr>
              <w:spacing w:before="40" w:after="40"/>
            </w:pPr>
            <w:r/>
            <w:r>
              <w:rPr>
                <w:rFonts w:ascii="Consolas" w:hAnsi="Consolas"/>
                <w:b w:val="0"/>
                <w:color w:val="1A1A1A"/>
                <w:sz w:val="16"/>
              </w:rPr>
              <w:t>CAF_Request__c</w:t>
            </w:r>
          </w:p>
        </w:tc>
        <w:tc>
          <w:tcPr>
            <w:tcW w:type="dxa" w:w="4896"/>
          </w:tcPr>
          <w:p>
            <w:pPr>
              <w:spacing w:before="40" w:after="40"/>
            </w:pPr>
            <w:r/>
            <w:r>
              <w:rPr>
                <w:rFonts w:ascii="Consolas" w:hAnsi="Consolas"/>
                <w:b w:val="0"/>
                <w:color w:val="1A1A1A"/>
                <w:sz w:val="16"/>
              </w:rPr>
              <w:t>Readonly</w:t>
            </w:r>
          </w:p>
        </w:tc>
      </w:tr>
      <w:tr>
        <w:tc>
          <w:tcPr>
            <w:tcW w:type="dxa" w:w="4896"/>
          </w:tcPr>
          <w:p>
            <w:pPr>
              <w:spacing w:before="40" w:after="40"/>
            </w:pPr>
            <w:r/>
            <w:r>
              <w:rPr>
                <w:rFonts w:ascii="Consolas" w:hAnsi="Consolas"/>
                <w:b w:val="0"/>
                <w:color w:val="1A1A1A"/>
                <w:sz w:val="16"/>
              </w:rPr>
              <w:t>State__c</w:t>
            </w:r>
          </w:p>
        </w:tc>
        <w:tc>
          <w:tcPr>
            <w:tcW w:type="dxa" w:w="4896"/>
          </w:tcPr>
          <w:p>
            <w:pPr>
              <w:spacing w:before="40" w:after="40"/>
            </w:pPr>
            <w:r/>
            <w:r>
              <w:rPr>
                <w:rFonts w:ascii="Consolas" w:hAnsi="Consolas"/>
                <w:b w:val="0"/>
                <w:color w:val="1A1A1A"/>
                <w:sz w:val="16"/>
              </w:rPr>
              <w:t>Edit</w:t>
            </w:r>
          </w:p>
        </w:tc>
      </w:tr>
      <w:tr>
        <w:tc>
          <w:tcPr>
            <w:tcW w:type="dxa" w:w="4896"/>
          </w:tcPr>
          <w:p>
            <w:pPr>
              <w:spacing w:before="40" w:after="40"/>
            </w:pPr>
            <w:r/>
            <w:r>
              <w:rPr>
                <w:rFonts w:ascii="Consolas" w:hAnsi="Consolas"/>
                <w:b w:val="0"/>
                <w:color w:val="1A1A1A"/>
                <w:sz w:val="16"/>
              </w:rPr>
              <w:t>Approval__c</w:t>
            </w:r>
          </w:p>
        </w:tc>
        <w:tc>
          <w:tcPr>
            <w:tcW w:type="dxa" w:w="4896"/>
          </w:tcPr>
          <w:p>
            <w:pPr>
              <w:spacing w:before="40" w:after="40"/>
            </w:pPr>
            <w:r/>
            <w:r>
              <w:rPr>
                <w:rFonts w:ascii="Consolas" w:hAnsi="Consolas"/>
                <w:b w:val="0"/>
                <w:color w:val="1A1A1A"/>
                <w:sz w:val="16"/>
              </w:rPr>
              <w:t>Readonly</w:t>
            </w:r>
          </w:p>
        </w:tc>
      </w:tr>
      <w:tr>
        <w:tc>
          <w:tcPr>
            <w:tcW w:type="dxa" w:w="4896"/>
          </w:tcPr>
          <w:p>
            <w:pPr>
              <w:spacing w:before="40" w:after="40"/>
            </w:pPr>
            <w:r/>
            <w:r>
              <w:rPr>
                <w:rFonts w:ascii="Consolas" w:hAnsi="Consolas"/>
                <w:b w:val="0"/>
                <w:color w:val="1A1A1A"/>
                <w:sz w:val="16"/>
              </w:rPr>
              <w:t>Met_Criteria__c</w:t>
            </w:r>
          </w:p>
        </w:tc>
        <w:tc>
          <w:tcPr>
            <w:tcW w:type="dxa" w:w="4896"/>
          </w:tcPr>
          <w:p>
            <w:pPr>
              <w:spacing w:before="40" w:after="40"/>
            </w:pPr>
            <w:r/>
            <w:r>
              <w:rPr>
                <w:rFonts w:ascii="Consolas" w:hAnsi="Consolas"/>
                <w:b w:val="0"/>
                <w:color w:val="1A1A1A"/>
                <w:sz w:val="16"/>
              </w:rPr>
              <w:t>Readonly</w:t>
            </w:r>
          </w:p>
        </w:tc>
      </w:tr>
      <w:tr>
        <w:tc>
          <w:tcPr>
            <w:tcW w:type="dxa" w:w="4896"/>
          </w:tcPr>
          <w:p>
            <w:pPr>
              <w:spacing w:before="40" w:after="40"/>
            </w:pPr>
            <w:r/>
            <w:r>
              <w:rPr>
                <w:rFonts w:ascii="Consolas" w:hAnsi="Consolas"/>
                <w:b w:val="0"/>
                <w:color w:val="1A1A1A"/>
                <w:sz w:val="16"/>
              </w:rPr>
              <w:t>Planned_Completion_Date__c</w:t>
            </w:r>
          </w:p>
        </w:tc>
        <w:tc>
          <w:tcPr>
            <w:tcW w:type="dxa" w:w="4896"/>
          </w:tcPr>
          <w:p>
            <w:pPr>
              <w:spacing w:before="40" w:after="40"/>
            </w:pPr>
            <w:r/>
            <w:r>
              <w:rPr>
                <w:rFonts w:ascii="Consolas" w:hAnsi="Consolas"/>
                <w:b w:val="0"/>
                <w:color w:val="1A1A1A"/>
                <w:sz w:val="16"/>
              </w:rPr>
              <w:t>Readonly</w:t>
            </w:r>
          </w:p>
        </w:tc>
      </w:tr>
      <w:tr>
        <w:tc>
          <w:tcPr>
            <w:tcW w:type="dxa" w:w="4896"/>
          </w:tcPr>
          <w:p>
            <w:pPr>
              <w:spacing w:before="40" w:after="40"/>
            </w:pPr>
            <w:r/>
            <w:r>
              <w:rPr>
                <w:rFonts w:ascii="Consolas" w:hAnsi="Consolas"/>
                <w:b w:val="0"/>
                <w:color w:val="1A1A1A"/>
                <w:sz w:val="16"/>
              </w:rPr>
              <w:t>ServiceNow_Sys_Id__c</w:t>
            </w:r>
          </w:p>
        </w:tc>
        <w:tc>
          <w:tcPr>
            <w:tcW w:type="dxa" w:w="4896"/>
          </w:tcPr>
          <w:p>
            <w:pPr>
              <w:spacing w:before="40" w:after="40"/>
            </w:pPr>
            <w:r/>
            <w:r>
              <w:rPr>
                <w:rFonts w:ascii="Consolas" w:hAnsi="Consolas"/>
                <w:b w:val="0"/>
                <w:color w:val="1A1A1A"/>
                <w:sz w:val="16"/>
              </w:rPr>
              <w:t>Readonly</w:t>
            </w:r>
          </w:p>
        </w:tc>
      </w:tr>
      <w:tr>
        <w:tc>
          <w:tcPr>
            <w:tcW w:type="dxa" w:w="4896"/>
          </w:tcPr>
          <w:p>
            <w:pPr>
              <w:spacing w:before="40" w:after="40"/>
            </w:pPr>
            <w:r/>
            <w:r>
              <w:rPr>
                <w:rFonts w:ascii="Consolas" w:hAnsi="Consolas"/>
                <w:b w:val="0"/>
                <w:color w:val="1A1A1A"/>
                <w:sz w:val="16"/>
              </w:rPr>
              <w:t>OwnerId</w:t>
            </w:r>
          </w:p>
        </w:tc>
        <w:tc>
          <w:tcPr>
            <w:tcW w:type="dxa" w:w="4896"/>
          </w:tcPr>
          <w:p>
            <w:pPr>
              <w:spacing w:before="40" w:after="40"/>
            </w:pPr>
            <w:r/>
            <w:r>
              <w:rPr>
                <w:rFonts w:ascii="Consolas" w:hAnsi="Consolas"/>
                <w:b w:val="0"/>
                <w:color w:val="1A1A1A"/>
                <w:sz w:val="16"/>
              </w:rPr>
              <w:t>Edit</w:t>
            </w:r>
          </w:p>
        </w:tc>
      </w:tr>
      <w:tr>
        <w:tc>
          <w:tcPr>
            <w:tcW w:type="dxa" w:w="4896"/>
          </w:tcPr>
          <w:p>
            <w:pPr>
              <w:spacing w:before="40" w:after="40"/>
            </w:pPr>
            <w:r/>
            <w:r>
              <w:rPr>
                <w:rFonts w:ascii="Consolas" w:hAnsi="Consolas"/>
                <w:b w:val="0"/>
                <w:color w:val="1A1A1A"/>
                <w:sz w:val="16"/>
              </w:rPr>
              <w:t>CreatedById</w:t>
            </w:r>
          </w:p>
        </w:tc>
        <w:tc>
          <w:tcPr>
            <w:tcW w:type="dxa" w:w="4896"/>
          </w:tcPr>
          <w:p>
            <w:pPr>
              <w:spacing w:before="40" w:after="40"/>
            </w:pPr>
            <w:r/>
            <w:r>
              <w:rPr>
                <w:rFonts w:ascii="Consolas" w:hAnsi="Consolas"/>
                <w:b w:val="0"/>
                <w:color w:val="1A1A1A"/>
                <w:sz w:val="16"/>
              </w:rPr>
              <w:t>Readonly</w:t>
            </w:r>
          </w:p>
        </w:tc>
      </w:tr>
      <w:tr>
        <w:tc>
          <w:tcPr>
            <w:tcW w:type="dxa" w:w="4896"/>
          </w:tcPr>
          <w:p>
            <w:pPr>
              <w:spacing w:before="40" w:after="40"/>
            </w:pPr>
            <w:r/>
            <w:r>
              <w:rPr>
                <w:rFonts w:ascii="Consolas" w:hAnsi="Consolas"/>
                <w:b w:val="0"/>
                <w:color w:val="1A1A1A"/>
                <w:sz w:val="16"/>
              </w:rPr>
              <w:t>LastModifiedById</w:t>
            </w:r>
          </w:p>
        </w:tc>
        <w:tc>
          <w:tcPr>
            <w:tcW w:type="dxa" w:w="4896"/>
          </w:tcPr>
          <w:p>
            <w:pPr>
              <w:spacing w:before="40" w:after="40"/>
            </w:pPr>
            <w:r/>
            <w:r>
              <w:rPr>
                <w:rFonts w:ascii="Consolas" w:hAnsi="Consolas"/>
                <w:b w:val="0"/>
                <w:color w:val="1A1A1A"/>
                <w:sz w:val="16"/>
              </w:rPr>
              <w:t>Readonly</w:t>
            </w:r>
          </w:p>
        </w:tc>
      </w:tr>
    </w:tbl>
    <w:p>
      <w:pPr>
        <w:spacing w:after="120"/>
      </w:pPr>
    </w:p>
    <w:p>
      <w:pPr>
        <w:spacing w:after="20"/>
      </w:pPr>
      <w:r>
        <w:rPr>
          <w:i w:val="0"/>
          <w:color w:val="000724"/>
          <w:sz w:val="20"/>
        </w:rPr>
        <w:t>CAF_Task__c custom fields, per describe</w:t>
      </w:r>
    </w:p>
    <w:p>
      <w:pPr>
        <w:spacing w:after="60"/>
      </w:pPr>
      <w:r>
        <w:rPr>
          <w:rFonts w:ascii="Consolas" w:hAnsi="Consolas"/>
          <w:i w:val="0"/>
          <w:color w:val="606676"/>
          <w:sz w:val="16"/>
        </w:rPr>
        <w:t>CAF_Task__c   ·   sf sobject describe --sobject CAF_Task__c</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0A3176"/>
          </w:tcPr>
          <w:p>
            <w:pPr>
              <w:spacing w:before="40" w:after="40"/>
            </w:pPr>
            <w:r/>
            <w:r>
              <w:rPr>
                <w:rFonts w:ascii="Consolas" w:hAnsi="Consolas"/>
                <w:b/>
                <w:color w:val="FFFFFF"/>
                <w:sz w:val="16"/>
              </w:rPr>
              <w:t>name</w:t>
            </w:r>
          </w:p>
        </w:tc>
        <w:tc>
          <w:tcPr>
            <w:tcW w:type="dxa" w:w="3264"/>
            <w:shd w:val="clear" w:color="auto" w:fill="0A3176"/>
          </w:tcPr>
          <w:p>
            <w:pPr>
              <w:spacing w:before="40" w:after="40"/>
            </w:pPr>
            <w:r/>
            <w:r>
              <w:rPr>
                <w:rFonts w:ascii="Consolas" w:hAnsi="Consolas"/>
                <w:b/>
                <w:color w:val="FFFFFF"/>
                <w:sz w:val="16"/>
              </w:rPr>
              <w:t>updateable</w:t>
            </w:r>
          </w:p>
        </w:tc>
        <w:tc>
          <w:tcPr>
            <w:tcW w:type="dxa" w:w="3264"/>
            <w:shd w:val="clear" w:color="auto" w:fill="0A3176"/>
          </w:tcPr>
          <w:p>
            <w:pPr>
              <w:spacing w:before="40" w:after="40"/>
            </w:pPr>
            <w:r/>
            <w:r>
              <w:rPr>
                <w:rFonts w:ascii="Consolas" w:hAnsi="Consolas"/>
                <w:b/>
                <w:color w:val="FFFFFF"/>
                <w:sz w:val="16"/>
              </w:rPr>
              <w:t>type</w:t>
            </w:r>
          </w:p>
        </w:tc>
      </w:tr>
      <w:tr>
        <w:tc>
          <w:tcPr>
            <w:tcW w:type="dxa" w:w="3264"/>
          </w:tcPr>
          <w:p>
            <w:pPr>
              <w:spacing w:before="40" w:after="40"/>
            </w:pPr>
            <w:r/>
            <w:r>
              <w:rPr>
                <w:rFonts w:ascii="Consolas" w:hAnsi="Consolas"/>
                <w:b w:val="0"/>
                <w:color w:val="1A1A1A"/>
                <w:sz w:val="16"/>
              </w:rPr>
              <w:t>Short_Description__c</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string</w:t>
            </w:r>
          </w:p>
        </w:tc>
      </w:tr>
      <w:tr>
        <w:tc>
          <w:tcPr>
            <w:tcW w:type="dxa" w:w="3264"/>
          </w:tcPr>
          <w:p>
            <w:pPr>
              <w:spacing w:before="40" w:after="40"/>
            </w:pPr>
            <w:r/>
            <w:r>
              <w:rPr>
                <w:rFonts w:ascii="Consolas" w:hAnsi="Consolas"/>
                <w:b w:val="0"/>
                <w:color w:val="1A1A1A"/>
                <w:sz w:val="16"/>
              </w:rPr>
              <w:t>ServiceNow_Sys_Id__c</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string</w:t>
            </w:r>
          </w:p>
        </w:tc>
      </w:tr>
      <w:tr>
        <w:tc>
          <w:tcPr>
            <w:tcW w:type="dxa" w:w="3264"/>
          </w:tcPr>
          <w:p>
            <w:pPr>
              <w:spacing w:before="40" w:after="40"/>
            </w:pPr>
            <w:r/>
            <w:r>
              <w:rPr>
                <w:rFonts w:ascii="Consolas" w:hAnsi="Consolas"/>
                <w:b w:val="0"/>
                <w:color w:val="1A1A1A"/>
                <w:sz w:val="16"/>
              </w:rPr>
              <w:t>State__c</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string</w:t>
            </w:r>
          </w:p>
        </w:tc>
      </w:tr>
      <w:tr>
        <w:tc>
          <w:tcPr>
            <w:tcW w:type="dxa" w:w="3264"/>
          </w:tcPr>
          <w:p>
            <w:pPr>
              <w:spacing w:before="40" w:after="40"/>
            </w:pPr>
            <w:r/>
            <w:r>
              <w:rPr>
                <w:rFonts w:ascii="Consolas" w:hAnsi="Consolas"/>
                <w:b w:val="0"/>
                <w:color w:val="1A1A1A"/>
                <w:sz w:val="16"/>
              </w:rPr>
              <w:t>CAF_Request__c</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reference</w:t>
            </w:r>
          </w:p>
        </w:tc>
      </w:tr>
      <w:tr>
        <w:tc>
          <w:tcPr>
            <w:tcW w:type="dxa" w:w="3264"/>
          </w:tcPr>
          <w:p>
            <w:pPr>
              <w:spacing w:before="40" w:after="40"/>
            </w:pPr>
            <w:r/>
            <w:r>
              <w:rPr>
                <w:rFonts w:ascii="Consolas" w:hAnsi="Consolas"/>
                <w:b w:val="0"/>
                <w:color w:val="1A1A1A"/>
                <w:sz w:val="16"/>
              </w:rPr>
              <w:t>Met_Criteria__c</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string</w:t>
            </w:r>
          </w:p>
        </w:tc>
      </w:tr>
      <w:tr>
        <w:tc>
          <w:tcPr>
            <w:tcW w:type="dxa" w:w="3264"/>
          </w:tcPr>
          <w:p>
            <w:pPr>
              <w:spacing w:before="40" w:after="40"/>
            </w:pPr>
            <w:r/>
            <w:r>
              <w:rPr>
                <w:rFonts w:ascii="Consolas" w:hAnsi="Consolas"/>
                <w:b w:val="0"/>
                <w:color w:val="1A1A1A"/>
                <w:sz w:val="16"/>
              </w:rPr>
              <w:t>SN_Number__c</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string</w:t>
            </w:r>
          </w:p>
        </w:tc>
      </w:tr>
      <w:tr>
        <w:tc>
          <w:tcPr>
            <w:tcW w:type="dxa" w:w="3264"/>
          </w:tcPr>
          <w:p>
            <w:pPr>
              <w:spacing w:before="40" w:after="40"/>
            </w:pPr>
            <w:r/>
            <w:r>
              <w:rPr>
                <w:rFonts w:ascii="Consolas" w:hAnsi="Consolas"/>
                <w:b w:val="0"/>
                <w:color w:val="1A1A1A"/>
                <w:sz w:val="16"/>
              </w:rPr>
              <w:t>Approval__c</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string</w:t>
            </w:r>
          </w:p>
        </w:tc>
      </w:tr>
      <w:tr>
        <w:tc>
          <w:tcPr>
            <w:tcW w:type="dxa" w:w="3264"/>
          </w:tcPr>
          <w:p>
            <w:pPr>
              <w:spacing w:before="40" w:after="40"/>
            </w:pPr>
            <w:r/>
            <w:r>
              <w:rPr>
                <w:rFonts w:ascii="Consolas" w:hAnsi="Consolas"/>
                <w:b w:val="0"/>
                <w:color w:val="1A1A1A"/>
                <w:sz w:val="16"/>
              </w:rPr>
              <w:t>Planned_Completion_Date__c</w:t>
            </w:r>
          </w:p>
        </w:tc>
        <w:tc>
          <w:tcPr>
            <w:tcW w:type="dxa" w:w="3264"/>
          </w:tcPr>
          <w:p>
            <w:pPr>
              <w:spacing w:before="40" w:after="40"/>
            </w:pPr>
            <w:r/>
            <w:r>
              <w:rPr>
                <w:rFonts w:ascii="Consolas" w:hAnsi="Consolas"/>
                <w:b w:val="0"/>
                <w:color w:val="1A1A1A"/>
                <w:sz w:val="16"/>
              </w:rPr>
              <w:t>true</w:t>
            </w:r>
          </w:p>
        </w:tc>
        <w:tc>
          <w:tcPr>
            <w:tcW w:type="dxa" w:w="3264"/>
          </w:tcPr>
          <w:p>
            <w:pPr>
              <w:spacing w:before="40" w:after="40"/>
            </w:pPr>
            <w:r/>
            <w:r>
              <w:rPr>
                <w:rFonts w:ascii="Consolas" w:hAnsi="Consolas"/>
                <w:b w:val="0"/>
                <w:color w:val="1A1A1A"/>
                <w:sz w:val="16"/>
              </w:rPr>
              <w:t>datetime</w:t>
            </w:r>
          </w:p>
        </w:tc>
      </w:tr>
    </w:tbl>
    <w:p>
      <w:pPr>
        <w:spacing w:after="120"/>
      </w:pPr>
    </w:p>
    <w:p>
      <w:pPr>
        <w:spacing w:after="20"/>
      </w:pPr>
      <w:r>
        <w:rPr>
          <w:i w:val="0"/>
          <w:color w:val="000724"/>
          <w:sz w:val="20"/>
        </w:rPr>
        <w:t>Fields CAFSalesforceSync.buildTaskPayload() writes</w:t>
      </w:r>
    </w:p>
    <w:p>
      <w:pPr>
        <w:spacing w:after="60"/>
      </w:pPr>
      <w:r>
        <w:rPr>
          <w:rFonts w:ascii="Consolas" w:hAnsi="Consolas"/>
          <w:i w:val="0"/>
          <w:color w:val="606676"/>
          <w:sz w:val="16"/>
        </w:rPr>
        <w:t>CAFSalesforceSync   ·   servicenow/CAFSalesforceSync.script-include.js</w:t>
      </w:r>
    </w:p>
    <w:tbl>
      <w:tblPr>
        <w:tblStyle w:val="TableGrid"/>
        <w:tblW w:type="auto" w:w="0"/>
        <w:tblLook w:firstColumn="1" w:firstRow="1" w:lastColumn="0" w:lastRow="0" w:noHBand="0" w:noVBand="1" w:val="04A0"/>
      </w:tblPr>
      <w:tblGrid>
        <w:gridCol w:w="9792"/>
      </w:tblGrid>
      <w:tr>
        <w:tc>
          <w:tcPr>
            <w:tcW w:type="dxa" w:w="9792"/>
            <w:shd w:val="clear" w:color="auto" w:fill="0A3176"/>
          </w:tcPr>
          <w:p>
            <w:pPr>
              <w:spacing w:before="40" w:after="40"/>
            </w:pPr>
            <w:r/>
            <w:r>
              <w:rPr>
                <w:rFonts w:ascii="Consolas" w:hAnsi="Consolas"/>
                <w:b/>
                <w:color w:val="FFFFFF"/>
                <w:sz w:val="16"/>
              </w:rPr>
              <w:t>mirrored_field</w:t>
            </w:r>
          </w:p>
        </w:tc>
      </w:tr>
      <w:tr>
        <w:tc>
          <w:tcPr>
            <w:tcW w:type="dxa" w:w="9792"/>
          </w:tcPr>
          <w:p>
            <w:pPr>
              <w:spacing w:before="40" w:after="40"/>
            </w:pPr>
            <w:r/>
            <w:r>
              <w:rPr>
                <w:rFonts w:ascii="Consolas" w:hAnsi="Consolas"/>
                <w:b w:val="0"/>
                <w:color w:val="1A1A1A"/>
                <w:sz w:val="16"/>
              </w:rPr>
              <w:t>Name</w:t>
            </w:r>
          </w:p>
        </w:tc>
      </w:tr>
      <w:tr>
        <w:tc>
          <w:tcPr>
            <w:tcW w:type="dxa" w:w="9792"/>
          </w:tcPr>
          <w:p>
            <w:pPr>
              <w:spacing w:before="40" w:after="40"/>
            </w:pPr>
            <w:r/>
            <w:r>
              <w:rPr>
                <w:rFonts w:ascii="Consolas" w:hAnsi="Consolas"/>
                <w:b w:val="0"/>
                <w:color w:val="1A1A1A"/>
                <w:sz w:val="16"/>
              </w:rPr>
              <w:t>SN_Number__c</w:t>
            </w:r>
          </w:p>
        </w:tc>
      </w:tr>
      <w:tr>
        <w:tc>
          <w:tcPr>
            <w:tcW w:type="dxa" w:w="9792"/>
          </w:tcPr>
          <w:p>
            <w:pPr>
              <w:spacing w:before="40" w:after="40"/>
            </w:pPr>
            <w:r/>
            <w:r>
              <w:rPr>
                <w:rFonts w:ascii="Consolas" w:hAnsi="Consolas"/>
                <w:b w:val="0"/>
                <w:color w:val="1A1A1A"/>
                <w:sz w:val="16"/>
              </w:rPr>
              <w:t>Short_Description__c</w:t>
            </w:r>
          </w:p>
        </w:tc>
      </w:tr>
      <w:tr>
        <w:tc>
          <w:tcPr>
            <w:tcW w:type="dxa" w:w="9792"/>
          </w:tcPr>
          <w:p>
            <w:pPr>
              <w:spacing w:before="40" w:after="40"/>
            </w:pPr>
            <w:r/>
            <w:r>
              <w:rPr>
                <w:rFonts w:ascii="Consolas" w:hAnsi="Consolas"/>
                <w:b w:val="0"/>
                <w:color w:val="1A1A1A"/>
                <w:sz w:val="16"/>
              </w:rPr>
              <w:t>Planned_Completion_Date__c</w:t>
            </w:r>
          </w:p>
        </w:tc>
      </w:tr>
      <w:tr>
        <w:tc>
          <w:tcPr>
            <w:tcW w:type="dxa" w:w="9792"/>
          </w:tcPr>
          <w:p>
            <w:pPr>
              <w:spacing w:before="40" w:after="40"/>
            </w:pPr>
            <w:r/>
            <w:r>
              <w:rPr>
                <w:rFonts w:ascii="Consolas" w:hAnsi="Consolas"/>
                <w:b w:val="0"/>
                <w:color w:val="1A1A1A"/>
                <w:sz w:val="16"/>
              </w:rPr>
              <w:t>Business_Application__c</w:t>
            </w:r>
          </w:p>
        </w:tc>
      </w:tr>
      <w:tr>
        <w:tc>
          <w:tcPr>
            <w:tcW w:type="dxa" w:w="9792"/>
          </w:tcPr>
          <w:p>
            <w:pPr>
              <w:spacing w:before="40" w:after="40"/>
            </w:pPr>
            <w:r/>
            <w:r>
              <w:rPr>
                <w:rFonts w:ascii="Consolas" w:hAnsi="Consolas"/>
                <w:b w:val="0"/>
                <w:color w:val="1A1A1A"/>
                <w:sz w:val="16"/>
              </w:rPr>
              <w:t>CAF_Control__c</w:t>
            </w:r>
          </w:p>
        </w:tc>
      </w:tr>
      <w:tr>
        <w:tc>
          <w:tcPr>
            <w:tcW w:type="dxa" w:w="9792"/>
          </w:tcPr>
          <w:p>
            <w:pPr>
              <w:spacing w:before="40" w:after="40"/>
            </w:pPr>
            <w:r/>
            <w:r>
              <w:rPr>
                <w:rFonts w:ascii="Consolas" w:hAnsi="Consolas"/>
                <w:b w:val="0"/>
                <w:color w:val="1A1A1A"/>
                <w:sz w:val="16"/>
              </w:rPr>
              <w:t>CAF_Status__c</w:t>
            </w:r>
          </w:p>
        </w:tc>
      </w:tr>
      <w:tr>
        <w:tc>
          <w:tcPr>
            <w:tcW w:type="dxa" w:w="9792"/>
          </w:tcPr>
          <w:p>
            <w:pPr>
              <w:spacing w:before="40" w:after="40"/>
            </w:pPr>
            <w:r/>
            <w:r>
              <w:rPr>
                <w:rFonts w:ascii="Consolas" w:hAnsi="Consolas"/>
                <w:b w:val="0"/>
                <w:color w:val="1A1A1A"/>
                <w:sz w:val="16"/>
              </w:rPr>
              <w:t>State__c</w:t>
            </w:r>
          </w:p>
        </w:tc>
      </w:tr>
      <w:tr>
        <w:tc>
          <w:tcPr>
            <w:tcW w:type="dxa" w:w="9792"/>
          </w:tcPr>
          <w:p>
            <w:pPr>
              <w:spacing w:before="40" w:after="40"/>
            </w:pPr>
            <w:r/>
            <w:r>
              <w:rPr>
                <w:rFonts w:ascii="Consolas" w:hAnsi="Consolas"/>
                <w:b w:val="0"/>
                <w:color w:val="1A1A1A"/>
                <w:sz w:val="16"/>
              </w:rPr>
              <w:t>Approval__c</w:t>
            </w:r>
          </w:p>
        </w:tc>
      </w:tr>
      <w:tr>
        <w:tc>
          <w:tcPr>
            <w:tcW w:type="dxa" w:w="9792"/>
          </w:tcPr>
          <w:p>
            <w:pPr>
              <w:spacing w:before="40" w:after="40"/>
            </w:pPr>
            <w:r/>
            <w:r>
              <w:rPr>
                <w:rFonts w:ascii="Consolas" w:hAnsi="Consolas"/>
                <w:b w:val="0"/>
                <w:color w:val="1A1A1A"/>
                <w:sz w:val="16"/>
              </w:rPr>
              <w:t>Met_Criteria__c</w:t>
            </w:r>
          </w:p>
        </w:tc>
      </w:tr>
    </w:tbl>
    <w:p>
      <w:pPr>
        <w:spacing w:after="120"/>
      </w:pPr>
    </w:p>
    <w:p>
      <w:pPr>
        <w:keepNext/>
        <w:spacing w:before="280" w:after="80"/>
      </w:pPr>
      <w:r>
        <w:rPr>
          <w:b/>
          <w:color w:val="000724"/>
          <w:sz w:val="30"/>
        </w:rPr>
        <w:t>Observations</w:t>
      </w:r>
    </w:p>
    <w:p>
      <w:pPr>
        <w:pStyle w:val="ListBullet"/>
        <w:spacing w:after="80"/>
      </w:pPr>
      <w:r>
        <w:rPr>
          <w:i w:val="0"/>
          <w:color w:val="1A1A1A"/>
          <w:sz w:val="21"/>
        </w:rPr>
        <w:t>The layout trap: a field missing from the layout shows a lock icon and refuses inline edit even when FLS grants Edit and describe reports updateable=true. "Deliberately Readonly" and "accidentally absent" look identical to a user, which is why this case reads the layout rather than only the describe.</w:t>
      </w:r>
    </w:p>
    <w:p>
      <w:pPr>
        <w:pStyle w:val="ListBullet"/>
        <w:spacing w:after="80"/>
      </w:pPr>
      <w:r>
        <w:rPr>
          <w:i w:val="0"/>
          <w:color w:val="1A1A1A"/>
          <w:sz w:val="21"/>
        </w:rPr>
        <w:t>Finding: Name is written on every push by CAFSalesforceSync — buildTaskPayload sets Name to the ServiceNow number — and is editable on the layout, so a user can change it in Salesforce. CafSyncHealth compares Status, State, Approval, Criteria met and Description, and never compares Name, so drift introduced this way is invisible to the Sync Health strip until the next push happens to overwrite it. Either make it Readonly or add it to the comparison.</w:t>
      </w:r>
    </w:p>
    <w:p>
      <w:pPr>
        <w:keepNext/>
        <w:spacing w:before="280" w:after="80"/>
      </w:pPr>
      <w:r>
        <w:rPr>
          <w:b/>
          <w:color w:val="000724"/>
          <w:sz w:val="30"/>
        </w:rPr>
        <w:t>Verdict</w:t>
      </w:r>
    </w:p>
    <w:tbl>
      <w:tblPr>
        <w:tblW w:type="auto" w:w="0"/>
        <w:tblLook w:firstColumn="1" w:firstRow="1" w:lastColumn="0" w:lastRow="0" w:noHBand="0" w:noVBand="1" w:val="04A0"/>
      </w:tblPr>
      <w:tblGrid>
        <w:gridCol w:w="9792"/>
      </w:tblGrid>
      <w:tr>
        <w:tc>
          <w:tcPr>
            <w:tcW w:type="dxa" w:w="9792"/>
            <w:shd w:val="clear" w:color="auto" w:fill="FBE9EF"/>
          </w:tcPr>
          <w:p>
            <w:pPr>
              <w:spacing w:before="40" w:after="40"/>
            </w:pPr>
            <w:r/>
            <w:r>
              <w:rPr>
                <w:rFonts w:ascii="Calibri" w:hAnsi="Calibri"/>
                <w:b/>
                <w:color w:val="A81845"/>
                <w:sz w:val="24"/>
              </w:rPr>
              <w:t>FAIL</w:t>
            </w:r>
          </w:p>
        </w:tc>
      </w:tr>
    </w:tbl>
    <w:p>
      <w:pPr>
        <w:spacing w:after="200"/>
      </w:pPr>
      <w:r>
        <w:rPr>
          <w:i w:val="0"/>
          <w:color w:val="1A1A1A"/>
          <w:sz w:val="21"/>
        </w:rPr>
        <w:t>Expected State__c alone to be editable among mirrored fields; the layout also allows editing Name (Required).</w:t>
      </w:r>
    </w:p>
    <w:p>
      <w:pPr>
        <w:spacing w:before="0" w:after="80"/>
        <w:pBdr>
          <w:bottom w:val="single" w:sz="6" w:color="D5D9E0"/>
        </w:pBdr>
      </w:pPr>
    </w:p>
    <w:p>
      <w:pPr>
        <w:spacing w:after="80"/>
      </w:pPr>
      <w:r>
        <w:rPr>
          <w:i/>
          <w:color w:val="606676"/>
          <w:sz w:val="15"/>
        </w:rPr>
        <w:t>Confidential. Prepared by Reyan Technologies. Contains system test evidence and must not be redistributed without written consent.</w:t>
      </w:r>
    </w:p>
    <w:sectPr w:rsidR="00FC693F" w:rsidRPr="0006063C" w:rsidSect="00034616">
      <w:headerReference w:type="default" r:id="rId9"/>
      <w:footerReference w:type="default" r:id="rId10"/>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06676"/>
        <w:sz w:val="15"/>
      </w:rPr>
      <w:t xml:space="preserve">Confidential.   </w:t>
    </w:r>
    <w:r>
      <w:tab/>
      <w:tab/>
    </w:r>
    <w:r>
      <w:rPr>
        <w:color w:val="606676"/>
        <w:sz w:val="15"/>
      </w:rPr>
      <w:t xml:space="preserve">Page </w:t>
    </w:r>
    <w:r>
      <w:rPr>
        <w:sz w:val="15"/>
      </w:rPr>
      <w:fldChar w:fldCharType="begin"/>
      <w:instrText xml:space="preserve">PAGE</w:instrText>
      <w:fldChar w:fldCharType="end"/>
    </w:r>
    <w:r>
      <w:rPr>
        <w:color w:val="606676"/>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
      <w:rPr>
        <w:b/>
        <w:color w:val="0A3176"/>
        <w:sz w:val="18"/>
      </w:rPr>
      <w:t>TC-INT-044   ·   Only State__c is editable in the Salesforce mirror</w:t>
    </w:r>
    <w:r>
      <w:tab/>
      <w:tab/>
    </w:r>
    <w:r>
      <w:rPr>
        <w:color w:val="606676"/>
        <w:sz w:val="18"/>
      </w:rPr>
      <w:t>CAF Compliance Test Evidence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