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jc w:val="left"/>
      </w:pPr>
      <w:r>
        <w:drawing>
          <wp:inline xmlns:a="http://schemas.openxmlformats.org/drawingml/2006/main" xmlns:pic="http://schemas.openxmlformats.org/drawingml/2006/picture">
            <wp:extent cx="1554480" cy="801529"/>
            <wp:docPr id="1" name="Picture 1"/>
            <wp:cNvGraphicFramePr>
              <a:graphicFrameLocks noChangeAspect="1"/>
            </wp:cNvGraphicFramePr>
            <a:graphic>
              <a:graphicData uri="http://schemas.openxmlformats.org/drawingml/2006/picture">
                <pic:pic>
                  <pic:nvPicPr>
                    <pic:cNvPr id="0" name="reyan-logo.png"/>
                    <pic:cNvPicPr/>
                  </pic:nvPicPr>
                  <pic:blipFill>
                    <a:blip r:embed="rId11"/>
                    <a:stretch>
                      <a:fillRect/>
                    </a:stretch>
                  </pic:blipFill>
                  <pic:spPr>
                    <a:xfrm>
                      <a:off x="0" y="0"/>
                      <a:ext cx="1554480" cy="801529"/>
                    </a:xfrm>
                    <a:prstGeom prst="rect"/>
                  </pic:spPr>
                </pic:pic>
              </a:graphicData>
            </a:graphic>
          </wp:inline>
        </w:drawing>
      </w:r>
    </w:p>
    <w:p>
      <w:pPr>
        <w:spacing w:after="40"/>
      </w:pPr>
      <w:r>
        <w:rPr>
          <w:b/>
          <w:color w:val="0A3176"/>
          <w:sz w:val="20"/>
        </w:rPr>
        <w:t>CAF Compliance  ·  Test Evidence Record</w:t>
      </w:r>
    </w:p>
    <w:p>
      <w:pPr>
        <w:spacing w:after="80"/>
      </w:pPr>
      <w:r>
        <w:rPr>
          <w:b/>
          <w:color w:val="000724"/>
          <w:sz w:val="52"/>
        </w:rPr>
        <w:t>TC-INT-071</w:t>
      </w:r>
    </w:p>
    <w:p>
      <w:pPr>
        <w:spacing w:after="400"/>
      </w:pPr>
      <w:r>
        <w:rPr>
          <w:color w:val="1A1A1A"/>
          <w:sz w:val="28"/>
        </w:rPr>
        <w:t>Mismatch advice names the side that is short</w:t>
      </w:r>
    </w:p>
    <w:tbl>
      <w:tblPr>
        <w:tblW w:type="auto" w:w="0"/>
        <w:jc w:val="left"/>
        <w:tblLook w:firstColumn="1" w:firstRow="1" w:lastColumn="0" w:lastRow="0" w:noHBand="0" w:noVBand="1" w:val="04A0"/>
      </w:tblPr>
      <w:tblGrid>
        <w:gridCol w:w="3600"/>
      </w:tblGrid>
      <w:tr>
        <w:tc>
          <w:tcPr>
            <w:tcW w:type="dxa" w:w="9792"/>
            <w:shd w:val="clear" w:color="auto" w:fill="FBE9EF"/>
          </w:tcPr>
          <w:p>
            <w:pPr>
              <w:spacing w:before="120" w:after="120"/>
            </w:pPr>
            <w:r/>
            <w:r>
              <w:rPr>
                <w:rFonts w:ascii="Calibri" w:hAnsi="Calibri"/>
                <w:b/>
                <w:color w:val="A81845"/>
                <w:sz w:val="26"/>
              </w:rPr>
              <w:t>RESULT:  FAIL</w:t>
            </w:r>
          </w:p>
        </w:tc>
      </w:tr>
    </w:tbl>
    <w:p>
      <w:pPr>
        <w:spacing w:after="200"/>
      </w:pPr>
    </w:p>
    <w:p>
      <w:pPr>
        <w:spacing w:after="320"/>
      </w:pPr>
      <w:r>
        <w:rPr>
          <w:i w:val="0"/>
          <w:color w:val="1A1A1A"/>
          <w:sz w:val="20"/>
        </w:rPr>
        <w:t>Salesforce is the short side (1 against 2) yet the advice is still "re-upload": "1 in Salesforce, 2 in ServiceNow. Re-upload the missing file to send it to the system of record.". cafEvidence.mismatchLabel is unconditional and does not branch on which side is short, so following it would create a third ServiceNow attachment rather than repair anything. Fix: branch the label on servicenowCount - salesforceCount.</w:t>
      </w:r>
    </w:p>
    <w:tbl>
      <w:tblPr>
        <w:tblStyle w:val="TableGrid"/>
        <w:tblW w:type="auto" w:w="0"/>
        <w:tblLook w:firstColumn="1" w:firstRow="1" w:lastColumn="0" w:lastRow="0" w:noHBand="0" w:noVBand="1" w:val="04A0"/>
      </w:tblPr>
      <w:tblGrid>
        <w:gridCol w:w="2736"/>
        <w:gridCol w:w="6480"/>
      </w:tblGrid>
      <w:tr>
        <w:tc>
          <w:tcPr>
            <w:tcW w:type="dxa" w:w="4896"/>
            <w:shd w:val="clear" w:color="auto" w:fill="F4F6F9"/>
          </w:tcPr>
          <w:p>
            <w:pPr>
              <w:spacing w:before="40" w:after="40"/>
            </w:pPr>
            <w:r/>
            <w:r>
              <w:rPr>
                <w:rFonts w:ascii="Calibri" w:hAnsi="Calibri"/>
                <w:b/>
                <w:color w:val="000724"/>
                <w:sz w:val="18"/>
              </w:rPr>
              <w:t>Test case</w:t>
            </w:r>
          </w:p>
        </w:tc>
        <w:tc>
          <w:tcPr>
            <w:tcW w:type="dxa" w:w="4896"/>
          </w:tcPr>
          <w:p>
            <w:pPr>
              <w:spacing w:before="40" w:after="40"/>
            </w:pPr>
            <w:r/>
            <w:r>
              <w:rPr>
                <w:rFonts w:ascii="Calibri" w:hAnsi="Calibri"/>
                <w:b w:val="0"/>
                <w:color w:val="1A1A1A"/>
                <w:sz w:val="18"/>
              </w:rPr>
              <w:t>TC-INT-071</w:t>
            </w:r>
          </w:p>
        </w:tc>
      </w:tr>
      <w:tr>
        <w:tc>
          <w:tcPr>
            <w:tcW w:type="dxa" w:w="4896"/>
            <w:shd w:val="clear" w:color="auto" w:fill="F4F6F9"/>
          </w:tcPr>
          <w:p>
            <w:pPr>
              <w:spacing w:before="40" w:after="40"/>
            </w:pPr>
            <w:r/>
            <w:r>
              <w:rPr>
                <w:rFonts w:ascii="Calibri" w:hAnsi="Calibri"/>
                <w:b/>
                <w:color w:val="000724"/>
                <w:sz w:val="18"/>
              </w:rPr>
              <w:t>Priority</w:t>
            </w:r>
          </w:p>
        </w:tc>
        <w:tc>
          <w:tcPr>
            <w:tcW w:type="dxa" w:w="4896"/>
          </w:tcPr>
          <w:p>
            <w:pPr>
              <w:spacing w:before="40" w:after="40"/>
            </w:pPr>
            <w:r/>
            <w:r>
              <w:rPr>
                <w:rFonts w:ascii="Calibri" w:hAnsi="Calibri"/>
                <w:b w:val="0"/>
                <w:color w:val="1A1A1A"/>
                <w:sz w:val="18"/>
              </w:rPr>
              <w:t>P2</w:t>
            </w:r>
          </w:p>
        </w:tc>
      </w:tr>
      <w:tr>
        <w:tc>
          <w:tcPr>
            <w:tcW w:type="dxa" w:w="4896"/>
            <w:shd w:val="clear" w:color="auto" w:fill="F4F6F9"/>
          </w:tcPr>
          <w:p>
            <w:pPr>
              <w:spacing w:before="40" w:after="40"/>
            </w:pPr>
            <w:r/>
            <w:r>
              <w:rPr>
                <w:rFonts w:ascii="Calibri" w:hAnsi="Calibri"/>
                <w:b/>
                <w:color w:val="000724"/>
                <w:sz w:val="18"/>
              </w:rPr>
              <w:t>Type</w:t>
            </w:r>
          </w:p>
        </w:tc>
        <w:tc>
          <w:tcPr>
            <w:tcW w:type="dxa" w:w="4896"/>
          </w:tcPr>
          <w:p>
            <w:pPr>
              <w:spacing w:before="40" w:after="40"/>
            </w:pPr>
            <w:r/>
            <w:r>
              <w:rPr>
                <w:rFonts w:ascii="Calibri" w:hAnsi="Calibri"/>
                <w:b w:val="0"/>
                <w:color w:val="1A1A1A"/>
                <w:sz w:val="18"/>
              </w:rPr>
              <w:t>Negative</w:t>
            </w:r>
          </w:p>
        </w:tc>
      </w:tr>
      <w:tr>
        <w:tc>
          <w:tcPr>
            <w:tcW w:type="dxa" w:w="4896"/>
            <w:shd w:val="clear" w:color="auto" w:fill="F4F6F9"/>
          </w:tcPr>
          <w:p>
            <w:pPr>
              <w:spacing w:before="40" w:after="40"/>
            </w:pPr>
            <w:r/>
            <w:r>
              <w:rPr>
                <w:rFonts w:ascii="Calibri" w:hAnsi="Calibri"/>
                <w:b/>
                <w:color w:val="000724"/>
                <w:sz w:val="18"/>
              </w:rPr>
              <w:t>Component under test</w:t>
            </w:r>
          </w:p>
        </w:tc>
        <w:tc>
          <w:tcPr>
            <w:tcW w:type="dxa" w:w="4896"/>
          </w:tcPr>
          <w:p>
            <w:pPr>
              <w:spacing w:before="40" w:after="40"/>
            </w:pPr>
            <w:r/>
            <w:r>
              <w:rPr>
                <w:rFonts w:ascii="Calibri" w:hAnsi="Calibri"/>
                <w:b w:val="0"/>
                <w:color w:val="1A1A1A"/>
                <w:sz w:val="18"/>
              </w:rPr>
              <w:t>cafEvidence.mismatchLabel</w:t>
            </w:r>
          </w:p>
        </w:tc>
      </w:tr>
      <w:tr>
        <w:tc>
          <w:tcPr>
            <w:tcW w:type="dxa" w:w="4896"/>
            <w:shd w:val="clear" w:color="auto" w:fill="F4F6F9"/>
          </w:tcPr>
          <w:p>
            <w:pPr>
              <w:spacing w:before="40" w:after="40"/>
            </w:pPr>
            <w:r/>
            <w:r>
              <w:rPr>
                <w:rFonts w:ascii="Calibri" w:hAnsi="Calibri"/>
                <w:b/>
                <w:color w:val="000724"/>
                <w:sz w:val="18"/>
              </w:rPr>
              <w:t>Application</w:t>
            </w:r>
          </w:p>
        </w:tc>
        <w:tc>
          <w:tcPr>
            <w:tcW w:type="dxa" w:w="4896"/>
          </w:tcPr>
          <w:p>
            <w:pPr>
              <w:spacing w:before="40" w:after="40"/>
            </w:pPr>
            <w:r/>
            <w:r>
              <w:rPr>
                <w:rFonts w:ascii="Calibri" w:hAnsi="Calibri"/>
                <w:b w:val="0"/>
                <w:color w:val="1A1A1A"/>
                <w:sz w:val="18"/>
              </w:rPr>
              <w:t>CAF Compliance — scope x_gskn2_caf_compli</w:t>
            </w:r>
          </w:p>
        </w:tc>
      </w:tr>
      <w:tr>
        <w:tc>
          <w:tcPr>
            <w:tcW w:type="dxa" w:w="4896"/>
            <w:shd w:val="clear" w:color="auto" w:fill="F4F6F9"/>
          </w:tcPr>
          <w:p>
            <w:pPr>
              <w:spacing w:before="40" w:after="40"/>
            </w:pPr>
            <w:r/>
            <w:r>
              <w:rPr>
                <w:rFonts w:ascii="Calibri" w:hAnsi="Calibri"/>
                <w:b/>
                <w:color w:val="000724"/>
                <w:sz w:val="18"/>
              </w:rPr>
              <w:t>Environment</w:t>
            </w:r>
          </w:p>
        </w:tc>
        <w:tc>
          <w:tcPr>
            <w:tcW w:type="dxa" w:w="4896"/>
          </w:tcPr>
          <w:p>
            <w:pPr>
              <w:spacing w:before="40" w:after="40"/>
            </w:pPr>
            <w:r/>
            <w:r>
              <w:rPr>
                <w:rFonts w:ascii="Calibri" w:hAnsi="Calibri"/>
                <w:b w:val="0"/>
                <w:color w:val="1A1A1A"/>
                <w:sz w:val="18"/>
              </w:rPr>
              <w:t>https://orgfarm-4938c7f768-dev-ed.develop.lightning.force.com + https://dev281754.service-now.com</w:t>
            </w:r>
          </w:p>
        </w:tc>
      </w:tr>
      <w:tr>
        <w:tc>
          <w:tcPr>
            <w:tcW w:type="dxa" w:w="4896"/>
            <w:shd w:val="clear" w:color="auto" w:fill="F4F6F9"/>
          </w:tcPr>
          <w:p>
            <w:pPr>
              <w:spacing w:before="40" w:after="40"/>
            </w:pPr>
            <w:r/>
            <w:r>
              <w:rPr>
                <w:rFonts w:ascii="Calibri" w:hAnsi="Calibri"/>
                <w:b/>
                <w:color w:val="000724"/>
                <w:sz w:val="18"/>
              </w:rPr>
              <w:t>Executed by</w:t>
            </w:r>
          </w:p>
        </w:tc>
        <w:tc>
          <w:tcPr>
            <w:tcW w:type="dxa" w:w="4896"/>
          </w:tcPr>
          <w:p>
            <w:pPr>
              <w:spacing w:before="40" w:after="40"/>
            </w:pPr>
            <w:r/>
            <w:r>
              <w:rPr>
                <w:rFonts w:ascii="Calibri" w:hAnsi="Calibri"/>
                <w:b w:val="0"/>
                <w:color w:val="1A1A1A"/>
                <w:sz w:val="18"/>
              </w:rPr>
              <w:t>admin.070b86ccf531@agentforce.com (Salesforce) / admin (ServiceNow)</w:t>
            </w:r>
          </w:p>
        </w:tc>
      </w:tr>
      <w:tr>
        <w:tc>
          <w:tcPr>
            <w:tcW w:type="dxa" w:w="4896"/>
            <w:shd w:val="clear" w:color="auto" w:fill="F4F6F9"/>
          </w:tcPr>
          <w:p>
            <w:pPr>
              <w:spacing w:before="40" w:after="40"/>
            </w:pPr>
            <w:r/>
            <w:r>
              <w:rPr>
                <w:rFonts w:ascii="Calibri" w:hAnsi="Calibri"/>
                <w:b/>
                <w:color w:val="000724"/>
                <w:sz w:val="18"/>
              </w:rPr>
              <w:t>Execution method</w:t>
            </w:r>
          </w:p>
        </w:tc>
        <w:tc>
          <w:tcPr>
            <w:tcW w:type="dxa" w:w="4896"/>
          </w:tcPr>
          <w:p>
            <w:pPr>
              <w:spacing w:before="40" w:after="40"/>
            </w:pPr>
            <w:r/>
            <w:r>
              <w:rPr>
                <w:rFonts w:ascii="Calibri" w:hAnsi="Calibri"/>
                <w:b w:val="0"/>
                <w:color w:val="1A1A1A"/>
                <w:sz w:val="18"/>
              </w:rPr>
              <w:t>Playwright driving Lightning Experience. Every screen assertion is cross-checked against the ServiceNow record over cnit and the Salesforce record over the sf CLI. No case in this file writes to either platform.</w:t>
            </w:r>
          </w:p>
        </w:tc>
      </w:tr>
      <w:tr>
        <w:tc>
          <w:tcPr>
            <w:tcW w:type="dxa" w:w="4896"/>
            <w:shd w:val="clear" w:color="auto" w:fill="F4F6F9"/>
          </w:tcPr>
          <w:p>
            <w:pPr>
              <w:spacing w:before="40" w:after="40"/>
            </w:pPr>
            <w:r/>
            <w:r>
              <w:rPr>
                <w:rFonts w:ascii="Calibri" w:hAnsi="Calibri"/>
                <w:b/>
                <w:color w:val="000724"/>
                <w:sz w:val="18"/>
              </w:rPr>
              <w:t>Specification</w:t>
            </w:r>
          </w:p>
        </w:tc>
        <w:tc>
          <w:tcPr>
            <w:tcW w:type="dxa" w:w="4896"/>
          </w:tcPr>
          <w:p>
            <w:pPr>
              <w:spacing w:before="40" w:after="40"/>
            </w:pPr>
            <w:r/>
            <w:r>
              <w:rPr>
                <w:rFonts w:ascii="Calibri" w:hAnsi="Calibri"/>
                <w:b w:val="0"/>
                <w:color w:val="1A1A1A"/>
                <w:sz w:val="18"/>
              </w:rPr>
              <w:t>TEST-CASES-INTEGRATION.md</w:t>
            </w:r>
          </w:p>
        </w:tc>
      </w:tr>
    </w:tbl>
    <w:p>
      <w:r>
        <w:br w:type="page"/>
      </w:r>
    </w:p>
    <w:p>
      <w:pPr>
        <w:keepNext/>
        <w:spacing w:before="0" w:after="80"/>
      </w:pPr>
      <w:r>
        <w:rPr>
          <w:b/>
          <w:color w:val="000724"/>
          <w:sz w:val="30"/>
        </w:rPr>
        <w:t>From the specification</w:t>
      </w:r>
    </w:p>
    <w:p>
      <w:pPr>
        <w:keepNext/>
        <w:spacing w:before="120" w:after="20"/>
      </w:pPr>
      <w:r>
        <w:rPr>
          <w:b/>
          <w:color w:val="0A3176"/>
          <w:sz w:val="23"/>
        </w:rPr>
        <w:t>Ready-made subject</w:t>
      </w:r>
    </w:p>
    <w:p>
      <w:pPr>
        <w:spacing w:after="80"/>
      </w:pPr>
      <w:r>
        <w:rPr>
          <w:i w:val="0"/>
          <w:color w:val="1A1A1A"/>
          <w:sz w:val="20"/>
        </w:rPr>
        <w:t>CAFT0001022 carries 1 Salesforce file against 2 ServiceNow attachments, so ServiceNow — the system of record — holds more.</w:t>
      </w:r>
    </w:p>
    <w:p>
      <w:pPr>
        <w:keepNext/>
        <w:spacing w:before="120" w:after="20"/>
      </w:pPr>
      <w:r>
        <w:rPr>
          <w:b/>
          <w:color w:val="0A3176"/>
          <w:sz w:val="23"/>
        </w:rPr>
        <w:t>Fix</w:t>
      </w:r>
    </w:p>
    <w:p>
      <w:pPr>
        <w:spacing w:after="80"/>
      </w:pPr>
      <w:r>
        <w:rPr>
          <w:i w:val="0"/>
          <w:color w:val="1A1A1A"/>
          <w:sz w:val="20"/>
        </w:rPr>
        <w:t>branch the label on servicenowCount - salesforceCount. The case passes once the advice is direction-correct; it does not prescribe the wording.</w:t>
      </w:r>
    </w:p>
    <w:p>
      <w:pPr>
        <w:spacing w:after="80"/>
      </w:pPr>
      <w:r>
        <w:rPr>
          <w:i w:val="0"/>
          <w:color w:val="1A1A1A"/>
          <w:sz w:val="20"/>
        </w:rPr>
        <w:t>Not covered here, deliberately</w:t>
      </w:r>
    </w:p>
    <w:p>
      <w:pPr>
        <w:spacing w:after="80"/>
      </w:pPr>
      <w:r>
        <w:rPr>
          <w:i w:val="0"/>
          <w:color w:val="1A1A1A"/>
          <w:sz w:val="20"/>
        </w:rPr>
        <w:t>Engine behaviour — TEST-CASES-SERVICENOW.md.</w:t>
      </w:r>
    </w:p>
    <w:p>
      <w:pPr>
        <w:spacing w:after="80"/>
      </w:pPr>
      <w:r>
        <w:rPr>
          <w:i w:val="0"/>
          <w:color w:val="1A1A1A"/>
          <w:sz w:val="20"/>
        </w:rPr>
        <w:t>Experience Cloud — no site exists; TC-INT-055 is marked blocked.</w:t>
      </w:r>
    </w:p>
    <w:p>
      <w:pPr>
        <w:spacing w:after="80"/>
      </w:pPr>
      <w:r>
        <w:rPr>
          <w:i w:val="0"/>
          <w:color w:val="1A1A1A"/>
          <w:sz w:val="20"/>
        </w:rPr>
        <w:t>Platform Events — not built (HANDOFF open item 4).</w:t>
      </w:r>
    </w:p>
    <w:p>
      <w:pPr>
        <w:spacing w:after="80"/>
      </w:pPr>
      <w:r>
        <w:rPr>
          <w:i w:val="0"/>
          <w:color w:val="1A1A1A"/>
          <w:sz w:val="20"/>
        </w:rPr>
        <w:t>Credential rotation and secret hygiene — an operational review, not a test pass.</w:t>
      </w:r>
    </w:p>
    <w:p>
      <w:pPr>
        <w:spacing w:after="80"/>
      </w:pPr>
      <w:r>
        <w:rPr>
          <w:i w:val="0"/>
          <w:color w:val="1A1A1A"/>
          <w:sz w:val="20"/>
        </w:rPr>
        <w:t>Note that the Salesforce client secret and the sf.integration password both passed through a session transcript on 2026-08-06 and should be rotated if this outlives the demo.</w:t>
      </w:r>
    </w:p>
    <w:p>
      <w:pPr>
        <w:spacing w:after="80"/>
      </w:pPr>
      <w:r>
        <w:rPr>
          <w:i w:val="0"/>
          <w:color w:val="1A1A1A"/>
          <w:sz w:val="20"/>
        </w:rPr>
        <w:t>Load and concurrency. Two users attesting the same task simultaneously is</w:t>
      </w:r>
    </w:p>
    <w:p>
      <w:pPr>
        <w:spacing w:after="80"/>
      </w:pPr>
      <w:r>
        <w:rPr>
          <w:i w:val="0"/>
          <w:color w:val="1A1A1A"/>
          <w:sz w:val="20"/>
        </w:rPr>
        <w:t>untested, and the endpoint has no optimistic-locking check.</w:t>
      </w:r>
    </w:p>
    <w:p>
      <w:pPr>
        <w:spacing w:after="80"/>
      </w:pPr>
      <w:r>
        <w:rPr>
          <w:i w:val="0"/>
          <w:color w:val="1A1A1A"/>
          <w:sz w:val="20"/>
        </w:rPr>
        <w:t>In order: TC-INT-016 (the reconcile — silent failure, hardest-won fix),</w:t>
      </w:r>
    </w:p>
    <w:p>
      <w:pPr>
        <w:keepNext/>
        <w:spacing w:before="120" w:after="20"/>
      </w:pPr>
      <w:r>
        <w:rPr>
          <w:b/>
          <w:color w:val="0A3176"/>
          <w:sz w:val="23"/>
        </w:rPr>
        <w:t>TC-INT-027</w:t>
      </w:r>
    </w:p>
    <w:p>
      <w:pPr>
        <w:spacing w:after="80"/>
      </w:pPr>
      <w:r>
        <w:rPr>
          <w:i w:val="0"/>
          <w:color w:val="1A1A1A"/>
          <w:sz w:val="20"/>
        </w:rPr>
        <w:t>(the flagship journey), TC-INT-030 (evidence visible but gate refuses), TC-INT-013 (allow-list refuses the whole call), TC-INT-058 (cleanup recreates what you deleted), TC-INT-001 (parity by record, not by count), TC-INT-031 (does the spawned task reach Salesforce?).</w:t>
      </w:r>
    </w:p>
    <w:p>
      <w:pPr>
        <w:spacing w:after="80"/>
      </w:pPr>
      <w:r>
        <w:rPr>
          <w:i w:val="0"/>
          <w:color w:val="1A1A1A"/>
          <w:sz w:val="20"/>
        </w:rPr>
        <w:t>TC-INT-031 is the one most likely to find a genuine, currently-unknown defect — the reasoning in that case suggests the flow-created sibling task may never be pushed. It has not been checked.</w:t>
      </w:r>
    </w:p>
    <w:p>
      <w:pPr>
        <w:keepNext/>
        <w:spacing w:before="280" w:after="80"/>
      </w:pPr>
      <w:r>
        <w:rPr>
          <w:b/>
          <w:color w:val="000724"/>
          <w:sz w:val="30"/>
        </w:rPr>
        <w:t>Expected result</w:t>
      </w:r>
    </w:p>
    <w:p>
      <w:pPr>
        <w:pStyle w:val="ListBullet"/>
        <w:spacing w:after="80"/>
      </w:pPr>
      <w:r>
        <w:rPr>
          <w:i w:val="0"/>
          <w:color w:val="1A1A1A"/>
          <w:sz w:val="21"/>
        </w:rPr>
        <w:t>When ServiceNow holds fewer files than Salesforce, the advice is to re-upload.</w:t>
      </w:r>
    </w:p>
    <w:p>
      <w:pPr>
        <w:pStyle w:val="ListBullet"/>
        <w:spacing w:after="80"/>
      </w:pPr>
      <w:r>
        <w:rPr>
          <w:i w:val="0"/>
          <w:color w:val="1A1A1A"/>
          <w:sz w:val="21"/>
        </w:rPr>
        <w:t>When Salesforce holds fewer — the state on this instance — the advice does NOT say re-upload, because the system of record already holds the file and re-uploading creates a third copy.</w:t>
      </w:r>
    </w:p>
    <w:p>
      <w:pPr>
        <w:keepNext/>
        <w:spacing w:before="280" w:after="80"/>
      </w:pPr>
      <w:r>
        <w:rPr>
          <w:b/>
          <w:color w:val="000724"/>
          <w:sz w:val="30"/>
        </w:rPr>
        <w:t>Steps executed</w:t>
      </w:r>
    </w:p>
    <w:p>
      <w:pPr>
        <w:keepNext/>
        <w:spacing w:before="120" w:after="40"/>
      </w:pPr>
      <w:r>
        <w:rPr>
          <w:b/>
          <w:color w:val="0A3176"/>
          <w:sz w:val="23"/>
        </w:rPr>
        <w:t xml:space="preserve">Step 1   </w:t>
      </w:r>
      <w:r>
        <w:rPr>
          <w:sz w:val="21"/>
        </w:rPr>
        <w:t>Open the evidence panel on CAFT0001022 and read the mismatch warning.</w:t>
      </w:r>
    </w:p>
    <w:p>
      <w:pPr>
        <w:spacing w:before="80" w:after="40"/>
        <w:jc w:val="center"/>
      </w:pPr>
      <w:r>
        <w:drawing>
          <wp:inline xmlns:a="http://schemas.openxmlformats.org/drawingml/2006/main" xmlns:pic="http://schemas.openxmlformats.org/drawingml/2006/picture">
            <wp:extent cx="4531049" cy="6035039"/>
            <wp:docPr id="2" name="Picture 2"/>
            <wp:cNvGraphicFramePr>
              <a:graphicFrameLocks noChangeAspect="1"/>
            </wp:cNvGraphicFramePr>
            <a:graphic>
              <a:graphicData uri="http://schemas.openxmlformats.org/drawingml/2006/picture">
                <pic:pic>
                  <pic:nvPicPr>
                    <pic:cNvPr id="0" name="01-mismatch-advice.png"/>
                    <pic:cNvPicPr/>
                  </pic:nvPicPr>
                  <pic:blipFill>
                    <a:blip r:embed="rId12"/>
                    <a:stretch>
                      <a:fillRect/>
                    </a:stretch>
                  </pic:blipFill>
                  <pic:spPr>
                    <a:xfrm>
                      <a:off x="0" y="0"/>
                      <a:ext cx="4531049" cy="6035039"/>
                    </a:xfrm>
                    <a:prstGeom prst="rect"/>
                  </pic:spPr>
                </pic:pic>
              </a:graphicData>
            </a:graphic>
          </wp:inline>
        </w:drawing>
      </w:r>
    </w:p>
    <w:p>
      <w:pPr>
        <w:spacing w:after="200"/>
        <w:jc w:val="center"/>
      </w:pPr>
      <w:r>
        <w:rPr>
          <w:i/>
          <w:color w:val="606676"/>
          <w:sz w:val="15"/>
        </w:rPr>
        <w:t>Screen capture — 01-mismatch-advice.png</w:t>
      </w:r>
    </w:p>
    <w:p>
      <w:pPr>
        <w:keepNext/>
        <w:spacing w:before="120" w:after="40"/>
      </w:pPr>
      <w:r>
        <w:rPr>
          <w:b/>
          <w:color w:val="0A3176"/>
          <w:sz w:val="23"/>
        </w:rPr>
        <w:t xml:space="preserve">Step 2   </w:t>
      </w:r>
      <w:r>
        <w:rPr>
          <w:sz w:val="21"/>
        </w:rPr>
        <w:t>Confirm the direction of the mismatch against the ServiceNow record.</w:t>
      </w:r>
    </w:p>
    <w:p>
      <w:pPr>
        <w:keepNext/>
        <w:spacing w:before="280" w:after="80"/>
      </w:pPr>
      <w:r>
        <w:rPr>
          <w:b/>
          <w:color w:val="000724"/>
          <w:sz w:val="30"/>
        </w:rPr>
        <w:t>Actual result</w:t>
      </w:r>
    </w:p>
    <w:p>
      <w:pPr>
        <w:pStyle w:val="ListBullet"/>
        <w:spacing w:after="80"/>
      </w:pPr>
      <w:r>
        <w:rPr>
          <w:i w:val="0"/>
          <w:color w:val="1A1A1A"/>
          <w:sz w:val="21"/>
        </w:rPr>
        <w:t>Panel: 1 Salesforce file(s) against 2 ServiceNow attachment(s). ServiceNow itself reports 2 attachment(s) on the task.</w:t>
      </w:r>
    </w:p>
    <w:p>
      <w:pPr>
        <w:pStyle w:val="ListBullet"/>
        <w:spacing w:after="80"/>
      </w:pPr>
      <w:r>
        <w:rPr>
          <w:i w:val="0"/>
          <w:color w:val="1A1A1A"/>
          <w:sz w:val="21"/>
        </w:rPr>
        <w:t>Advice rendered: "1 in Salesforce, 2 in ServiceNow. Re-upload the missing file to send it to the system of record."</w:t>
      </w:r>
    </w:p>
    <w:p>
      <w:pPr>
        <w:keepNext/>
        <w:spacing w:before="280" w:after="80"/>
      </w:pPr>
      <w:r>
        <w:rPr>
          <w:b/>
          <w:color w:val="000724"/>
          <w:sz w:val="30"/>
        </w:rPr>
        <w:t>Record evidence</w:t>
      </w:r>
    </w:p>
    <w:p>
      <w:pPr>
        <w:spacing w:after="160"/>
      </w:pPr>
      <w:r>
        <w:rPr>
          <w:i/>
          <w:color w:val="606676"/>
          <w:sz w:val="18"/>
        </w:rPr>
        <w:t>Read directly from the ServiceNow Table API during execution. This is the evidence that determines the verdict; a screen capture shows what was displayed, not what was stored.</w:t>
      </w:r>
    </w:p>
    <w:p>
      <w:pPr>
        <w:spacing w:after="20"/>
      </w:pPr>
      <w:r>
        <w:rPr>
          <w:i w:val="0"/>
          <w:color w:val="000724"/>
          <w:sz w:val="20"/>
        </w:rPr>
        <w:t>Counts and advice, as rendered</w:t>
      </w:r>
    </w:p>
    <w:p>
      <w:pPr>
        <w:spacing w:after="60"/>
      </w:pPr>
      <w:r>
        <w:rPr>
          <w:rFonts w:ascii="Consolas" w:hAnsi="Consolas"/>
          <w:i w:val="0"/>
          <w:color w:val="606676"/>
          <w:sz w:val="16"/>
        </w:rPr>
        <w:t>cafEvidence   ·   task CAFT0001022</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color="auto" w:fill="0A3176"/>
          </w:tcPr>
          <w:p>
            <w:pPr>
              <w:spacing w:before="40" w:after="40"/>
            </w:pPr>
            <w:r/>
            <w:r>
              <w:rPr>
                <w:rFonts w:ascii="Consolas" w:hAnsi="Consolas"/>
                <w:b/>
                <w:color w:val="FFFFFF"/>
                <w:sz w:val="16"/>
              </w:rPr>
              <w:t>salesforce_files</w:t>
            </w:r>
          </w:p>
        </w:tc>
        <w:tc>
          <w:tcPr>
            <w:tcW w:type="dxa" w:w="2448"/>
            <w:shd w:val="clear" w:color="auto" w:fill="0A3176"/>
          </w:tcPr>
          <w:p>
            <w:pPr>
              <w:spacing w:before="40" w:after="40"/>
            </w:pPr>
            <w:r/>
            <w:r>
              <w:rPr>
                <w:rFonts w:ascii="Consolas" w:hAnsi="Consolas"/>
                <w:b/>
                <w:color w:val="FFFFFF"/>
                <w:sz w:val="16"/>
              </w:rPr>
              <w:t>servicenow_attachments</w:t>
            </w:r>
          </w:p>
        </w:tc>
        <w:tc>
          <w:tcPr>
            <w:tcW w:type="dxa" w:w="2448"/>
            <w:shd w:val="clear" w:color="auto" w:fill="0A3176"/>
          </w:tcPr>
          <w:p>
            <w:pPr>
              <w:spacing w:before="40" w:after="40"/>
            </w:pPr>
            <w:r/>
            <w:r>
              <w:rPr>
                <w:rFonts w:ascii="Consolas" w:hAnsi="Consolas"/>
                <w:b/>
                <w:color w:val="FFFFFF"/>
                <w:sz w:val="16"/>
              </w:rPr>
              <w:t>short_side</w:t>
            </w:r>
          </w:p>
        </w:tc>
        <w:tc>
          <w:tcPr>
            <w:tcW w:type="dxa" w:w="2448"/>
            <w:shd w:val="clear" w:color="auto" w:fill="0A3176"/>
          </w:tcPr>
          <w:p>
            <w:pPr>
              <w:spacing w:before="40" w:after="40"/>
            </w:pPr>
            <w:r/>
            <w:r>
              <w:rPr>
                <w:rFonts w:ascii="Consolas" w:hAnsi="Consolas"/>
                <w:b/>
                <w:color w:val="FFFFFF"/>
                <w:sz w:val="16"/>
              </w:rPr>
              <w:t>advice</w:t>
            </w:r>
          </w:p>
        </w:tc>
      </w:tr>
      <w:tr>
        <w:tc>
          <w:tcPr>
            <w:tcW w:type="dxa" w:w="2448"/>
          </w:tcPr>
          <w:p>
            <w:pPr>
              <w:spacing w:before="40" w:after="40"/>
            </w:pPr>
            <w:r/>
            <w:r>
              <w:rPr>
                <w:rFonts w:ascii="Consolas" w:hAnsi="Consolas"/>
                <w:b w:val="0"/>
                <w:color w:val="1A1A1A"/>
                <w:sz w:val="16"/>
              </w:rPr>
              <w:t>1</w:t>
            </w:r>
          </w:p>
        </w:tc>
        <w:tc>
          <w:tcPr>
            <w:tcW w:type="dxa" w:w="2448"/>
          </w:tcPr>
          <w:p>
            <w:pPr>
              <w:spacing w:before="40" w:after="40"/>
            </w:pPr>
            <w:r/>
            <w:r>
              <w:rPr>
                <w:rFonts w:ascii="Consolas" w:hAnsi="Consolas"/>
                <w:b w:val="0"/>
                <w:color w:val="1A1A1A"/>
                <w:sz w:val="16"/>
              </w:rPr>
              <w:t>2</w:t>
            </w:r>
          </w:p>
        </w:tc>
        <w:tc>
          <w:tcPr>
            <w:tcW w:type="dxa" w:w="2448"/>
          </w:tcPr>
          <w:p>
            <w:pPr>
              <w:spacing w:before="40" w:after="40"/>
            </w:pPr>
            <w:r/>
            <w:r>
              <w:rPr>
                <w:rFonts w:ascii="Consolas" w:hAnsi="Consolas"/>
                <w:b w:val="0"/>
                <w:color w:val="1A1A1A"/>
                <w:sz w:val="16"/>
              </w:rPr>
              <w:t>Salesforce</w:t>
            </w:r>
          </w:p>
        </w:tc>
        <w:tc>
          <w:tcPr>
            <w:tcW w:type="dxa" w:w="2448"/>
          </w:tcPr>
          <w:p>
            <w:pPr>
              <w:spacing w:before="40" w:after="40"/>
            </w:pPr>
            <w:r/>
            <w:r>
              <w:rPr>
                <w:rFonts w:ascii="Consolas" w:hAnsi="Consolas"/>
                <w:b w:val="0"/>
                <w:color w:val="1A1A1A"/>
                <w:sz w:val="16"/>
              </w:rPr>
              <w:t>1 in Salesforce, 2 in ServiceNow. Re-upload t…</w:t>
            </w:r>
          </w:p>
        </w:tc>
      </w:tr>
    </w:tbl>
    <w:p>
      <w:pPr>
        <w:spacing w:after="120"/>
      </w:pPr>
    </w:p>
    <w:p>
      <w:pPr>
        <w:spacing w:after="20"/>
      </w:pPr>
      <w:r>
        <w:rPr>
          <w:i w:val="0"/>
          <w:color w:val="000724"/>
          <w:sz w:val="20"/>
        </w:rPr>
        <w:t>ServiceNow attachments on CAFT0001022</w:t>
      </w:r>
    </w:p>
    <w:p>
      <w:pPr>
        <w:spacing w:after="60"/>
      </w:pPr>
      <w:r>
        <w:rPr>
          <w:rFonts w:ascii="Consolas" w:hAnsi="Consolas"/>
          <w:i w:val="0"/>
          <w:color w:val="606676"/>
          <w:sz w:val="16"/>
        </w:rPr>
        <w:t>sys_attachment   ·   cnit get sys_attachment -Query "table_name=x_gskn2_caf_compli_caf_tsk" -ProfileName caf-reyan</w:t>
      </w:r>
    </w:p>
    <w:tbl>
      <w:tblPr>
        <w:tblStyle w:val="TableGrid"/>
        <w:tblW w:type="auto" w:w="0"/>
        <w:tblLook w:firstColumn="1" w:firstRow="1" w:lastColumn="0" w:lastRow="0" w:noHBand="0" w:noVBand="1" w:val="04A0"/>
      </w:tblPr>
      <w:tblGrid>
        <w:gridCol w:w="3264"/>
        <w:gridCol w:w="3264"/>
        <w:gridCol w:w="3264"/>
      </w:tblGrid>
      <w:tr>
        <w:tc>
          <w:tcPr>
            <w:tcW w:type="dxa" w:w="3264"/>
            <w:shd w:val="clear" w:color="auto" w:fill="0A3176"/>
          </w:tcPr>
          <w:p>
            <w:pPr>
              <w:spacing w:before="40" w:after="40"/>
            </w:pPr>
            <w:r/>
            <w:r>
              <w:rPr>
                <w:rFonts w:ascii="Consolas" w:hAnsi="Consolas"/>
                <w:b/>
                <w:color w:val="FFFFFF"/>
                <w:sz w:val="16"/>
              </w:rPr>
              <w:t>size_bytes</w:t>
            </w:r>
          </w:p>
        </w:tc>
        <w:tc>
          <w:tcPr>
            <w:tcW w:type="dxa" w:w="3264"/>
            <w:shd w:val="clear" w:color="auto" w:fill="0A3176"/>
          </w:tcPr>
          <w:p>
            <w:pPr>
              <w:spacing w:before="40" w:after="40"/>
            </w:pPr>
            <w:r/>
            <w:r>
              <w:rPr>
                <w:rFonts w:ascii="Consolas" w:hAnsi="Consolas"/>
                <w:b/>
                <w:color w:val="FFFFFF"/>
                <w:sz w:val="16"/>
              </w:rPr>
              <w:t>file_name</w:t>
            </w:r>
          </w:p>
        </w:tc>
        <w:tc>
          <w:tcPr>
            <w:tcW w:type="dxa" w:w="3264"/>
            <w:shd w:val="clear" w:color="auto" w:fill="0A3176"/>
          </w:tcPr>
          <w:p>
            <w:pPr>
              <w:spacing w:before="40" w:after="40"/>
            </w:pPr>
            <w:r/>
            <w:r>
              <w:rPr>
                <w:rFonts w:ascii="Consolas" w:hAnsi="Consolas"/>
                <w:b/>
                <w:color w:val="FFFFFF"/>
                <w:sz w:val="16"/>
              </w:rPr>
              <w:t>table_sys_id</w:t>
            </w:r>
          </w:p>
        </w:tc>
      </w:tr>
      <w:tr>
        <w:tc>
          <w:tcPr>
            <w:tcW w:type="dxa" w:w="3264"/>
          </w:tcPr>
          <w:p>
            <w:pPr>
              <w:spacing w:before="40" w:after="40"/>
            </w:pPr>
            <w:r/>
            <w:r>
              <w:rPr>
                <w:rFonts w:ascii="Consolas" w:hAnsi="Consolas"/>
                <w:b w:val="0"/>
                <w:color w:val="1A1A1A"/>
                <w:sz w:val="16"/>
              </w:rPr>
              <w:t>58</w:t>
            </w:r>
          </w:p>
        </w:tc>
        <w:tc>
          <w:tcPr>
            <w:tcW w:type="dxa" w:w="3264"/>
          </w:tcPr>
          <w:p>
            <w:pPr>
              <w:spacing w:before="40" w:after="40"/>
            </w:pPr>
            <w:r/>
            <w:r>
              <w:rPr>
                <w:rFonts w:ascii="Consolas" w:hAnsi="Consolas"/>
                <w:b w:val="0"/>
                <w:color w:val="1A1A1A"/>
                <w:sz w:val="16"/>
              </w:rPr>
              <w:t>backup-restore-test.txt</w:t>
            </w:r>
          </w:p>
        </w:tc>
        <w:tc>
          <w:tcPr>
            <w:tcW w:type="dxa" w:w="3264"/>
          </w:tcPr>
          <w:p>
            <w:pPr>
              <w:spacing w:before="40" w:after="40"/>
            </w:pPr>
            <w:r/>
            <w:r>
              <w:rPr>
                <w:rFonts w:ascii="Consolas" w:hAnsi="Consolas"/>
                <w:b w:val="0"/>
                <w:color w:val="1A1A1A"/>
                <w:sz w:val="16"/>
              </w:rPr>
              <w:t>8f936cf483431210bd2a5860ceaad36c</w:t>
            </w:r>
          </w:p>
        </w:tc>
      </w:tr>
      <w:tr>
        <w:tc>
          <w:tcPr>
            <w:tcW w:type="dxa" w:w="3264"/>
          </w:tcPr>
          <w:p>
            <w:pPr>
              <w:spacing w:before="40" w:after="40"/>
            </w:pPr>
            <w:r/>
            <w:r>
              <w:rPr>
                <w:rFonts w:ascii="Consolas" w:hAnsi="Consolas"/>
                <w:b w:val="0"/>
                <w:color w:val="1A1A1A"/>
                <w:sz w:val="16"/>
              </w:rPr>
              <w:t>69</w:t>
            </w:r>
          </w:p>
        </w:tc>
        <w:tc>
          <w:tcPr>
            <w:tcW w:type="dxa" w:w="3264"/>
          </w:tcPr>
          <w:p>
            <w:pPr>
              <w:spacing w:before="40" w:after="40"/>
            </w:pPr>
            <w:r/>
            <w:r>
              <w:rPr>
                <w:rFonts w:ascii="Consolas" w:hAnsi="Consolas"/>
                <w:b w:val="0"/>
                <w:color w:val="1A1A1A"/>
                <w:sz w:val="16"/>
              </w:rPr>
              <w:t>dr-plan-evidence.txt</w:t>
            </w:r>
          </w:p>
        </w:tc>
        <w:tc>
          <w:tcPr>
            <w:tcW w:type="dxa" w:w="3264"/>
          </w:tcPr>
          <w:p>
            <w:pPr>
              <w:spacing w:before="40" w:after="40"/>
            </w:pPr>
            <w:r/>
            <w:r>
              <w:rPr>
                <w:rFonts w:ascii="Consolas" w:hAnsi="Consolas"/>
                <w:b w:val="0"/>
                <w:color w:val="1A1A1A"/>
                <w:sz w:val="16"/>
              </w:rPr>
              <w:t>8f936cf483431210bd2a5860ceaad36c</w:t>
            </w:r>
          </w:p>
        </w:tc>
      </w:tr>
    </w:tbl>
    <w:p>
      <w:pPr>
        <w:spacing w:after="120"/>
      </w:pPr>
    </w:p>
    <w:p>
      <w:pPr>
        <w:keepNext/>
        <w:spacing w:before="280" w:after="80"/>
      </w:pPr>
      <w:r>
        <w:rPr>
          <w:b/>
          <w:color w:val="000724"/>
          <w:sz w:val="30"/>
        </w:rPr>
        <w:t>Observations</w:t>
      </w:r>
    </w:p>
    <w:p>
      <w:pPr>
        <w:pStyle w:val="ListBullet"/>
        <w:spacing w:after="80"/>
      </w:pPr>
      <w:r>
        <w:rPr>
          <w:i w:val="0"/>
          <w:color w:val="1A1A1A"/>
          <w:sz w:val="21"/>
        </w:rPr>
        <w:t>Re-uploading is the correct remedy only when the push to ServiceNow failed, i.e. Salesforce holds MORE. Where ServiceNow already holds more, the file is safe in the system of record and the advice is not merely unhelpful — acting on it adds another copy.</w:t>
      </w:r>
    </w:p>
    <w:p>
      <w:pPr>
        <w:keepNext/>
        <w:spacing w:before="280" w:after="80"/>
      </w:pPr>
      <w:r>
        <w:rPr>
          <w:b/>
          <w:color w:val="000724"/>
          <w:sz w:val="30"/>
        </w:rPr>
        <w:t>Verdict</w:t>
      </w:r>
    </w:p>
    <w:tbl>
      <w:tblPr>
        <w:tblW w:type="auto" w:w="0"/>
        <w:tblLook w:firstColumn="1" w:firstRow="1" w:lastColumn="0" w:lastRow="0" w:noHBand="0" w:noVBand="1" w:val="04A0"/>
      </w:tblPr>
      <w:tblGrid>
        <w:gridCol w:w="9792"/>
      </w:tblGrid>
      <w:tr>
        <w:tc>
          <w:tcPr>
            <w:tcW w:type="dxa" w:w="9792"/>
            <w:shd w:val="clear" w:color="auto" w:fill="FBE9EF"/>
          </w:tcPr>
          <w:p>
            <w:pPr>
              <w:spacing w:before="40" w:after="40"/>
            </w:pPr>
            <w:r/>
            <w:r>
              <w:rPr>
                <w:rFonts w:ascii="Calibri" w:hAnsi="Calibri"/>
                <w:b/>
                <w:color w:val="A81845"/>
                <w:sz w:val="24"/>
              </w:rPr>
              <w:t>FAIL</w:t>
            </w:r>
          </w:p>
        </w:tc>
      </w:tr>
    </w:tbl>
    <w:p>
      <w:pPr>
        <w:spacing w:after="200"/>
      </w:pPr>
      <w:r>
        <w:rPr>
          <w:i w:val="0"/>
          <w:color w:val="1A1A1A"/>
          <w:sz w:val="21"/>
        </w:rPr>
        <w:t>Salesforce is the short side (1 against 2) yet the advice is still "re-upload": "1 in Salesforce, 2 in ServiceNow. Re-upload the missing file to send it to the system of record.". cafEvidence.mismatchLabel is unconditional and does not branch on which side is short, so following it would create a third ServiceNow attachment rather than repair anything. Fix: branch the label on servicenowCount - salesforceCount.</w:t>
      </w:r>
    </w:p>
    <w:p>
      <w:pPr>
        <w:spacing w:before="0" w:after="80"/>
        <w:pBdr>
          <w:bottom w:val="single" w:sz="6" w:color="D5D9E0"/>
        </w:pBdr>
      </w:pPr>
    </w:p>
    <w:p>
      <w:pPr>
        <w:spacing w:after="80"/>
      </w:pPr>
      <w:r>
        <w:rPr>
          <w:i/>
          <w:color w:val="606676"/>
          <w:sz w:val="15"/>
        </w:rPr>
        <w:t>Confidential. Prepared by Reyan Technologies. Contains system test evidence and must not be redistributed without written consent.</w:t>
      </w:r>
    </w:p>
    <w:sectPr w:rsidR="00FC693F" w:rsidRPr="0006063C" w:rsidSect="00034616">
      <w:headerReference w:type="default" r:id="rId9"/>
      <w:footerReference w:type="default" r:id="rId10"/>
      <w:pgSz w:w="12240" w:h="15840"/>
      <w:pgMar w:top="1224" w:right="1224" w:bottom="1224"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606676"/>
        <w:sz w:val="15"/>
      </w:rPr>
      <w:t xml:space="preserve">Confidential.   </w:t>
    </w:r>
    <w:r>
      <w:tab/>
      <w:tab/>
    </w:r>
    <w:r>
      <w:rPr>
        <w:color w:val="606676"/>
        <w:sz w:val="15"/>
      </w:rPr>
      <w:t xml:space="preserve">Page </w:t>
    </w:r>
    <w:r>
      <w:rPr>
        <w:sz w:val="15"/>
      </w:rPr>
      <w:fldChar w:fldCharType="begin"/>
      <w:instrText xml:space="preserve">PAGE</w:instrText>
      <w:fldChar w:fldCharType="end"/>
    </w:r>
    <w:r>
      <w:rPr>
        <w:color w:val="606676"/>
        <w:sz w:val="15"/>
      </w:rPr>
      <w:t xml:space="preserve"> of </w:t>
    </w:r>
    <w:r>
      <w:rPr>
        <w:sz w:val="15"/>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r>
      <w:rPr>
        <w:b/>
        <w:color w:val="0A3176"/>
        <w:sz w:val="18"/>
      </w:rPr>
      <w:t>TC-INT-071   ·   Mismatch advice names the side that is short</w:t>
    </w:r>
    <w:r>
      <w:tab/>
      <w:tab/>
    </w:r>
    <w:r>
      <w:rPr>
        <w:color w:val="606676"/>
        <w:sz w:val="18"/>
      </w:rPr>
      <w:t>CAF Compliance Test Evidence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