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TC-INT-021</w:t>
      </w:r>
    </w:p>
    <w:p>
      <w:pPr>
        <w:spacing w:after="400"/>
      </w:pPr>
      <w:r>
        <w:rPr>
          <w:color w:val="1A1A1A"/>
          <w:sz w:val="28"/>
        </w:rPr>
        <w:t>A count mismatch raises a warning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Mismatch detected and surfaced informatively: "1 in Salesforce, 2 in ServiceNow. Re-upload the missing file to send it to the system of record.". The case's stated expectation is met — but see the observation on the remediation advice, which is wrong for this direction of mismatch and should be raised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TC-INT-021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cafEvidence mismatch check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https://orgfarm-4938c7f768-dev-ed.develop.lightning.force.com + 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admin.070b86ccf531@agentforce.com (Salesforce) / admin (ServiceNow)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driving Lightning Experience. Every screen assertion is cross-checked against the ServiceNow record over cnit and the Salesforce record over the sf CLI. No case in this file writes to either platform.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Ready-made subject</w:t>
      </w:r>
    </w:p>
    <w:p>
      <w:pPr>
        <w:spacing w:after="80"/>
      </w:pPr>
      <w:r>
        <w:rPr>
          <w:i w:val="0"/>
          <w:color w:val="1A1A1A"/>
          <w:sz w:val="20"/>
        </w:rPr>
        <w:t>CAFT0001022 carries 1 Salesforce file against 2 ServiceNow attachments, because of a stray backup-restore-test.txt left by a direct-HTTP smoke test.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CAFT0001022 carries 1 Salesforce file against 2 ServiceNow attachments.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panel shows a warning, and it reads as informative rather than alarming.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Open the evidence panel on CAFT0001022.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1049" cy="6035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vidence-count-mismatch-w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049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01-evidence-count-mismatch-warning.png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Salesforce 1 file(s) against ServiceNow 2 attachment(s) — mismatch present: true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Warning shown: 1 in Salesforce, 2 in ServiceNow. Re-upload the missing file to send it to the system of record.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Wording judged informative: "1 in Salesforce, 2 in ServiceNow. Re-upload the missing file to send it to the system of record."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Counts and warning, as rendered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cafEvidence   ·   task CAFT0001022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salesforce_files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servicenow_attachments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warning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 in Salesforce, 2 in ServiceNow. Re-upload t…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extra ServiceNow attachment is backup-restore-test.txt, left by a direct-HTTP smoke test. Two copies of evidence is not a compliance failure, which is why the wording matters more than the fact of the warning.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Finding — the advice is backwards for this mismatch. cafEvidence.mismatchLabel is unconditional: it always says "Re-upload the missing file to send it to the system of record", which is correct only when Salesforce holds more than ServiceNow, i.e. a push failed. Here ServiceNow holds more (2 against 1), so the system of record already has the file and following the advice would create a third ServiceNow attachment rather than repair anything. This is the only mismatch state present on the instance today, so it is the one a user will actually meet. The label needs to branch on which side is short.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Mismatch detected and surfaced informatively: "1 in Salesforce, 2 in ServiceNow. Re-upload the missing file to send it to the system of record.". The case's stated expectation is met — but see the observation on the remediation advice, which is wrong for this direction of mismatch and should be raised separately.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TC-INT-021   ·   A count mismatch raises a warning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