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20"/>
        <w:jc w:val="left"/>
      </w:pPr>
      <w:r>
        <w:drawing>
          <wp:inline xmlns:a="http://schemas.openxmlformats.org/drawingml/2006/main" xmlns:pic="http://schemas.openxmlformats.org/drawingml/2006/picture">
            <wp:extent cx="1554480" cy="801529"/>
            <wp:docPr id="1" name="Picture 1"/>
            <wp:cNvGraphicFramePr>
              <a:graphicFrameLocks noChangeAspect="1"/>
            </wp:cNvGraphicFramePr>
            <a:graphic>
              <a:graphicData uri="http://schemas.openxmlformats.org/drawingml/2006/picture">
                <pic:pic>
                  <pic:nvPicPr>
                    <pic:cNvPr id="0" name="reyan-logo.png"/>
                    <pic:cNvPicPr/>
                  </pic:nvPicPr>
                  <pic:blipFill>
                    <a:blip r:embed="rId11"/>
                    <a:stretch>
                      <a:fillRect/>
                    </a:stretch>
                  </pic:blipFill>
                  <pic:spPr>
                    <a:xfrm>
                      <a:off x="0" y="0"/>
                      <a:ext cx="1554480" cy="801529"/>
                    </a:xfrm>
                    <a:prstGeom prst="rect"/>
                  </pic:spPr>
                </pic:pic>
              </a:graphicData>
            </a:graphic>
          </wp:inline>
        </w:drawing>
      </w:r>
    </w:p>
    <w:p>
      <w:pPr>
        <w:spacing w:after="40"/>
      </w:pPr>
      <w:r>
        <w:rPr>
          <w:b/>
          <w:color w:val="0A3176"/>
          <w:sz w:val="20"/>
        </w:rPr>
        <w:t>CAF Compliance  ·  Test Evidence Record</w:t>
      </w:r>
    </w:p>
    <w:p>
      <w:pPr>
        <w:spacing w:after="80"/>
      </w:pPr>
      <w:r>
        <w:rPr>
          <w:b/>
          <w:color w:val="000724"/>
          <w:sz w:val="52"/>
        </w:rPr>
        <w:t>TC-INT-048</w:t>
      </w:r>
    </w:p>
    <w:p>
      <w:pPr>
        <w:spacing w:after="400"/>
      </w:pPr>
      <w:r>
        <w:rPr>
          <w:color w:val="1A1A1A"/>
          <w:sz w:val="28"/>
        </w:rPr>
        <w:t>Grid matches the ServiceNow portal exactly</w:t>
      </w:r>
    </w:p>
    <w:tbl>
      <w:tblPr>
        <w:tblW w:type="auto" w:w="0"/>
        <w:jc w:val="left"/>
        <w:tblLook w:firstColumn="1" w:firstRow="1" w:lastColumn="0" w:lastRow="0" w:noHBand="0" w:noVBand="1" w:val="04A0"/>
      </w:tblPr>
      <w:tblGrid>
        <w:gridCol w:w="3600"/>
      </w:tblGrid>
      <w:tr>
        <w:tc>
          <w:tcPr>
            <w:tcW w:type="dxa" w:w="9792"/>
            <w:shd w:val="clear" w:color="auto" w:fill="E6F4EC"/>
          </w:tcPr>
          <w:p>
            <w:pPr>
              <w:spacing w:before="120" w:after="120"/>
            </w:pPr>
            <w:r/>
            <w:r>
              <w:rPr>
                <w:rFonts w:ascii="Calibri" w:hAnsi="Calibri"/>
                <w:b/>
                <w:color w:val="0B6B3A"/>
                <w:sz w:val="26"/>
              </w:rPr>
              <w:t>RESULT:  PASS</w:t>
            </w:r>
          </w:p>
        </w:tc>
      </w:tr>
    </w:tbl>
    <w:p>
      <w:pPr>
        <w:spacing w:after="200"/>
      </w:pPr>
    </w:p>
    <w:p>
      <w:pPr>
        <w:spacing w:after="320"/>
      </w:pPr>
      <w:r>
        <w:rPr>
          <w:i w:val="0"/>
          <w:color w:val="1A1A1A"/>
          <w:sz w:val="20"/>
        </w:rPr>
        <w:t>Every populated cell in the Salesforce grid matches caf_req.caf_status, and both grids show the same 3 applications.</w:t>
      </w:r>
    </w:p>
    <w:tbl>
      <w:tblPr>
        <w:tblStyle w:val="TableGrid"/>
        <w:tblW w:type="auto" w:w="0"/>
        <w:tblLook w:firstColumn="1" w:firstRow="1" w:lastColumn="0" w:lastRow="0" w:noHBand="0" w:noVBand="1" w:val="04A0"/>
      </w:tblPr>
      <w:tblGrid>
        <w:gridCol w:w="2736"/>
        <w:gridCol w:w="6480"/>
      </w:tblGrid>
      <w:tr>
        <w:tc>
          <w:tcPr>
            <w:tcW w:type="dxa" w:w="4896"/>
            <w:shd w:val="clear" w:color="auto" w:fill="F4F6F9"/>
          </w:tcPr>
          <w:p>
            <w:pPr>
              <w:spacing w:before="40" w:after="40"/>
            </w:pPr>
            <w:r/>
            <w:r>
              <w:rPr>
                <w:rFonts w:ascii="Calibri" w:hAnsi="Calibri"/>
                <w:b/>
                <w:color w:val="000724"/>
                <w:sz w:val="18"/>
              </w:rPr>
              <w:t>Test case</w:t>
            </w:r>
          </w:p>
        </w:tc>
        <w:tc>
          <w:tcPr>
            <w:tcW w:type="dxa" w:w="4896"/>
          </w:tcPr>
          <w:p>
            <w:pPr>
              <w:spacing w:before="40" w:after="40"/>
            </w:pPr>
            <w:r/>
            <w:r>
              <w:rPr>
                <w:rFonts w:ascii="Calibri" w:hAnsi="Calibri"/>
                <w:b w:val="0"/>
                <w:color w:val="1A1A1A"/>
                <w:sz w:val="18"/>
              </w:rPr>
              <w:t>TC-INT-048</w:t>
            </w:r>
          </w:p>
        </w:tc>
      </w:tr>
      <w:tr>
        <w:tc>
          <w:tcPr>
            <w:tcW w:type="dxa" w:w="4896"/>
            <w:shd w:val="clear" w:color="auto" w:fill="F4F6F9"/>
          </w:tcPr>
          <w:p>
            <w:pPr>
              <w:spacing w:before="40" w:after="40"/>
            </w:pPr>
            <w:r/>
            <w:r>
              <w:rPr>
                <w:rFonts w:ascii="Calibri" w:hAnsi="Calibri"/>
                <w:b/>
                <w:color w:val="000724"/>
                <w:sz w:val="18"/>
              </w:rPr>
              <w:t>Priority</w:t>
            </w:r>
          </w:p>
        </w:tc>
        <w:tc>
          <w:tcPr>
            <w:tcW w:type="dxa" w:w="4896"/>
          </w:tcPr>
          <w:p>
            <w:pPr>
              <w:spacing w:before="40" w:after="40"/>
            </w:pPr>
            <w:r/>
            <w:r>
              <w:rPr>
                <w:rFonts w:ascii="Calibri" w:hAnsi="Calibri"/>
                <w:b w:val="0"/>
                <w:color w:val="1A1A1A"/>
                <w:sz w:val="18"/>
              </w:rPr>
              <w:t>P1</w:t>
            </w:r>
          </w:p>
        </w:tc>
      </w:tr>
      <w:tr>
        <w:tc>
          <w:tcPr>
            <w:tcW w:type="dxa" w:w="4896"/>
            <w:shd w:val="clear" w:color="auto" w:fill="F4F6F9"/>
          </w:tcPr>
          <w:p>
            <w:pPr>
              <w:spacing w:before="40" w:after="40"/>
            </w:pPr>
            <w:r/>
            <w:r>
              <w:rPr>
                <w:rFonts w:ascii="Calibri" w:hAnsi="Calibri"/>
                <w:b/>
                <w:color w:val="000724"/>
                <w:sz w:val="18"/>
              </w:rPr>
              <w:t>Type</w:t>
            </w:r>
          </w:p>
        </w:tc>
        <w:tc>
          <w:tcPr>
            <w:tcW w:type="dxa" w:w="4896"/>
          </w:tcPr>
          <w:p>
            <w:pPr>
              <w:spacing w:before="40" w:after="40"/>
            </w:pPr>
            <w:r/>
            <w:r>
              <w:rPr>
                <w:rFonts w:ascii="Calibri" w:hAnsi="Calibri"/>
                <w:b w:val="0"/>
                <w:color w:val="1A1A1A"/>
                <w:sz w:val="18"/>
              </w:rPr>
              <w:t>Positive</w:t>
            </w:r>
          </w:p>
        </w:tc>
      </w:tr>
      <w:tr>
        <w:tc>
          <w:tcPr>
            <w:tcW w:type="dxa" w:w="4896"/>
            <w:shd w:val="clear" w:color="auto" w:fill="F4F6F9"/>
          </w:tcPr>
          <w:p>
            <w:pPr>
              <w:spacing w:before="40" w:after="40"/>
            </w:pPr>
            <w:r/>
            <w:r>
              <w:rPr>
                <w:rFonts w:ascii="Calibri" w:hAnsi="Calibri"/>
                <w:b/>
                <w:color w:val="000724"/>
                <w:sz w:val="18"/>
              </w:rPr>
              <w:t>Component under test</w:t>
            </w:r>
          </w:p>
        </w:tc>
        <w:tc>
          <w:tcPr>
            <w:tcW w:type="dxa" w:w="4896"/>
          </w:tcPr>
          <w:p>
            <w:pPr>
              <w:spacing w:before="40" w:after="40"/>
            </w:pPr>
            <w:r/>
            <w:r>
              <w:rPr>
                <w:rFonts w:ascii="Calibri" w:hAnsi="Calibri"/>
                <w:b w:val="0"/>
                <w:color w:val="1A1A1A"/>
                <w:sz w:val="18"/>
              </w:rPr>
              <w:t>cafDashboard LWC</w:t>
            </w:r>
          </w:p>
        </w:tc>
      </w:tr>
      <w:tr>
        <w:tc>
          <w:tcPr>
            <w:tcW w:type="dxa" w:w="4896"/>
            <w:shd w:val="clear" w:color="auto" w:fill="F4F6F9"/>
          </w:tcPr>
          <w:p>
            <w:pPr>
              <w:spacing w:before="40" w:after="40"/>
            </w:pPr>
            <w:r/>
            <w:r>
              <w:rPr>
                <w:rFonts w:ascii="Calibri" w:hAnsi="Calibri"/>
                <w:b/>
                <w:color w:val="000724"/>
                <w:sz w:val="18"/>
              </w:rPr>
              <w:t>Application</w:t>
            </w:r>
          </w:p>
        </w:tc>
        <w:tc>
          <w:tcPr>
            <w:tcW w:type="dxa" w:w="4896"/>
          </w:tcPr>
          <w:p>
            <w:pPr>
              <w:spacing w:before="40" w:after="40"/>
            </w:pPr>
            <w:r/>
            <w:r>
              <w:rPr>
                <w:rFonts w:ascii="Calibri" w:hAnsi="Calibri"/>
                <w:b w:val="0"/>
                <w:color w:val="1A1A1A"/>
                <w:sz w:val="18"/>
              </w:rPr>
              <w:t>CAF Compliance — scope x_gskn2_caf_compli</w:t>
            </w:r>
          </w:p>
        </w:tc>
      </w:tr>
      <w:tr>
        <w:tc>
          <w:tcPr>
            <w:tcW w:type="dxa" w:w="4896"/>
            <w:shd w:val="clear" w:color="auto" w:fill="F4F6F9"/>
          </w:tcPr>
          <w:p>
            <w:pPr>
              <w:spacing w:before="40" w:after="40"/>
            </w:pPr>
            <w:r/>
            <w:r>
              <w:rPr>
                <w:rFonts w:ascii="Calibri" w:hAnsi="Calibri"/>
                <w:b/>
                <w:color w:val="000724"/>
                <w:sz w:val="18"/>
              </w:rPr>
              <w:t>Environment</w:t>
            </w:r>
          </w:p>
        </w:tc>
        <w:tc>
          <w:tcPr>
            <w:tcW w:type="dxa" w:w="4896"/>
          </w:tcPr>
          <w:p>
            <w:pPr>
              <w:spacing w:before="40" w:after="40"/>
            </w:pPr>
            <w:r/>
            <w:r>
              <w:rPr>
                <w:rFonts w:ascii="Calibri" w:hAnsi="Calibri"/>
                <w:b w:val="0"/>
                <w:color w:val="1A1A1A"/>
                <w:sz w:val="18"/>
              </w:rPr>
              <w:t>https://dev281754.service-now.com</w:t>
            </w:r>
          </w:p>
        </w:tc>
      </w:tr>
      <w:tr>
        <w:tc>
          <w:tcPr>
            <w:tcW w:type="dxa" w:w="4896"/>
            <w:shd w:val="clear" w:color="auto" w:fill="F4F6F9"/>
          </w:tcPr>
          <w:p>
            <w:pPr>
              <w:spacing w:before="40" w:after="40"/>
            </w:pPr>
            <w:r/>
            <w:r>
              <w:rPr>
                <w:rFonts w:ascii="Calibri" w:hAnsi="Calibri"/>
                <w:b/>
                <w:color w:val="000724"/>
                <w:sz w:val="18"/>
              </w:rPr>
              <w:t>Executed by</w:t>
            </w:r>
          </w:p>
        </w:tc>
        <w:tc>
          <w:tcPr>
            <w:tcW w:type="dxa" w:w="4896"/>
          </w:tcPr>
          <w:p>
            <w:pPr>
              <w:spacing w:before="40" w:after="40"/>
            </w:pPr>
            <w:r/>
            <w:r>
              <w:rPr>
                <w:rFonts w:ascii="Calibri" w:hAnsi="Calibri"/>
                <w:b w:val="0"/>
                <w:color w:val="1A1A1A"/>
                <w:sz w:val="18"/>
              </w:rPr>
              <w:t>admin</w:t>
            </w:r>
          </w:p>
        </w:tc>
      </w:tr>
      <w:tr>
        <w:tc>
          <w:tcPr>
            <w:tcW w:type="dxa" w:w="4896"/>
            <w:shd w:val="clear" w:color="auto" w:fill="F4F6F9"/>
          </w:tcPr>
          <w:p>
            <w:pPr>
              <w:spacing w:before="40" w:after="40"/>
            </w:pPr>
            <w:r/>
            <w:r>
              <w:rPr>
                <w:rFonts w:ascii="Calibri" w:hAnsi="Calibri"/>
                <w:b/>
                <w:color w:val="000724"/>
                <w:sz w:val="18"/>
              </w:rPr>
              <w:t>Execution method</w:t>
            </w:r>
          </w:p>
        </w:tc>
        <w:tc>
          <w:tcPr>
            <w:tcW w:type="dxa" w:w="4896"/>
          </w:tcPr>
          <w:p>
            <w:pPr>
              <w:spacing w:before="40" w:after="40"/>
            </w:pPr>
            <w:r/>
            <w:r>
              <w:rPr>
                <w:rFonts w:ascii="Calibri" w:hAnsi="Calibri"/>
                <w:b w:val="0"/>
                <w:color w:val="1A1A1A"/>
                <w:sz w:val="18"/>
              </w:rPr>
              <w:t>Playwright (automated); every assertion cross-checked against the ServiceNow Table API</w:t>
            </w:r>
          </w:p>
        </w:tc>
      </w:tr>
      <w:tr>
        <w:tc>
          <w:tcPr>
            <w:tcW w:type="dxa" w:w="4896"/>
            <w:shd w:val="clear" w:color="auto" w:fill="F4F6F9"/>
          </w:tcPr>
          <w:p>
            <w:pPr>
              <w:spacing w:before="40" w:after="40"/>
            </w:pPr>
            <w:r/>
            <w:r>
              <w:rPr>
                <w:rFonts w:ascii="Calibri" w:hAnsi="Calibri"/>
                <w:b/>
                <w:color w:val="000724"/>
                <w:sz w:val="18"/>
              </w:rPr>
              <w:t>Specification</w:t>
            </w:r>
          </w:p>
        </w:tc>
        <w:tc>
          <w:tcPr>
            <w:tcW w:type="dxa" w:w="4896"/>
          </w:tcPr>
          <w:p>
            <w:pPr>
              <w:spacing w:before="40" w:after="40"/>
            </w:pPr>
            <w:r/>
            <w:r>
              <w:rPr>
                <w:rFonts w:ascii="Calibri" w:hAnsi="Calibri"/>
                <w:b w:val="0"/>
                <w:color w:val="1A1A1A"/>
                <w:sz w:val="18"/>
              </w:rPr>
              <w:t>TEST-CASES-INTEGRATION.md</w:t>
            </w:r>
          </w:p>
        </w:tc>
      </w:tr>
    </w:tbl>
    <w:p>
      <w:r>
        <w:br w:type="page"/>
      </w:r>
    </w:p>
    <w:p>
      <w:pPr>
        <w:keepNext/>
        <w:spacing w:before="0" w:after="80"/>
      </w:pPr>
      <w:r>
        <w:rPr>
          <w:b/>
          <w:color w:val="000724"/>
          <w:sz w:val="30"/>
        </w:rPr>
        <w:t>Purpose</w:t>
      </w:r>
    </w:p>
    <w:p>
      <w:pPr>
        <w:spacing w:after="80"/>
      </w:pPr>
      <w:r>
        <w:rPr>
          <w:i w:val="0"/>
          <w:color w:val="1A1A1A"/>
          <w:sz w:val="21"/>
        </w:rPr>
        <w:t>The parity case. Capture this screenshot in the same session as TC-SN-065 so the two grids sit side by side in the evidence pack.</w:t>
      </w:r>
    </w:p>
    <w:p>
      <w:pPr>
        <w:keepNext/>
        <w:spacing w:before="280" w:after="80"/>
      </w:pPr>
      <w:r>
        <w:rPr>
          <w:b/>
          <w:color w:val="000724"/>
          <w:sz w:val="30"/>
        </w:rPr>
        <w:t>Expected result</w:t>
      </w:r>
    </w:p>
    <w:p>
      <w:pPr>
        <w:pStyle w:val="ListBullet"/>
        <w:spacing w:after="80"/>
      </w:pPr>
      <w:r>
        <w:rPr>
          <w:i w:val="0"/>
          <w:color w:val="1A1A1A"/>
          <w:sz w:val="21"/>
        </w:rPr>
        <w:t>Same applications, same controls, same status per cell as the /caf portal grid.</w:t>
      </w:r>
    </w:p>
    <w:p>
      <w:pPr>
        <w:pStyle w:val="ListBullet"/>
        <w:spacing w:after="80"/>
      </w:pPr>
      <w:r>
        <w:rPr>
          <w:i w:val="0"/>
          <w:color w:val="1A1A1A"/>
          <w:sz w:val="21"/>
        </w:rPr>
        <w:t>Both grids reconcile to caf_req.caf_status, which is the system of record.</w:t>
      </w:r>
    </w:p>
    <w:p>
      <w:pPr>
        <w:keepNext/>
        <w:spacing w:before="280" w:after="80"/>
      </w:pPr>
      <w:r>
        <w:rPr>
          <w:b/>
          <w:color w:val="000724"/>
          <w:sz w:val="30"/>
        </w:rPr>
        <w:t>Steps executed</w:t>
      </w:r>
    </w:p>
    <w:p>
      <w:pPr>
        <w:keepNext/>
        <w:spacing w:before="120" w:after="40"/>
      </w:pPr>
      <w:r>
        <w:rPr>
          <w:b/>
          <w:color w:val="0A3176"/>
          <w:sz w:val="23"/>
        </w:rPr>
        <w:t xml:space="preserve">Step 1   </w:t>
      </w:r>
      <w:r>
        <w:rPr>
          <w:sz w:val="21"/>
        </w:rPr>
        <w:t>Read the Salesforce grid.</w:t>
      </w:r>
    </w:p>
    <w:p>
      <w:pPr>
        <w:spacing w:before="80" w:after="40"/>
        <w:jc w:val="center"/>
      </w:pPr>
      <w:r>
        <w:drawing>
          <wp:inline xmlns:a="http://schemas.openxmlformats.org/drawingml/2006/main" xmlns:pic="http://schemas.openxmlformats.org/drawingml/2006/picture">
            <wp:extent cx="5852160" cy="3657600"/>
            <wp:docPr id="2" name="Picture 2"/>
            <wp:cNvGraphicFramePr>
              <a:graphicFrameLocks noChangeAspect="1"/>
            </wp:cNvGraphicFramePr>
            <a:graphic>
              <a:graphicData uri="http://schemas.openxmlformats.org/drawingml/2006/picture">
                <pic:pic>
                  <pic:nvPicPr>
                    <pic:cNvPr id="0" name="01-salesforce-compliance-grid.png"/>
                    <pic:cNvPicPr/>
                  </pic:nvPicPr>
                  <pic:blipFill>
                    <a:blip r:embed="rId12"/>
                    <a:stretch>
                      <a:fillRect/>
                    </a:stretch>
                  </pic:blipFill>
                  <pic:spPr>
                    <a:xfrm>
                      <a:off x="0" y="0"/>
                      <a:ext cx="5852160" cy="3657600"/>
                    </a:xfrm>
                    <a:prstGeom prst="rect"/>
                  </pic:spPr>
                </pic:pic>
              </a:graphicData>
            </a:graphic>
          </wp:inline>
        </w:drawing>
      </w:r>
    </w:p>
    <w:p>
      <w:pPr>
        <w:spacing w:after="200"/>
        <w:jc w:val="center"/>
      </w:pPr>
      <w:r>
        <w:rPr>
          <w:i/>
          <w:color w:val="606676"/>
          <w:sz w:val="15"/>
        </w:rPr>
        <w:t>Screen capture — 01-salesforce-compliance-grid.png</w:t>
      </w:r>
    </w:p>
    <w:p>
      <w:pPr>
        <w:keepNext/>
        <w:spacing w:before="120" w:after="40"/>
      </w:pPr>
      <w:r>
        <w:rPr>
          <w:b/>
          <w:color w:val="0A3176"/>
          <w:sz w:val="23"/>
        </w:rPr>
        <w:t xml:space="preserve">Step 2   </w:t>
      </w:r>
      <w:r>
        <w:rPr>
          <w:sz w:val="21"/>
        </w:rPr>
        <w:t>Capture the ServiceNow /caf portal grid in the same session.</w:t>
      </w:r>
    </w:p>
    <w:p>
      <w:pPr>
        <w:spacing w:before="80" w:after="40"/>
        <w:jc w:val="center"/>
      </w:pPr>
      <w:r>
        <w:drawing>
          <wp:inline xmlns:a="http://schemas.openxmlformats.org/drawingml/2006/main" xmlns:pic="http://schemas.openxmlformats.org/drawingml/2006/picture">
            <wp:extent cx="5852160" cy="3657600"/>
            <wp:docPr id="3" name="Picture 3"/>
            <wp:cNvGraphicFramePr>
              <a:graphicFrameLocks noChangeAspect="1"/>
            </wp:cNvGraphicFramePr>
            <a:graphic>
              <a:graphicData uri="http://schemas.openxmlformats.org/drawingml/2006/picture">
                <pic:pic>
                  <pic:nvPicPr>
                    <pic:cNvPr id="0" name="02-servicenow-portal-grid.png"/>
                    <pic:cNvPicPr/>
                  </pic:nvPicPr>
                  <pic:blipFill>
                    <a:blip r:embed="rId13"/>
                    <a:stretch>
                      <a:fillRect/>
                    </a:stretch>
                  </pic:blipFill>
                  <pic:spPr>
                    <a:xfrm>
                      <a:off x="0" y="0"/>
                      <a:ext cx="5852160" cy="3657600"/>
                    </a:xfrm>
                    <a:prstGeom prst="rect"/>
                  </pic:spPr>
                </pic:pic>
              </a:graphicData>
            </a:graphic>
          </wp:inline>
        </w:drawing>
      </w:r>
    </w:p>
    <w:p>
      <w:pPr>
        <w:spacing w:after="200"/>
        <w:jc w:val="center"/>
      </w:pPr>
      <w:r>
        <w:rPr>
          <w:i/>
          <w:color w:val="606676"/>
          <w:sz w:val="15"/>
        </w:rPr>
        <w:t>Screen capture — 02-servicenow-portal-grid.png</w:t>
      </w:r>
    </w:p>
    <w:p>
      <w:pPr>
        <w:keepNext/>
        <w:spacing w:before="120" w:after="40"/>
      </w:pPr>
      <w:r>
        <w:rPr>
          <w:b/>
          <w:color w:val="0A3176"/>
          <w:sz w:val="23"/>
        </w:rPr>
        <w:t xml:space="preserve">Step 3   </w:t>
      </w:r>
      <w:r>
        <w:rPr>
          <w:sz w:val="21"/>
        </w:rPr>
        <w:t>Reconcile both grids against caf_req.caf_status, the system of record.</w:t>
      </w:r>
    </w:p>
    <w:p>
      <w:pPr>
        <w:keepNext/>
        <w:spacing w:before="280" w:after="80"/>
      </w:pPr>
      <w:r>
        <w:rPr>
          <w:b/>
          <w:color w:val="000724"/>
          <w:sz w:val="30"/>
        </w:rPr>
        <w:t>Actual result</w:t>
      </w:r>
    </w:p>
    <w:p>
      <w:pPr>
        <w:pStyle w:val="ListBullet"/>
        <w:spacing w:after="80"/>
      </w:pPr>
      <w:r>
        <w:rPr>
          <w:i w:val="0"/>
          <w:color w:val="1A1A1A"/>
          <w:sz w:val="21"/>
        </w:rPr>
        <w:t>Salesforce grid: 3 application(s), 6 control column(s).</w:t>
      </w:r>
    </w:p>
    <w:p>
      <w:pPr>
        <w:pStyle w:val="ListBullet"/>
        <w:spacing w:after="80"/>
      </w:pPr>
      <w:r>
        <w:rPr>
          <w:i w:val="0"/>
          <w:color w:val="1A1A1A"/>
          <w:sz w:val="21"/>
        </w:rPr>
        <w:t>SAP Fiori — 2 of 6; dots: red, red, green, red, green, red</w:t>
      </w:r>
    </w:p>
    <w:p>
      <w:pPr>
        <w:pStyle w:val="ListBullet"/>
        <w:spacing w:after="80"/>
      </w:pPr>
      <w:r>
        <w:rPr>
          <w:i w:val="0"/>
          <w:color w:val="1A1A1A"/>
          <w:sz w:val="21"/>
        </w:rPr>
        <w:t>SAP HANA — 2 of 6; dots: green, green, red, red, red, red</w:t>
      </w:r>
    </w:p>
    <w:p>
      <w:pPr>
        <w:pStyle w:val="ListBullet"/>
        <w:spacing w:after="80"/>
      </w:pPr>
      <w:r>
        <w:rPr>
          <w:i w:val="0"/>
          <w:color w:val="1A1A1A"/>
          <w:sz w:val="21"/>
        </w:rPr>
        <w:t>Zscalar App — Compliant; dots: green, green, green, green, green, green</w:t>
      </w:r>
    </w:p>
    <w:p>
      <w:pPr>
        <w:pStyle w:val="ListBullet"/>
        <w:spacing w:after="80"/>
      </w:pPr>
      <w:r>
        <w:rPr>
          <w:i w:val="0"/>
          <w:color w:val="1A1A1A"/>
          <w:sz w:val="21"/>
        </w:rPr>
        <w:t>ServiceNow portal grid: 62 application row(s) — SAP HANA, SAP Fiori, , Zscalar App, Test1, Zoho Email, Test Tier 1 app, PeopleSoft CRM, Outlook Web Access (OWA), PeopleSoft HRMS, Retail Adding Points, Electronic Messaging, Retail Client Registration, SAP HANA, PeopleSoft Enterprise Services, PeopleSoft Reporting, SAP Labor Distribution, Bond Trading - DR, PeopleSoft Supply Chain Management, Unix Server Hosting, External Networking (Internet), SAP Financial Accounting, SAP Enterprise Services, SAP Payroll, Retail Client Lookup, Email, SAP Materials Management, Campus Network (LAN), Desktop Support, PeopleSoft Portals, Tibco ESB, Securities Lending, Apache Web Hosting, ServiceNow Enterprise Services, Sales Force Automation, Windows Server Hosting, SAP Human Resources, Retail, Client Services, Bond Trading, Shared Storage (SAN), z/OS Platform Hosting, Printing Services, PeopleSoft Financials, SAP Controlling, Windows Mobile, E-Commerce, Voice Communication, PeopleSoft Governance, Inter-Site Networking (WAN), PeopleSoft Asset Lifecycle Management, IT Services, Oracle Database Hosting, Workday Enterprise Services, Jobvite Enterprise Recruitment Services, IIS Web Hosting, OpenText Enterprise Services, This Service-now instance, SAP Plant Maintenance, Retail POS (Point of Sale), Test EU, Zoho HR System</w:t>
      </w:r>
    </w:p>
    <w:p>
      <w:pPr>
        <w:pStyle w:val="ListBullet"/>
        <w:spacing w:after="80"/>
      </w:pPr>
      <w:r>
        <w:rPr>
          <w:i w:val="0"/>
          <w:color w:val="1A1A1A"/>
          <w:sz w:val="21"/>
        </w:rPr>
        <w:t>Cells disagreeing with caf_status: 0</w:t>
      </w:r>
    </w:p>
    <w:p>
      <w:pPr>
        <w:keepNext/>
        <w:spacing w:before="280" w:after="80"/>
      </w:pPr>
      <w:r>
        <w:rPr>
          <w:b/>
          <w:color w:val="000724"/>
          <w:sz w:val="30"/>
        </w:rPr>
        <w:t>Record evidence</w:t>
      </w:r>
    </w:p>
    <w:p>
      <w:pPr>
        <w:spacing w:after="160"/>
      </w:pPr>
      <w:r>
        <w:rPr>
          <w:i/>
          <w:color w:val="606676"/>
          <w:sz w:val="18"/>
        </w:rPr>
        <w:t>Read directly from the ServiceNow Table API during execution. This is the evidence that determines the verdict; a screen capture shows what was displayed, not what was stored.</w:t>
      </w:r>
    </w:p>
    <w:p>
      <w:pPr>
        <w:spacing w:after="20"/>
      </w:pPr>
      <w:r>
        <w:rPr>
          <w:i w:val="0"/>
          <w:color w:val="000724"/>
          <w:sz w:val="20"/>
        </w:rPr>
        <w:t>Salesforce grid</w:t>
      </w:r>
    </w:p>
    <w:p>
      <w:pPr>
        <w:spacing w:after="60"/>
      </w:pPr>
      <w:r>
        <w:rPr>
          <w:rFonts w:ascii="Consolas" w:hAnsi="Consolas"/>
          <w:i w:val="0"/>
          <w:color w:val="606676"/>
          <w:sz w:val="16"/>
        </w:rPr>
        <w:t>cafDashboard   ·   CAF Dashboard tab</w:t>
      </w:r>
    </w:p>
    <w:tbl>
      <w:tblPr>
        <w:tblStyle w:val="TableGrid"/>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shd w:val="clear" w:color="auto" w:fill="0A3176"/>
          </w:tcPr>
          <w:p>
            <w:pPr>
              <w:spacing w:before="40" w:after="40"/>
            </w:pPr>
            <w:r/>
            <w:r>
              <w:rPr>
                <w:rFonts w:ascii="Consolas" w:hAnsi="Consolas"/>
                <w:b/>
                <w:color w:val="FFFFFF"/>
                <w:sz w:val="16"/>
              </w:rPr>
              <w:t>application</w:t>
            </w:r>
          </w:p>
        </w:tc>
        <w:tc>
          <w:tcPr>
            <w:tcW w:type="dxa" w:w="1399"/>
            <w:shd w:val="clear" w:color="auto" w:fill="0A3176"/>
          </w:tcPr>
          <w:p>
            <w:pPr>
              <w:spacing w:before="40" w:after="40"/>
            </w:pPr>
            <w:r/>
            <w:r>
              <w:rPr>
                <w:rFonts w:ascii="Consolas" w:hAnsi="Consolas"/>
                <w:b/>
                <w:color w:val="FFFFFF"/>
                <w:sz w:val="16"/>
              </w:rPr>
              <w:t>overall</w:t>
            </w:r>
          </w:p>
        </w:tc>
        <w:tc>
          <w:tcPr>
            <w:tcW w:type="dxa" w:w="1399"/>
            <w:shd w:val="clear" w:color="auto" w:fill="0A3176"/>
          </w:tcPr>
          <w:p>
            <w:pPr>
              <w:spacing w:before="40" w:after="40"/>
            </w:pPr>
            <w:r/>
            <w:r>
              <w:rPr>
                <w:rFonts w:ascii="Consolas" w:hAnsi="Consolas"/>
                <w:b/>
                <w:color w:val="FFFFFF"/>
                <w:sz w:val="16"/>
              </w:rPr>
              <w:t>Confirm &amp; Execute High Availability Plan</w:t>
            </w:r>
          </w:p>
        </w:tc>
        <w:tc>
          <w:tcPr>
            <w:tcW w:type="dxa" w:w="1399"/>
            <w:shd w:val="clear" w:color="auto" w:fill="0A3176"/>
          </w:tcPr>
          <w:p>
            <w:pPr>
              <w:spacing w:before="40" w:after="40"/>
            </w:pPr>
            <w:r/>
            <w:r>
              <w:rPr>
                <w:rFonts w:ascii="Consolas" w:hAnsi="Consolas"/>
                <w:b/>
                <w:color w:val="FFFFFF"/>
                <w:sz w:val="16"/>
              </w:rPr>
              <w:t>Confirm Backup &amp; Restore Policy</w:t>
            </w:r>
          </w:p>
        </w:tc>
        <w:tc>
          <w:tcPr>
            <w:tcW w:type="dxa" w:w="1399"/>
            <w:shd w:val="clear" w:color="auto" w:fill="0A3176"/>
          </w:tcPr>
          <w:p>
            <w:pPr>
              <w:spacing w:before="40" w:after="40"/>
            </w:pPr>
            <w:r/>
            <w:r>
              <w:rPr>
                <w:rFonts w:ascii="Consolas" w:hAnsi="Consolas"/>
                <w:b/>
                <w:color w:val="FFFFFF"/>
                <w:sz w:val="16"/>
              </w:rPr>
              <w:t>Confirm Disaster Recovery Plan</w:t>
            </w:r>
          </w:p>
        </w:tc>
        <w:tc>
          <w:tcPr>
            <w:tcW w:type="dxa" w:w="1399"/>
            <w:shd w:val="clear" w:color="auto" w:fill="0A3176"/>
          </w:tcPr>
          <w:p>
            <w:pPr>
              <w:spacing w:before="40" w:after="40"/>
            </w:pPr>
            <w:r/>
            <w:r>
              <w:rPr>
                <w:rFonts w:ascii="Consolas" w:hAnsi="Consolas"/>
                <w:b/>
                <w:color w:val="FFFFFF"/>
                <w:sz w:val="16"/>
              </w:rPr>
              <w:t>Confirm RTO &amp; RPO</w:t>
            </w:r>
          </w:p>
        </w:tc>
        <w:tc>
          <w:tcPr>
            <w:tcW w:type="dxa" w:w="1399"/>
            <w:shd w:val="clear" w:color="auto" w:fill="0A3176"/>
          </w:tcPr>
          <w:p>
            <w:pPr>
              <w:spacing w:before="40" w:after="40"/>
            </w:pPr>
            <w:r/>
            <w:r>
              <w:rPr>
                <w:rFonts w:ascii="Consolas" w:hAnsi="Consolas"/>
                <w:b/>
                <w:color w:val="FFFFFF"/>
                <w:sz w:val="16"/>
              </w:rPr>
              <w:t>Test Backup &amp; Restore</w:t>
            </w:r>
          </w:p>
        </w:tc>
      </w:tr>
      <w:tr>
        <w:tc>
          <w:tcPr>
            <w:tcW w:type="dxa" w:w="1399"/>
          </w:tcPr>
          <w:p>
            <w:pPr>
              <w:spacing w:before="40" w:after="40"/>
            </w:pPr>
            <w:r/>
            <w:r>
              <w:rPr>
                <w:rFonts w:ascii="Consolas" w:hAnsi="Consolas"/>
                <w:b w:val="0"/>
                <w:color w:val="1A1A1A"/>
                <w:sz w:val="16"/>
              </w:rPr>
              <w:t>SAP Fiori</w:t>
            </w:r>
          </w:p>
        </w:tc>
        <w:tc>
          <w:tcPr>
            <w:tcW w:type="dxa" w:w="1399"/>
          </w:tcPr>
          <w:p>
            <w:pPr>
              <w:spacing w:before="40" w:after="40"/>
            </w:pPr>
            <w:r/>
            <w:r>
              <w:rPr>
                <w:rFonts w:ascii="Consolas" w:hAnsi="Consolas"/>
                <w:b w:val="0"/>
                <w:color w:val="1A1A1A"/>
                <w:sz w:val="16"/>
              </w:rPr>
              <w:t>2 of 6</w:t>
            </w:r>
          </w:p>
        </w:tc>
        <w:tc>
          <w:tcPr>
            <w:tcW w:type="dxa" w:w="1399"/>
          </w:tcPr>
          <w:p>
            <w:pPr>
              <w:spacing w:before="40" w:after="40"/>
            </w:pPr>
            <w:r/>
            <w:r>
              <w:rPr>
                <w:rFonts w:ascii="Consolas" w:hAnsi="Consolas"/>
                <w:b w:val="0"/>
                <w:color w:val="1A1A1A"/>
                <w:sz w:val="16"/>
              </w:rPr>
              <w:t>RCAF0001024 red</w:t>
            </w:r>
          </w:p>
        </w:tc>
        <w:tc>
          <w:tcPr>
            <w:tcW w:type="dxa" w:w="1399"/>
          </w:tcPr>
          <w:p>
            <w:pPr>
              <w:spacing w:before="40" w:after="40"/>
            </w:pPr>
            <w:r/>
            <w:r>
              <w:rPr>
                <w:rFonts w:ascii="Consolas" w:hAnsi="Consolas"/>
                <w:b w:val="0"/>
                <w:color w:val="1A1A1A"/>
                <w:sz w:val="16"/>
              </w:rPr>
              <w:t>RCAF0001020 red</w:t>
            </w:r>
          </w:p>
        </w:tc>
        <w:tc>
          <w:tcPr>
            <w:tcW w:type="dxa" w:w="1399"/>
          </w:tcPr>
          <w:p>
            <w:pPr>
              <w:spacing w:before="40" w:after="40"/>
            </w:pPr>
            <w:r/>
            <w:r>
              <w:rPr>
                <w:rFonts w:ascii="Consolas" w:hAnsi="Consolas"/>
                <w:b w:val="0"/>
                <w:color w:val="1A1A1A"/>
                <w:sz w:val="16"/>
              </w:rPr>
              <w:t>RCAF0001022 green</w:t>
            </w:r>
          </w:p>
        </w:tc>
        <w:tc>
          <w:tcPr>
            <w:tcW w:type="dxa" w:w="1399"/>
          </w:tcPr>
          <w:p>
            <w:pPr>
              <w:spacing w:before="40" w:after="40"/>
            </w:pPr>
            <w:r/>
            <w:r>
              <w:rPr>
                <w:rFonts w:ascii="Consolas" w:hAnsi="Consolas"/>
                <w:b w:val="0"/>
                <w:color w:val="1A1A1A"/>
                <w:sz w:val="16"/>
              </w:rPr>
              <w:t>RCAF0001019 red</w:t>
            </w:r>
          </w:p>
        </w:tc>
        <w:tc>
          <w:tcPr>
            <w:tcW w:type="dxa" w:w="1399"/>
          </w:tcPr>
          <w:p>
            <w:pPr>
              <w:spacing w:before="40" w:after="40"/>
            </w:pPr>
            <w:r/>
            <w:r>
              <w:rPr>
                <w:rFonts w:ascii="Consolas" w:hAnsi="Consolas"/>
                <w:b w:val="0"/>
                <w:color w:val="1A1A1A"/>
                <w:sz w:val="16"/>
              </w:rPr>
              <w:t>RCAF0001021 green</w:t>
            </w:r>
          </w:p>
        </w:tc>
      </w:tr>
      <w:tr>
        <w:tc>
          <w:tcPr>
            <w:tcW w:type="dxa" w:w="1399"/>
          </w:tcPr>
          <w:p>
            <w:pPr>
              <w:spacing w:before="40" w:after="40"/>
            </w:pPr>
            <w:r/>
            <w:r>
              <w:rPr>
                <w:rFonts w:ascii="Consolas" w:hAnsi="Consolas"/>
                <w:b w:val="0"/>
                <w:color w:val="1A1A1A"/>
                <w:sz w:val="16"/>
              </w:rPr>
              <w:t>SAP HANA</w:t>
            </w:r>
          </w:p>
        </w:tc>
        <w:tc>
          <w:tcPr>
            <w:tcW w:type="dxa" w:w="1399"/>
          </w:tcPr>
          <w:p>
            <w:pPr>
              <w:spacing w:before="40" w:after="40"/>
            </w:pPr>
            <w:r/>
            <w:r>
              <w:rPr>
                <w:rFonts w:ascii="Consolas" w:hAnsi="Consolas"/>
                <w:b w:val="0"/>
                <w:color w:val="1A1A1A"/>
                <w:sz w:val="16"/>
              </w:rPr>
              <w:t>2 of 6</w:t>
            </w:r>
          </w:p>
        </w:tc>
        <w:tc>
          <w:tcPr>
            <w:tcW w:type="dxa" w:w="1399"/>
          </w:tcPr>
          <w:p>
            <w:pPr>
              <w:spacing w:before="40" w:after="40"/>
            </w:pPr>
            <w:r/>
            <w:r>
              <w:rPr>
                <w:rFonts w:ascii="Consolas" w:hAnsi="Consolas"/>
                <w:b w:val="0"/>
                <w:color w:val="1A1A1A"/>
                <w:sz w:val="16"/>
              </w:rPr>
              <w:t>RCAF0001042 green</w:t>
            </w:r>
          </w:p>
        </w:tc>
        <w:tc>
          <w:tcPr>
            <w:tcW w:type="dxa" w:w="1399"/>
          </w:tcPr>
          <w:p>
            <w:pPr>
              <w:spacing w:before="40" w:after="40"/>
            </w:pPr>
            <w:r/>
            <w:r>
              <w:rPr>
                <w:rFonts w:ascii="Consolas" w:hAnsi="Consolas"/>
                <w:b w:val="0"/>
                <w:color w:val="1A1A1A"/>
                <w:sz w:val="16"/>
              </w:rPr>
              <w:t>RCAF0001038 green</w:t>
            </w:r>
          </w:p>
        </w:tc>
        <w:tc>
          <w:tcPr>
            <w:tcW w:type="dxa" w:w="1399"/>
          </w:tcPr>
          <w:p>
            <w:pPr>
              <w:spacing w:before="40" w:after="40"/>
            </w:pPr>
            <w:r/>
            <w:r>
              <w:rPr>
                <w:rFonts w:ascii="Consolas" w:hAnsi="Consolas"/>
                <w:b w:val="0"/>
                <w:color w:val="1A1A1A"/>
                <w:sz w:val="16"/>
              </w:rPr>
              <w:t>RCAF0001040 red</w:t>
            </w:r>
          </w:p>
        </w:tc>
        <w:tc>
          <w:tcPr>
            <w:tcW w:type="dxa" w:w="1399"/>
          </w:tcPr>
          <w:p>
            <w:pPr>
              <w:spacing w:before="40" w:after="40"/>
            </w:pPr>
            <w:r/>
            <w:r>
              <w:rPr>
                <w:rFonts w:ascii="Consolas" w:hAnsi="Consolas"/>
                <w:b w:val="0"/>
                <w:color w:val="1A1A1A"/>
                <w:sz w:val="16"/>
              </w:rPr>
              <w:t>RCAF0001037 red</w:t>
            </w:r>
          </w:p>
        </w:tc>
        <w:tc>
          <w:tcPr>
            <w:tcW w:type="dxa" w:w="1399"/>
          </w:tcPr>
          <w:p>
            <w:pPr>
              <w:spacing w:before="40" w:after="40"/>
            </w:pPr>
            <w:r/>
            <w:r>
              <w:rPr>
                <w:rFonts w:ascii="Consolas" w:hAnsi="Consolas"/>
                <w:b w:val="0"/>
                <w:color w:val="1A1A1A"/>
                <w:sz w:val="16"/>
              </w:rPr>
              <w:t>RCAF0001039 red</w:t>
            </w:r>
          </w:p>
        </w:tc>
      </w:tr>
      <w:tr>
        <w:tc>
          <w:tcPr>
            <w:tcW w:type="dxa" w:w="1399"/>
          </w:tcPr>
          <w:p>
            <w:pPr>
              <w:spacing w:before="40" w:after="40"/>
            </w:pPr>
            <w:r/>
            <w:r>
              <w:rPr>
                <w:rFonts w:ascii="Consolas" w:hAnsi="Consolas"/>
                <w:b w:val="0"/>
                <w:color w:val="1A1A1A"/>
                <w:sz w:val="16"/>
              </w:rPr>
              <w:t>Zscalar App</w:t>
            </w:r>
          </w:p>
        </w:tc>
        <w:tc>
          <w:tcPr>
            <w:tcW w:type="dxa" w:w="1399"/>
          </w:tcPr>
          <w:p>
            <w:pPr>
              <w:spacing w:before="40" w:after="40"/>
            </w:pPr>
            <w:r/>
            <w:r>
              <w:rPr>
                <w:rFonts w:ascii="Consolas" w:hAnsi="Consolas"/>
                <w:b w:val="0"/>
                <w:color w:val="1A1A1A"/>
                <w:sz w:val="16"/>
              </w:rPr>
              <w:t>Compliant</w:t>
            </w:r>
          </w:p>
        </w:tc>
        <w:tc>
          <w:tcPr>
            <w:tcW w:type="dxa" w:w="1399"/>
          </w:tcPr>
          <w:p>
            <w:pPr>
              <w:spacing w:before="40" w:after="40"/>
            </w:pPr>
            <w:r/>
            <w:r>
              <w:rPr>
                <w:rFonts w:ascii="Consolas" w:hAnsi="Consolas"/>
                <w:b w:val="0"/>
                <w:color w:val="1A1A1A"/>
                <w:sz w:val="16"/>
              </w:rPr>
              <w:t>RCAF0001036 green</w:t>
            </w:r>
          </w:p>
        </w:tc>
        <w:tc>
          <w:tcPr>
            <w:tcW w:type="dxa" w:w="1399"/>
          </w:tcPr>
          <w:p>
            <w:pPr>
              <w:spacing w:before="40" w:after="40"/>
            </w:pPr>
            <w:r/>
            <w:r>
              <w:rPr>
                <w:rFonts w:ascii="Consolas" w:hAnsi="Consolas"/>
                <w:b w:val="0"/>
                <w:color w:val="1A1A1A"/>
                <w:sz w:val="16"/>
              </w:rPr>
              <w:t>RCAF0001032 green</w:t>
            </w:r>
          </w:p>
        </w:tc>
        <w:tc>
          <w:tcPr>
            <w:tcW w:type="dxa" w:w="1399"/>
          </w:tcPr>
          <w:p>
            <w:pPr>
              <w:spacing w:before="40" w:after="40"/>
            </w:pPr>
            <w:r/>
            <w:r>
              <w:rPr>
                <w:rFonts w:ascii="Consolas" w:hAnsi="Consolas"/>
                <w:b w:val="0"/>
                <w:color w:val="1A1A1A"/>
                <w:sz w:val="16"/>
              </w:rPr>
              <w:t>RCAF0001034 green</w:t>
            </w:r>
          </w:p>
        </w:tc>
        <w:tc>
          <w:tcPr>
            <w:tcW w:type="dxa" w:w="1399"/>
          </w:tcPr>
          <w:p>
            <w:pPr>
              <w:spacing w:before="40" w:after="40"/>
            </w:pPr>
            <w:r/>
            <w:r>
              <w:rPr>
                <w:rFonts w:ascii="Consolas" w:hAnsi="Consolas"/>
                <w:b w:val="0"/>
                <w:color w:val="1A1A1A"/>
                <w:sz w:val="16"/>
              </w:rPr>
              <w:t>RCAF0001031 green</w:t>
            </w:r>
          </w:p>
        </w:tc>
        <w:tc>
          <w:tcPr>
            <w:tcW w:type="dxa" w:w="1399"/>
          </w:tcPr>
          <w:p>
            <w:pPr>
              <w:spacing w:before="40" w:after="40"/>
            </w:pPr>
            <w:r/>
            <w:r>
              <w:rPr>
                <w:rFonts w:ascii="Consolas" w:hAnsi="Consolas"/>
                <w:b w:val="0"/>
                <w:color w:val="1A1A1A"/>
                <w:sz w:val="16"/>
              </w:rPr>
              <w:t>RCAF0001033 green</w:t>
            </w:r>
          </w:p>
        </w:tc>
      </w:tr>
    </w:tbl>
    <w:p>
      <w:pPr>
        <w:spacing w:after="200"/>
      </w:pPr>
      <w:r>
        <w:rPr>
          <w:i/>
          <w:color w:val="606676"/>
          <w:sz w:val="15"/>
        </w:rPr>
        <w:t>1 further column(s) not shown. Full data in the run JSON.</w:t>
      </w:r>
    </w:p>
    <w:p>
      <w:pPr>
        <w:spacing w:after="20"/>
      </w:pPr>
      <w:r>
        <w:rPr>
          <w:i w:val="0"/>
          <w:color w:val="000724"/>
          <w:sz w:val="20"/>
        </w:rPr>
        <w:t>ServiceNow /caf portal grid</w:t>
      </w:r>
    </w:p>
    <w:p>
      <w:pPr>
        <w:spacing w:after="60"/>
      </w:pPr>
      <w:r>
        <w:rPr>
          <w:rFonts w:ascii="Consolas" w:hAnsi="Consolas"/>
          <w:i w:val="0"/>
          <w:color w:val="606676"/>
          <w:sz w:val="16"/>
        </w:rPr>
        <w:t>caf_apps   ·   /caf?id=caf_apps</w:t>
      </w:r>
    </w:p>
    <w:tbl>
      <w:tblPr>
        <w:tblStyle w:val="TableGrid"/>
        <w:tblW w:type="auto" w:w="0"/>
        <w:tblLook w:firstColumn="1" w:firstRow="1" w:lastColumn="0" w:lastRow="0" w:noHBand="0" w:noVBand="1" w:val="04A0"/>
      </w:tblPr>
      <w:tblGrid>
        <w:gridCol w:w="4896"/>
        <w:gridCol w:w="4896"/>
      </w:tblGrid>
      <w:tr>
        <w:tc>
          <w:tcPr>
            <w:tcW w:type="dxa" w:w="4896"/>
            <w:shd w:val="clear" w:color="auto" w:fill="0A3176"/>
          </w:tcPr>
          <w:p>
            <w:pPr>
              <w:spacing w:before="40" w:after="40"/>
            </w:pPr>
            <w:r/>
            <w:r>
              <w:rPr>
                <w:rFonts w:ascii="Consolas" w:hAnsi="Consolas"/>
                <w:b/>
                <w:color w:val="FFFFFF"/>
                <w:sz w:val="16"/>
              </w:rPr>
              <w:t>application</w:t>
            </w:r>
          </w:p>
        </w:tc>
        <w:tc>
          <w:tcPr>
            <w:tcW w:type="dxa" w:w="4896"/>
            <w:shd w:val="clear" w:color="auto" w:fill="0A3176"/>
          </w:tcPr>
          <w:p>
            <w:pPr>
              <w:spacing w:before="40" w:after="40"/>
            </w:pPr>
            <w:r/>
            <w:r>
              <w:rPr>
                <w:rFonts w:ascii="Consolas" w:hAnsi="Consolas"/>
                <w:b/>
                <w:color w:val="FFFFFF"/>
                <w:sz w:val="16"/>
              </w:rPr>
              <w:t>overall</w:t>
            </w:r>
          </w:p>
        </w:tc>
      </w:tr>
      <w:tr>
        <w:tc>
          <w:tcPr>
            <w:tcW w:type="dxa" w:w="4896"/>
          </w:tcPr>
          <w:p>
            <w:pPr>
              <w:spacing w:before="40" w:after="40"/>
            </w:pPr>
            <w:r/>
            <w:r>
              <w:rPr>
                <w:rFonts w:ascii="Consolas" w:hAnsi="Consolas"/>
                <w:b w:val="0"/>
                <w:color w:val="1A1A1A"/>
                <w:sz w:val="16"/>
              </w:rPr>
              <w:t>SAP HANA</w:t>
            </w:r>
          </w:p>
        </w:tc>
        <w:tc>
          <w:tcPr>
            <w:tcW w:type="dxa" w:w="4896"/>
          </w:tcPr>
          <w:p>
            <w:pPr>
              <w:spacing w:before="40" w:after="40"/>
            </w:pPr>
            <w:r/>
            <w:r>
              <w:rPr>
                <w:rFonts w:ascii="Consolas" w:hAnsi="Consolas"/>
                <w:b w:val="0"/>
                <w:color w:val="1A1A1A"/>
                <w:sz w:val="16"/>
              </w:rPr>
              <w:t>Compliant</w:t>
            </w:r>
          </w:p>
        </w:tc>
      </w:tr>
      <w:tr>
        <w:tc>
          <w:tcPr>
            <w:tcW w:type="dxa" w:w="4896"/>
          </w:tcPr>
          <w:p>
            <w:pPr>
              <w:spacing w:before="40" w:after="40"/>
            </w:pPr>
            <w:r/>
            <w:r>
              <w:rPr>
                <w:rFonts w:ascii="Consolas" w:hAnsi="Consolas"/>
                <w:b w:val="0"/>
                <w:color w:val="1A1A1A"/>
                <w:sz w:val="16"/>
              </w:rPr>
              <w:t>SAP Fiori</w:t>
            </w:r>
          </w:p>
        </w:tc>
        <w:tc>
          <w:tcPr>
            <w:tcW w:type="dxa" w:w="4896"/>
          </w:tcPr>
          <w:p>
            <w:pPr>
              <w:spacing w:before="40" w:after="40"/>
            </w:pPr>
            <w:r/>
            <w:r>
              <w:rPr>
                <w:rFonts w:ascii="Consolas" w:hAnsi="Consolas"/>
                <w:b w:val="0"/>
                <w:color w:val="1A1A1A"/>
                <w:sz w:val="16"/>
              </w:rPr>
              <w:t>Compliant</w:t>
            </w:r>
          </w:p>
        </w:tc>
      </w:tr>
      <w:tr>
        <w:tc>
          <w:tcPr>
            <w:tcW w:type="dxa" w:w="4896"/>
          </w:tcPr>
          <w:p>
            <w:pPr>
              <w:spacing w:before="40" w:after="40"/>
            </w:pPr>
            <w:r/>
            <w:r>
              <w:rPr>
                <w:rFonts w:ascii="Consolas" w:hAnsi="Consolas"/>
                <w:b w:val="0"/>
                <w:color w:val="1A1A1A"/>
                <w:sz w:val="16"/>
              </w:rPr>
            </w:r>
          </w:p>
        </w:tc>
        <w:tc>
          <w:tcPr>
            <w:tcW w:type="dxa" w:w="4896"/>
          </w:tcPr>
          <w:p>
            <w:pPr>
              <w:spacing w:before="40" w:after="40"/>
            </w:pPr>
            <w:r/>
            <w:r>
              <w:rPr>
                <w:rFonts w:ascii="Consolas" w:hAnsi="Consolas"/>
                <w:b w:val="0"/>
                <w:color w:val="1A1A1A"/>
                <w:sz w:val="16"/>
              </w:rPr>
              <w:t>Out of compliance</w:t>
            </w:r>
          </w:p>
        </w:tc>
      </w:tr>
      <w:tr>
        <w:tc>
          <w:tcPr>
            <w:tcW w:type="dxa" w:w="4896"/>
          </w:tcPr>
          <w:p>
            <w:pPr>
              <w:spacing w:before="40" w:after="40"/>
            </w:pPr>
            <w:r/>
            <w:r>
              <w:rPr>
                <w:rFonts w:ascii="Consolas" w:hAnsi="Consolas"/>
                <w:b w:val="0"/>
                <w:color w:val="1A1A1A"/>
                <w:sz w:val="16"/>
              </w:rPr>
              <w:t>Zscalar App</w:t>
            </w:r>
          </w:p>
        </w:tc>
        <w:tc>
          <w:tcPr>
            <w:tcW w:type="dxa" w:w="4896"/>
          </w:tcPr>
          <w:p>
            <w:pPr>
              <w:spacing w:before="40" w:after="40"/>
            </w:pPr>
            <w:r/>
            <w:r>
              <w:rPr>
                <w:rFonts w:ascii="Consolas" w:hAnsi="Consolas"/>
                <w:b w:val="0"/>
                <w:color w:val="1A1A1A"/>
                <w:sz w:val="16"/>
              </w:rPr>
              <w:t>Compliant</w:t>
            </w:r>
          </w:p>
        </w:tc>
      </w:tr>
      <w:tr>
        <w:tc>
          <w:tcPr>
            <w:tcW w:type="dxa" w:w="4896"/>
          </w:tcPr>
          <w:p>
            <w:pPr>
              <w:spacing w:before="40" w:after="40"/>
            </w:pPr>
            <w:r/>
            <w:r>
              <w:rPr>
                <w:rFonts w:ascii="Consolas" w:hAnsi="Consolas"/>
                <w:b w:val="0"/>
                <w:color w:val="1A1A1A"/>
                <w:sz w:val="16"/>
              </w:rPr>
              <w:t>Test1</w:t>
            </w:r>
          </w:p>
        </w:tc>
        <w:tc>
          <w:tcPr>
            <w:tcW w:type="dxa" w:w="4896"/>
          </w:tcPr>
          <w:p>
            <w:pPr>
              <w:spacing w:before="40" w:after="40"/>
            </w:pPr>
            <w:r/>
            <w:r>
              <w:rPr>
                <w:rFonts w:ascii="Consolas" w:hAnsi="Consolas"/>
                <w:b w:val="0"/>
                <w:color w:val="1A1A1A"/>
                <w:sz w:val="16"/>
              </w:rPr>
              <w:t>Out of compliance</w:t>
            </w:r>
          </w:p>
        </w:tc>
      </w:tr>
      <w:tr>
        <w:tc>
          <w:tcPr>
            <w:tcW w:type="dxa" w:w="4896"/>
          </w:tcPr>
          <w:p>
            <w:pPr>
              <w:spacing w:before="40" w:after="40"/>
            </w:pPr>
            <w:r/>
            <w:r>
              <w:rPr>
                <w:rFonts w:ascii="Consolas" w:hAnsi="Consolas"/>
                <w:b w:val="0"/>
                <w:color w:val="1A1A1A"/>
                <w:sz w:val="16"/>
              </w:rPr>
              <w:t>Zoho Email</w:t>
            </w:r>
          </w:p>
        </w:tc>
        <w:tc>
          <w:tcPr>
            <w:tcW w:type="dxa" w:w="4896"/>
          </w:tcPr>
          <w:p>
            <w:pPr>
              <w:spacing w:before="40" w:after="40"/>
            </w:pPr>
            <w:r/>
            <w:r>
              <w:rPr>
                <w:rFonts w:ascii="Consolas" w:hAnsi="Consolas"/>
                <w:b w:val="0"/>
                <w:color w:val="1A1A1A"/>
                <w:sz w:val="16"/>
              </w:rPr>
              <w:t>Out of compliance</w:t>
            </w:r>
          </w:p>
        </w:tc>
      </w:tr>
      <w:tr>
        <w:tc>
          <w:tcPr>
            <w:tcW w:type="dxa" w:w="4896"/>
          </w:tcPr>
          <w:p>
            <w:pPr>
              <w:spacing w:before="40" w:after="40"/>
            </w:pPr>
            <w:r/>
            <w:r>
              <w:rPr>
                <w:rFonts w:ascii="Consolas" w:hAnsi="Consolas"/>
                <w:b w:val="0"/>
                <w:color w:val="1A1A1A"/>
                <w:sz w:val="16"/>
              </w:rPr>
              <w:t>Test Tier 1 app</w:t>
            </w:r>
          </w:p>
        </w:tc>
        <w:tc>
          <w:tcPr>
            <w:tcW w:type="dxa" w:w="4896"/>
          </w:tcPr>
          <w:p>
            <w:pPr>
              <w:spacing w:before="40" w:after="40"/>
            </w:pPr>
            <w:r/>
            <w:r>
              <w:rPr>
                <w:rFonts w:ascii="Consolas" w:hAnsi="Consolas"/>
                <w:b w:val="0"/>
                <w:color w:val="1A1A1A"/>
                <w:sz w:val="16"/>
              </w:rPr>
              <w:t>Out of compliance</w:t>
            </w:r>
          </w:p>
        </w:tc>
      </w:tr>
      <w:tr>
        <w:tc>
          <w:tcPr>
            <w:tcW w:type="dxa" w:w="4896"/>
          </w:tcPr>
          <w:p>
            <w:pPr>
              <w:spacing w:before="40" w:after="40"/>
            </w:pPr>
            <w:r/>
            <w:r>
              <w:rPr>
                <w:rFonts w:ascii="Consolas" w:hAnsi="Consolas"/>
                <w:b w:val="0"/>
                <w:color w:val="1A1A1A"/>
                <w:sz w:val="16"/>
              </w:rPr>
              <w:t>PeopleSoft CRM</w:t>
            </w:r>
          </w:p>
        </w:tc>
        <w:tc>
          <w:tcPr>
            <w:tcW w:type="dxa" w:w="4896"/>
          </w:tcPr>
          <w:p>
            <w:pPr>
              <w:spacing w:before="40" w:after="40"/>
            </w:pPr>
            <w:r/>
            <w:r>
              <w:rPr>
                <w:rFonts w:ascii="Consolas" w:hAnsi="Consolas"/>
                <w:b w:val="0"/>
                <w:color w:val="1A1A1A"/>
                <w:sz w:val="16"/>
              </w:rPr>
              <w:t>Out of compliance</w:t>
            </w:r>
          </w:p>
        </w:tc>
      </w:tr>
      <w:tr>
        <w:tc>
          <w:tcPr>
            <w:tcW w:type="dxa" w:w="4896"/>
          </w:tcPr>
          <w:p>
            <w:pPr>
              <w:spacing w:before="40" w:after="40"/>
            </w:pPr>
            <w:r/>
            <w:r>
              <w:rPr>
                <w:rFonts w:ascii="Consolas" w:hAnsi="Consolas"/>
                <w:b w:val="0"/>
                <w:color w:val="1A1A1A"/>
                <w:sz w:val="16"/>
              </w:rPr>
              <w:t>Outlook Web Access (OWA)</w:t>
            </w:r>
          </w:p>
        </w:tc>
        <w:tc>
          <w:tcPr>
            <w:tcW w:type="dxa" w:w="4896"/>
          </w:tcPr>
          <w:p>
            <w:pPr>
              <w:spacing w:before="40" w:after="40"/>
            </w:pPr>
            <w:r/>
            <w:r>
              <w:rPr>
                <w:rFonts w:ascii="Consolas" w:hAnsi="Consolas"/>
                <w:b w:val="0"/>
                <w:color w:val="1A1A1A"/>
                <w:sz w:val="16"/>
              </w:rPr>
              <w:t>Out of compliance</w:t>
            </w:r>
          </w:p>
        </w:tc>
      </w:tr>
      <w:tr>
        <w:tc>
          <w:tcPr>
            <w:tcW w:type="dxa" w:w="4896"/>
          </w:tcPr>
          <w:p>
            <w:pPr>
              <w:spacing w:before="40" w:after="40"/>
            </w:pPr>
            <w:r/>
            <w:r>
              <w:rPr>
                <w:rFonts w:ascii="Consolas" w:hAnsi="Consolas"/>
                <w:b w:val="0"/>
                <w:color w:val="1A1A1A"/>
                <w:sz w:val="16"/>
              </w:rPr>
              <w:t>PeopleSoft HRMS</w:t>
            </w:r>
          </w:p>
        </w:tc>
        <w:tc>
          <w:tcPr>
            <w:tcW w:type="dxa" w:w="4896"/>
          </w:tcPr>
          <w:p>
            <w:pPr>
              <w:spacing w:before="40" w:after="40"/>
            </w:pPr>
            <w:r/>
            <w:r>
              <w:rPr>
                <w:rFonts w:ascii="Consolas" w:hAnsi="Consolas"/>
                <w:b w:val="0"/>
                <w:color w:val="1A1A1A"/>
                <w:sz w:val="16"/>
              </w:rPr>
              <w:t>Out of compliance</w:t>
            </w:r>
          </w:p>
        </w:tc>
      </w:tr>
      <w:tr>
        <w:tc>
          <w:tcPr>
            <w:tcW w:type="dxa" w:w="4896"/>
          </w:tcPr>
          <w:p>
            <w:pPr>
              <w:spacing w:before="40" w:after="40"/>
            </w:pPr>
            <w:r/>
            <w:r>
              <w:rPr>
                <w:rFonts w:ascii="Consolas" w:hAnsi="Consolas"/>
                <w:b w:val="0"/>
                <w:color w:val="1A1A1A"/>
                <w:sz w:val="16"/>
              </w:rPr>
              <w:t>Retail Adding Points</w:t>
            </w:r>
          </w:p>
        </w:tc>
        <w:tc>
          <w:tcPr>
            <w:tcW w:type="dxa" w:w="4896"/>
          </w:tcPr>
          <w:p>
            <w:pPr>
              <w:spacing w:before="40" w:after="40"/>
            </w:pPr>
            <w:r/>
            <w:r>
              <w:rPr>
                <w:rFonts w:ascii="Consolas" w:hAnsi="Consolas"/>
                <w:b w:val="0"/>
                <w:color w:val="1A1A1A"/>
                <w:sz w:val="16"/>
              </w:rPr>
              <w:t>Not initiated</w:t>
            </w:r>
          </w:p>
        </w:tc>
      </w:tr>
      <w:tr>
        <w:tc>
          <w:tcPr>
            <w:tcW w:type="dxa" w:w="4896"/>
          </w:tcPr>
          <w:p>
            <w:pPr>
              <w:spacing w:before="40" w:after="40"/>
            </w:pPr>
            <w:r/>
            <w:r>
              <w:rPr>
                <w:rFonts w:ascii="Consolas" w:hAnsi="Consolas"/>
                <w:b w:val="0"/>
                <w:color w:val="1A1A1A"/>
                <w:sz w:val="16"/>
              </w:rPr>
              <w:t>Electronic Messaging</w:t>
            </w:r>
          </w:p>
        </w:tc>
        <w:tc>
          <w:tcPr>
            <w:tcW w:type="dxa" w:w="4896"/>
          </w:tcPr>
          <w:p>
            <w:pPr>
              <w:spacing w:before="40" w:after="40"/>
            </w:pPr>
            <w:r/>
            <w:r>
              <w:rPr>
                <w:rFonts w:ascii="Consolas" w:hAnsi="Consolas"/>
                <w:b w:val="0"/>
                <w:color w:val="1A1A1A"/>
                <w:sz w:val="16"/>
              </w:rPr>
              <w:t>Not initiated</w:t>
            </w:r>
          </w:p>
        </w:tc>
      </w:tr>
      <w:tr>
        <w:tc>
          <w:tcPr>
            <w:tcW w:type="dxa" w:w="4896"/>
          </w:tcPr>
          <w:p>
            <w:pPr>
              <w:spacing w:before="40" w:after="40"/>
            </w:pPr>
            <w:r/>
            <w:r>
              <w:rPr>
                <w:rFonts w:ascii="Consolas" w:hAnsi="Consolas"/>
                <w:b w:val="0"/>
                <w:color w:val="1A1A1A"/>
                <w:sz w:val="16"/>
              </w:rPr>
              <w:t>Retail Client Registration</w:t>
            </w:r>
          </w:p>
        </w:tc>
        <w:tc>
          <w:tcPr>
            <w:tcW w:type="dxa" w:w="4896"/>
          </w:tcPr>
          <w:p>
            <w:pPr>
              <w:spacing w:before="40" w:after="40"/>
            </w:pPr>
            <w:r/>
            <w:r>
              <w:rPr>
                <w:rFonts w:ascii="Consolas" w:hAnsi="Consolas"/>
                <w:b w:val="0"/>
                <w:color w:val="1A1A1A"/>
                <w:sz w:val="16"/>
              </w:rPr>
              <w:t>Not initiated</w:t>
            </w:r>
          </w:p>
        </w:tc>
      </w:tr>
      <w:tr>
        <w:tc>
          <w:tcPr>
            <w:tcW w:type="dxa" w:w="4896"/>
          </w:tcPr>
          <w:p>
            <w:pPr>
              <w:spacing w:before="40" w:after="40"/>
            </w:pPr>
            <w:r/>
            <w:r>
              <w:rPr>
                <w:rFonts w:ascii="Consolas" w:hAnsi="Consolas"/>
                <w:b w:val="0"/>
                <w:color w:val="1A1A1A"/>
                <w:sz w:val="16"/>
              </w:rPr>
              <w:t>SAP HANA</w:t>
            </w:r>
          </w:p>
        </w:tc>
        <w:tc>
          <w:tcPr>
            <w:tcW w:type="dxa" w:w="4896"/>
          </w:tcPr>
          <w:p>
            <w:pPr>
              <w:spacing w:before="40" w:after="40"/>
            </w:pPr>
            <w:r/>
            <w:r>
              <w:rPr>
                <w:rFonts w:ascii="Consolas" w:hAnsi="Consolas"/>
                <w:b w:val="0"/>
                <w:color w:val="1A1A1A"/>
                <w:sz w:val="16"/>
              </w:rPr>
              <w:t>Not initiated</w:t>
            </w:r>
          </w:p>
        </w:tc>
      </w:tr>
    </w:tbl>
    <w:p>
      <w:pPr>
        <w:spacing w:after="200"/>
      </w:pPr>
      <w:r>
        <w:rPr>
          <w:i/>
          <w:color w:val="606676"/>
          <w:sz w:val="15"/>
        </w:rPr>
        <w:t>48 further row(s) not shown. Full data in the run JSON.</w:t>
      </w:r>
    </w:p>
    <w:p>
      <w:pPr>
        <w:spacing w:after="20"/>
      </w:pPr>
      <w:r>
        <w:rPr>
          <w:i w:val="0"/>
          <w:color w:val="000724"/>
          <w:sz w:val="20"/>
        </w:rPr>
        <w:t>caf_req.caf_status — the system of record</w:t>
      </w:r>
    </w:p>
    <w:p>
      <w:pPr>
        <w:spacing w:after="60"/>
      </w:pPr>
      <w:r>
        <w:rPr>
          <w:rFonts w:ascii="Consolas" w:hAnsi="Consolas"/>
          <w:i w:val="0"/>
          <w:color w:val="606676"/>
          <w:sz w:val="16"/>
        </w:rPr>
        <w:t>x_gskn2_caf_compli_caf_req   ·   cnit get x_gskn2_caf_compli_caf_req -Fields number,caf_status -ProfileName caf-reyan</w:t>
      </w:r>
    </w:p>
    <w:tbl>
      <w:tblPr>
        <w:tblStyle w:val="TableGrid"/>
        <w:tblW w:type="auto" w:w="0"/>
        <w:tblLook w:firstColumn="1" w:firstRow="1" w:lastColumn="0" w:lastRow="0" w:noHBand="0" w:noVBand="1" w:val="04A0"/>
      </w:tblPr>
      <w:tblGrid>
        <w:gridCol w:w="3264"/>
        <w:gridCol w:w="3264"/>
        <w:gridCol w:w="3264"/>
      </w:tblGrid>
      <w:tr>
        <w:tc>
          <w:tcPr>
            <w:tcW w:type="dxa" w:w="3264"/>
            <w:shd w:val="clear" w:color="auto" w:fill="0A3176"/>
          </w:tcPr>
          <w:p>
            <w:pPr>
              <w:spacing w:before="40" w:after="40"/>
            </w:pPr>
            <w:r/>
            <w:r>
              <w:rPr>
                <w:rFonts w:ascii="Consolas" w:hAnsi="Consolas"/>
                <w:b/>
                <w:color w:val="FFFFFF"/>
                <w:sz w:val="16"/>
              </w:rPr>
              <w:t>number</w:t>
            </w:r>
          </w:p>
        </w:tc>
        <w:tc>
          <w:tcPr>
            <w:tcW w:type="dxa" w:w="3264"/>
            <w:shd w:val="clear" w:color="auto" w:fill="0A3176"/>
          </w:tcPr>
          <w:p>
            <w:pPr>
              <w:spacing w:before="40" w:after="40"/>
            </w:pPr>
            <w:r/>
            <w:r>
              <w:rPr>
                <w:rFonts w:ascii="Consolas" w:hAnsi="Consolas"/>
                <w:b/>
                <w:color w:val="FFFFFF"/>
                <w:sz w:val="16"/>
              </w:rPr>
              <w:t>application</w:t>
            </w:r>
          </w:p>
        </w:tc>
        <w:tc>
          <w:tcPr>
            <w:tcW w:type="dxa" w:w="3264"/>
            <w:shd w:val="clear" w:color="auto" w:fill="0A3176"/>
          </w:tcPr>
          <w:p>
            <w:pPr>
              <w:spacing w:before="40" w:after="40"/>
            </w:pPr>
            <w:r/>
            <w:r>
              <w:rPr>
                <w:rFonts w:ascii="Consolas" w:hAnsi="Consolas"/>
                <w:b/>
                <w:color w:val="FFFFFF"/>
                <w:sz w:val="16"/>
              </w:rPr>
              <w:t>caf_status</w:t>
            </w:r>
          </w:p>
        </w:tc>
      </w:tr>
      <w:tr>
        <w:tc>
          <w:tcPr>
            <w:tcW w:type="dxa" w:w="3264"/>
          </w:tcPr>
          <w:p>
            <w:pPr>
              <w:spacing w:before="40" w:after="40"/>
            </w:pPr>
            <w:r/>
            <w:r>
              <w:rPr>
                <w:rFonts w:ascii="Consolas" w:hAnsi="Consolas"/>
                <w:b w:val="0"/>
                <w:color w:val="1A1A1A"/>
                <w:sz w:val="16"/>
              </w:rPr>
              <w:t>RCAF0001032</w:t>
            </w:r>
          </w:p>
        </w:tc>
        <w:tc>
          <w:tcPr>
            <w:tcW w:type="dxa" w:w="3264"/>
          </w:tcPr>
          <w:p>
            <w:pPr>
              <w:spacing w:before="40" w:after="40"/>
            </w:pPr>
            <w:r/>
            <w:r>
              <w:rPr>
                <w:rFonts w:ascii="Consolas" w:hAnsi="Consolas"/>
                <w:b w:val="0"/>
                <w:color w:val="1A1A1A"/>
                <w:sz w:val="16"/>
              </w:rPr>
              <w:t>Zscalar App</w:t>
            </w:r>
          </w:p>
        </w:tc>
        <w:tc>
          <w:tcPr>
            <w:tcW w:type="dxa" w:w="3264"/>
          </w:tcPr>
          <w:p>
            <w:pPr>
              <w:spacing w:before="40" w:after="40"/>
            </w:pPr>
            <w:r/>
            <w:r>
              <w:rPr>
                <w:rFonts w:ascii="Consolas" w:hAnsi="Consolas"/>
                <w:b w:val="0"/>
                <w:color w:val="1A1A1A"/>
                <w:sz w:val="16"/>
              </w:rPr>
              <w:t>in_compliance</w:t>
            </w:r>
          </w:p>
        </w:tc>
      </w:tr>
      <w:tr>
        <w:tc>
          <w:tcPr>
            <w:tcW w:type="dxa" w:w="3264"/>
          </w:tcPr>
          <w:p>
            <w:pPr>
              <w:spacing w:before="40" w:after="40"/>
            </w:pPr>
            <w:r/>
            <w:r>
              <w:rPr>
                <w:rFonts w:ascii="Consolas" w:hAnsi="Consolas"/>
                <w:b w:val="0"/>
                <w:color w:val="1A1A1A"/>
                <w:sz w:val="16"/>
              </w:rPr>
              <w:t>RCAF0001033</w:t>
            </w:r>
          </w:p>
        </w:tc>
        <w:tc>
          <w:tcPr>
            <w:tcW w:type="dxa" w:w="3264"/>
          </w:tcPr>
          <w:p>
            <w:pPr>
              <w:spacing w:before="40" w:after="40"/>
            </w:pPr>
            <w:r/>
            <w:r>
              <w:rPr>
                <w:rFonts w:ascii="Consolas" w:hAnsi="Consolas"/>
                <w:b w:val="0"/>
                <w:color w:val="1A1A1A"/>
                <w:sz w:val="16"/>
              </w:rPr>
              <w:t>Zscalar App</w:t>
            </w:r>
          </w:p>
        </w:tc>
        <w:tc>
          <w:tcPr>
            <w:tcW w:type="dxa" w:w="3264"/>
          </w:tcPr>
          <w:p>
            <w:pPr>
              <w:spacing w:before="40" w:after="40"/>
            </w:pPr>
            <w:r/>
            <w:r>
              <w:rPr>
                <w:rFonts w:ascii="Consolas" w:hAnsi="Consolas"/>
                <w:b w:val="0"/>
                <w:color w:val="1A1A1A"/>
                <w:sz w:val="16"/>
              </w:rPr>
              <w:t>in_compliance</w:t>
            </w:r>
          </w:p>
        </w:tc>
      </w:tr>
      <w:tr>
        <w:tc>
          <w:tcPr>
            <w:tcW w:type="dxa" w:w="3264"/>
          </w:tcPr>
          <w:p>
            <w:pPr>
              <w:spacing w:before="40" w:after="40"/>
            </w:pPr>
            <w:r/>
            <w:r>
              <w:rPr>
                <w:rFonts w:ascii="Consolas" w:hAnsi="Consolas"/>
                <w:b w:val="0"/>
                <w:color w:val="1A1A1A"/>
                <w:sz w:val="16"/>
              </w:rPr>
              <w:t>RCAF0001034</w:t>
            </w:r>
          </w:p>
        </w:tc>
        <w:tc>
          <w:tcPr>
            <w:tcW w:type="dxa" w:w="3264"/>
          </w:tcPr>
          <w:p>
            <w:pPr>
              <w:spacing w:before="40" w:after="40"/>
            </w:pPr>
            <w:r/>
            <w:r>
              <w:rPr>
                <w:rFonts w:ascii="Consolas" w:hAnsi="Consolas"/>
                <w:b w:val="0"/>
                <w:color w:val="1A1A1A"/>
                <w:sz w:val="16"/>
              </w:rPr>
              <w:t>Zscalar App</w:t>
            </w:r>
          </w:p>
        </w:tc>
        <w:tc>
          <w:tcPr>
            <w:tcW w:type="dxa" w:w="3264"/>
          </w:tcPr>
          <w:p>
            <w:pPr>
              <w:spacing w:before="40" w:after="40"/>
            </w:pPr>
            <w:r/>
            <w:r>
              <w:rPr>
                <w:rFonts w:ascii="Consolas" w:hAnsi="Consolas"/>
                <w:b w:val="0"/>
                <w:color w:val="1A1A1A"/>
                <w:sz w:val="16"/>
              </w:rPr>
              <w:t>in_compliance</w:t>
            </w:r>
          </w:p>
        </w:tc>
      </w:tr>
      <w:tr>
        <w:tc>
          <w:tcPr>
            <w:tcW w:type="dxa" w:w="3264"/>
          </w:tcPr>
          <w:p>
            <w:pPr>
              <w:spacing w:before="40" w:after="40"/>
            </w:pPr>
            <w:r/>
            <w:r>
              <w:rPr>
                <w:rFonts w:ascii="Consolas" w:hAnsi="Consolas"/>
                <w:b w:val="0"/>
                <w:color w:val="1A1A1A"/>
                <w:sz w:val="16"/>
              </w:rPr>
              <w:t>RCAF0001039</w:t>
            </w:r>
          </w:p>
        </w:tc>
        <w:tc>
          <w:tcPr>
            <w:tcW w:type="dxa" w:w="3264"/>
          </w:tcPr>
          <w:p>
            <w:pPr>
              <w:spacing w:before="40" w:after="40"/>
            </w:pPr>
            <w:r/>
            <w:r>
              <w:rPr>
                <w:rFonts w:ascii="Consolas" w:hAnsi="Consolas"/>
                <w:b w:val="0"/>
                <w:color w:val="1A1A1A"/>
                <w:sz w:val="16"/>
              </w:rPr>
              <w:t>SAP HANA</w:t>
            </w:r>
          </w:p>
        </w:tc>
        <w:tc>
          <w:tcPr>
            <w:tcW w:type="dxa" w:w="3264"/>
          </w:tcPr>
          <w:p>
            <w:pPr>
              <w:spacing w:before="40" w:after="40"/>
            </w:pPr>
            <w:r/>
            <w:r>
              <w:rPr>
                <w:rFonts w:ascii="Consolas" w:hAnsi="Consolas"/>
                <w:b w:val="0"/>
                <w:color w:val="1A1A1A"/>
                <w:sz w:val="16"/>
              </w:rPr>
              <w:t>out_of_compliance</w:t>
            </w:r>
          </w:p>
        </w:tc>
      </w:tr>
      <w:tr>
        <w:tc>
          <w:tcPr>
            <w:tcW w:type="dxa" w:w="3264"/>
          </w:tcPr>
          <w:p>
            <w:pPr>
              <w:spacing w:before="40" w:after="40"/>
            </w:pPr>
            <w:r/>
            <w:r>
              <w:rPr>
                <w:rFonts w:ascii="Consolas" w:hAnsi="Consolas"/>
                <w:b w:val="0"/>
                <w:color w:val="1A1A1A"/>
                <w:sz w:val="16"/>
              </w:rPr>
              <w:t>RCAF0001038</w:t>
            </w:r>
          </w:p>
        </w:tc>
        <w:tc>
          <w:tcPr>
            <w:tcW w:type="dxa" w:w="3264"/>
          </w:tcPr>
          <w:p>
            <w:pPr>
              <w:spacing w:before="40" w:after="40"/>
            </w:pPr>
            <w:r/>
            <w:r>
              <w:rPr>
                <w:rFonts w:ascii="Consolas" w:hAnsi="Consolas"/>
                <w:b w:val="0"/>
                <w:color w:val="1A1A1A"/>
                <w:sz w:val="16"/>
              </w:rPr>
              <w:t>SAP HANA</w:t>
            </w:r>
          </w:p>
        </w:tc>
        <w:tc>
          <w:tcPr>
            <w:tcW w:type="dxa" w:w="3264"/>
          </w:tcPr>
          <w:p>
            <w:pPr>
              <w:spacing w:before="40" w:after="40"/>
            </w:pPr>
            <w:r/>
            <w:r>
              <w:rPr>
                <w:rFonts w:ascii="Consolas" w:hAnsi="Consolas"/>
                <w:b w:val="0"/>
                <w:color w:val="1A1A1A"/>
                <w:sz w:val="16"/>
              </w:rPr>
              <w:t>in_compliance</w:t>
            </w:r>
          </w:p>
        </w:tc>
      </w:tr>
      <w:tr>
        <w:tc>
          <w:tcPr>
            <w:tcW w:type="dxa" w:w="3264"/>
          </w:tcPr>
          <w:p>
            <w:pPr>
              <w:spacing w:before="40" w:after="40"/>
            </w:pPr>
            <w:r/>
            <w:r>
              <w:rPr>
                <w:rFonts w:ascii="Consolas" w:hAnsi="Consolas"/>
                <w:b w:val="0"/>
                <w:color w:val="1A1A1A"/>
                <w:sz w:val="16"/>
              </w:rPr>
              <w:t>RCAF0001019</w:t>
            </w:r>
          </w:p>
        </w:tc>
        <w:tc>
          <w:tcPr>
            <w:tcW w:type="dxa" w:w="3264"/>
          </w:tcPr>
          <w:p>
            <w:pPr>
              <w:spacing w:before="40" w:after="40"/>
            </w:pPr>
            <w:r/>
            <w:r>
              <w:rPr>
                <w:rFonts w:ascii="Consolas" w:hAnsi="Consolas"/>
                <w:b w:val="0"/>
                <w:color w:val="1A1A1A"/>
                <w:sz w:val="16"/>
              </w:rPr>
              <w:t>SAP Fiori</w:t>
            </w:r>
          </w:p>
        </w:tc>
        <w:tc>
          <w:tcPr>
            <w:tcW w:type="dxa" w:w="3264"/>
          </w:tcPr>
          <w:p>
            <w:pPr>
              <w:spacing w:before="40" w:after="40"/>
            </w:pPr>
            <w:r/>
            <w:r>
              <w:rPr>
                <w:rFonts w:ascii="Consolas" w:hAnsi="Consolas"/>
                <w:b w:val="0"/>
                <w:color w:val="1A1A1A"/>
                <w:sz w:val="16"/>
              </w:rPr>
              <w:t>out_of_compliance</w:t>
            </w:r>
          </w:p>
        </w:tc>
      </w:tr>
      <w:tr>
        <w:tc>
          <w:tcPr>
            <w:tcW w:type="dxa" w:w="3264"/>
          </w:tcPr>
          <w:p>
            <w:pPr>
              <w:spacing w:before="40" w:after="40"/>
            </w:pPr>
            <w:r/>
            <w:r>
              <w:rPr>
                <w:rFonts w:ascii="Consolas" w:hAnsi="Consolas"/>
                <w:b w:val="0"/>
                <w:color w:val="1A1A1A"/>
                <w:sz w:val="16"/>
              </w:rPr>
              <w:t>RCAF0001020</w:t>
            </w:r>
          </w:p>
        </w:tc>
        <w:tc>
          <w:tcPr>
            <w:tcW w:type="dxa" w:w="3264"/>
          </w:tcPr>
          <w:p>
            <w:pPr>
              <w:spacing w:before="40" w:after="40"/>
            </w:pPr>
            <w:r/>
            <w:r>
              <w:rPr>
                <w:rFonts w:ascii="Consolas" w:hAnsi="Consolas"/>
                <w:b w:val="0"/>
                <w:color w:val="1A1A1A"/>
                <w:sz w:val="16"/>
              </w:rPr>
              <w:t>SAP Fiori</w:t>
            </w:r>
          </w:p>
        </w:tc>
        <w:tc>
          <w:tcPr>
            <w:tcW w:type="dxa" w:w="3264"/>
          </w:tcPr>
          <w:p>
            <w:pPr>
              <w:spacing w:before="40" w:after="40"/>
            </w:pPr>
            <w:r/>
            <w:r>
              <w:rPr>
                <w:rFonts w:ascii="Consolas" w:hAnsi="Consolas"/>
                <w:b w:val="0"/>
                <w:color w:val="1A1A1A"/>
                <w:sz w:val="16"/>
              </w:rPr>
              <w:t>out_of_compliance</w:t>
            </w:r>
          </w:p>
        </w:tc>
      </w:tr>
      <w:tr>
        <w:tc>
          <w:tcPr>
            <w:tcW w:type="dxa" w:w="3264"/>
          </w:tcPr>
          <w:p>
            <w:pPr>
              <w:spacing w:before="40" w:after="40"/>
            </w:pPr>
            <w:r/>
            <w:r>
              <w:rPr>
                <w:rFonts w:ascii="Consolas" w:hAnsi="Consolas"/>
                <w:b w:val="0"/>
                <w:color w:val="1A1A1A"/>
                <w:sz w:val="16"/>
              </w:rPr>
              <w:t>RCAF0001022</w:t>
            </w:r>
          </w:p>
        </w:tc>
        <w:tc>
          <w:tcPr>
            <w:tcW w:type="dxa" w:w="3264"/>
          </w:tcPr>
          <w:p>
            <w:pPr>
              <w:spacing w:before="40" w:after="40"/>
            </w:pPr>
            <w:r/>
            <w:r>
              <w:rPr>
                <w:rFonts w:ascii="Consolas" w:hAnsi="Consolas"/>
                <w:b w:val="0"/>
                <w:color w:val="1A1A1A"/>
                <w:sz w:val="16"/>
              </w:rPr>
              <w:t>SAP Fiori</w:t>
            </w:r>
          </w:p>
        </w:tc>
        <w:tc>
          <w:tcPr>
            <w:tcW w:type="dxa" w:w="3264"/>
          </w:tcPr>
          <w:p>
            <w:pPr>
              <w:spacing w:before="40" w:after="40"/>
            </w:pPr>
            <w:r/>
            <w:r>
              <w:rPr>
                <w:rFonts w:ascii="Consolas" w:hAnsi="Consolas"/>
                <w:b w:val="0"/>
                <w:color w:val="1A1A1A"/>
                <w:sz w:val="16"/>
              </w:rPr>
              <w:t>in_compliance</w:t>
            </w:r>
          </w:p>
        </w:tc>
      </w:tr>
      <w:tr>
        <w:tc>
          <w:tcPr>
            <w:tcW w:type="dxa" w:w="3264"/>
          </w:tcPr>
          <w:p>
            <w:pPr>
              <w:spacing w:before="40" w:after="40"/>
            </w:pPr>
            <w:r/>
            <w:r>
              <w:rPr>
                <w:rFonts w:ascii="Consolas" w:hAnsi="Consolas"/>
                <w:b w:val="0"/>
                <w:color w:val="1A1A1A"/>
                <w:sz w:val="16"/>
              </w:rPr>
              <w:t>RCAF0001042</w:t>
            </w:r>
          </w:p>
        </w:tc>
        <w:tc>
          <w:tcPr>
            <w:tcW w:type="dxa" w:w="3264"/>
          </w:tcPr>
          <w:p>
            <w:pPr>
              <w:spacing w:before="40" w:after="40"/>
            </w:pPr>
            <w:r/>
            <w:r>
              <w:rPr>
                <w:rFonts w:ascii="Consolas" w:hAnsi="Consolas"/>
                <w:b w:val="0"/>
                <w:color w:val="1A1A1A"/>
                <w:sz w:val="16"/>
              </w:rPr>
              <w:t>SAP HANA</w:t>
            </w:r>
          </w:p>
        </w:tc>
        <w:tc>
          <w:tcPr>
            <w:tcW w:type="dxa" w:w="3264"/>
          </w:tcPr>
          <w:p>
            <w:pPr>
              <w:spacing w:before="40" w:after="40"/>
            </w:pPr>
            <w:r/>
            <w:r>
              <w:rPr>
                <w:rFonts w:ascii="Consolas" w:hAnsi="Consolas"/>
                <w:b w:val="0"/>
                <w:color w:val="1A1A1A"/>
                <w:sz w:val="16"/>
              </w:rPr>
              <w:t>in_compliance</w:t>
            </w:r>
          </w:p>
        </w:tc>
      </w:tr>
      <w:tr>
        <w:tc>
          <w:tcPr>
            <w:tcW w:type="dxa" w:w="3264"/>
          </w:tcPr>
          <w:p>
            <w:pPr>
              <w:spacing w:before="40" w:after="40"/>
            </w:pPr>
            <w:r/>
            <w:r>
              <w:rPr>
                <w:rFonts w:ascii="Consolas" w:hAnsi="Consolas"/>
                <w:b w:val="0"/>
                <w:color w:val="1A1A1A"/>
                <w:sz w:val="16"/>
              </w:rPr>
              <w:t>RCAF0001024</w:t>
            </w:r>
          </w:p>
        </w:tc>
        <w:tc>
          <w:tcPr>
            <w:tcW w:type="dxa" w:w="3264"/>
          </w:tcPr>
          <w:p>
            <w:pPr>
              <w:spacing w:before="40" w:after="40"/>
            </w:pPr>
            <w:r/>
            <w:r>
              <w:rPr>
                <w:rFonts w:ascii="Consolas" w:hAnsi="Consolas"/>
                <w:b w:val="0"/>
                <w:color w:val="1A1A1A"/>
                <w:sz w:val="16"/>
              </w:rPr>
              <w:t>SAP Fiori</w:t>
            </w:r>
          </w:p>
        </w:tc>
        <w:tc>
          <w:tcPr>
            <w:tcW w:type="dxa" w:w="3264"/>
          </w:tcPr>
          <w:p>
            <w:pPr>
              <w:spacing w:before="40" w:after="40"/>
            </w:pPr>
            <w:r/>
            <w:r>
              <w:rPr>
                <w:rFonts w:ascii="Consolas" w:hAnsi="Consolas"/>
                <w:b w:val="0"/>
                <w:color w:val="1A1A1A"/>
                <w:sz w:val="16"/>
              </w:rPr>
              <w:t>out_of_compliance</w:t>
            </w:r>
          </w:p>
        </w:tc>
      </w:tr>
      <w:tr>
        <w:tc>
          <w:tcPr>
            <w:tcW w:type="dxa" w:w="3264"/>
          </w:tcPr>
          <w:p>
            <w:pPr>
              <w:spacing w:before="40" w:after="40"/>
            </w:pPr>
            <w:r/>
            <w:r>
              <w:rPr>
                <w:rFonts w:ascii="Consolas" w:hAnsi="Consolas"/>
                <w:b w:val="0"/>
                <w:color w:val="1A1A1A"/>
                <w:sz w:val="16"/>
              </w:rPr>
              <w:t>RCAF0001041</w:t>
            </w:r>
          </w:p>
        </w:tc>
        <w:tc>
          <w:tcPr>
            <w:tcW w:type="dxa" w:w="3264"/>
          </w:tcPr>
          <w:p>
            <w:pPr>
              <w:spacing w:before="40" w:after="40"/>
            </w:pPr>
            <w:r/>
            <w:r>
              <w:rPr>
                <w:rFonts w:ascii="Consolas" w:hAnsi="Consolas"/>
                <w:b w:val="0"/>
                <w:color w:val="1A1A1A"/>
                <w:sz w:val="16"/>
              </w:rPr>
              <w:t>SAP HANA</w:t>
            </w:r>
          </w:p>
        </w:tc>
        <w:tc>
          <w:tcPr>
            <w:tcW w:type="dxa" w:w="3264"/>
          </w:tcPr>
          <w:p>
            <w:pPr>
              <w:spacing w:before="40" w:after="40"/>
            </w:pPr>
            <w:r/>
            <w:r>
              <w:rPr>
                <w:rFonts w:ascii="Consolas" w:hAnsi="Consolas"/>
                <w:b w:val="0"/>
                <w:color w:val="1A1A1A"/>
                <w:sz w:val="16"/>
              </w:rPr>
              <w:t>out_of_compliance</w:t>
            </w:r>
          </w:p>
        </w:tc>
      </w:tr>
      <w:tr>
        <w:tc>
          <w:tcPr>
            <w:tcW w:type="dxa" w:w="3264"/>
          </w:tcPr>
          <w:p>
            <w:pPr>
              <w:spacing w:before="40" w:after="40"/>
            </w:pPr>
            <w:r/>
            <w:r>
              <w:rPr>
                <w:rFonts w:ascii="Consolas" w:hAnsi="Consolas"/>
                <w:b w:val="0"/>
                <w:color w:val="1A1A1A"/>
                <w:sz w:val="16"/>
              </w:rPr>
              <w:t>RCAF0001023</w:t>
            </w:r>
          </w:p>
        </w:tc>
        <w:tc>
          <w:tcPr>
            <w:tcW w:type="dxa" w:w="3264"/>
          </w:tcPr>
          <w:p>
            <w:pPr>
              <w:spacing w:before="40" w:after="40"/>
            </w:pPr>
            <w:r/>
            <w:r>
              <w:rPr>
                <w:rFonts w:ascii="Consolas" w:hAnsi="Consolas"/>
                <w:b w:val="0"/>
                <w:color w:val="1A1A1A"/>
                <w:sz w:val="16"/>
              </w:rPr>
              <w:t>SAP Fiori</w:t>
            </w:r>
          </w:p>
        </w:tc>
        <w:tc>
          <w:tcPr>
            <w:tcW w:type="dxa" w:w="3264"/>
          </w:tcPr>
          <w:p>
            <w:pPr>
              <w:spacing w:before="40" w:after="40"/>
            </w:pPr>
            <w:r/>
            <w:r>
              <w:rPr>
                <w:rFonts w:ascii="Consolas" w:hAnsi="Consolas"/>
                <w:b w:val="0"/>
                <w:color w:val="1A1A1A"/>
                <w:sz w:val="16"/>
              </w:rPr>
              <w:t>out_of_compliance</w:t>
            </w:r>
          </w:p>
        </w:tc>
      </w:tr>
      <w:tr>
        <w:tc>
          <w:tcPr>
            <w:tcW w:type="dxa" w:w="3264"/>
          </w:tcPr>
          <w:p>
            <w:pPr>
              <w:spacing w:before="40" w:after="40"/>
            </w:pPr>
            <w:r/>
            <w:r>
              <w:rPr>
                <w:rFonts w:ascii="Consolas" w:hAnsi="Consolas"/>
                <w:b w:val="0"/>
                <w:color w:val="1A1A1A"/>
                <w:sz w:val="16"/>
              </w:rPr>
              <w:t>RCAF0001040</w:t>
            </w:r>
          </w:p>
        </w:tc>
        <w:tc>
          <w:tcPr>
            <w:tcW w:type="dxa" w:w="3264"/>
          </w:tcPr>
          <w:p>
            <w:pPr>
              <w:spacing w:before="40" w:after="40"/>
            </w:pPr>
            <w:r/>
            <w:r>
              <w:rPr>
                <w:rFonts w:ascii="Consolas" w:hAnsi="Consolas"/>
                <w:b w:val="0"/>
                <w:color w:val="1A1A1A"/>
                <w:sz w:val="16"/>
              </w:rPr>
              <w:t>SAP HANA</w:t>
            </w:r>
          </w:p>
        </w:tc>
        <w:tc>
          <w:tcPr>
            <w:tcW w:type="dxa" w:w="3264"/>
          </w:tcPr>
          <w:p>
            <w:pPr>
              <w:spacing w:before="40" w:after="40"/>
            </w:pPr>
            <w:r/>
            <w:r>
              <w:rPr>
                <w:rFonts w:ascii="Consolas" w:hAnsi="Consolas"/>
                <w:b w:val="0"/>
                <w:color w:val="1A1A1A"/>
                <w:sz w:val="16"/>
              </w:rPr>
              <w:t>out_of_compliance</w:t>
            </w:r>
          </w:p>
        </w:tc>
      </w:tr>
      <w:tr>
        <w:tc>
          <w:tcPr>
            <w:tcW w:type="dxa" w:w="3264"/>
          </w:tcPr>
          <w:p>
            <w:pPr>
              <w:spacing w:before="40" w:after="40"/>
            </w:pPr>
            <w:r/>
            <w:r>
              <w:rPr>
                <w:rFonts w:ascii="Consolas" w:hAnsi="Consolas"/>
                <w:b w:val="0"/>
                <w:color w:val="1A1A1A"/>
                <w:sz w:val="16"/>
              </w:rPr>
              <w:t>RCAF0001035</w:t>
            </w:r>
          </w:p>
        </w:tc>
        <w:tc>
          <w:tcPr>
            <w:tcW w:type="dxa" w:w="3264"/>
          </w:tcPr>
          <w:p>
            <w:pPr>
              <w:spacing w:before="40" w:after="40"/>
            </w:pPr>
            <w:r/>
            <w:r>
              <w:rPr>
                <w:rFonts w:ascii="Consolas" w:hAnsi="Consolas"/>
                <w:b w:val="0"/>
                <w:color w:val="1A1A1A"/>
                <w:sz w:val="16"/>
              </w:rPr>
              <w:t>Zscalar App</w:t>
            </w:r>
          </w:p>
        </w:tc>
        <w:tc>
          <w:tcPr>
            <w:tcW w:type="dxa" w:w="3264"/>
          </w:tcPr>
          <w:p>
            <w:pPr>
              <w:spacing w:before="40" w:after="40"/>
            </w:pPr>
            <w:r/>
            <w:r>
              <w:rPr>
                <w:rFonts w:ascii="Consolas" w:hAnsi="Consolas"/>
                <w:b w:val="0"/>
                <w:color w:val="1A1A1A"/>
                <w:sz w:val="16"/>
              </w:rPr>
              <w:t>in_compliance</w:t>
            </w:r>
          </w:p>
        </w:tc>
      </w:tr>
    </w:tbl>
    <w:p>
      <w:pPr>
        <w:spacing w:after="200"/>
      </w:pPr>
      <w:r>
        <w:rPr>
          <w:i/>
          <w:color w:val="606676"/>
          <w:sz w:val="15"/>
        </w:rPr>
        <w:t>4 further row(s) not shown. Full data in the run JSON.</w:t>
      </w:r>
    </w:p>
    <w:p>
      <w:pPr>
        <w:keepNext/>
        <w:spacing w:before="280" w:after="80"/>
      </w:pPr>
      <w:r>
        <w:rPr>
          <w:b/>
          <w:color w:val="000724"/>
          <w:sz w:val="30"/>
        </w:rPr>
        <w:t>Observations</w:t>
      </w:r>
    </w:p>
    <w:p>
      <w:pPr>
        <w:pStyle w:val="ListBullet"/>
        <w:spacing w:after="80"/>
      </w:pPr>
      <w:r>
        <w:rPr>
          <w:i w:val="0"/>
          <w:color w:val="1A1A1A"/>
          <w:sz w:val="21"/>
        </w:rPr>
        <w:t>Baseline in the case text is SAP HANA 6 out of compliance, SAP Fiori 4 out / 2 compliant, Zscalar App 6 compliant. Observed: SAP Fiori 2 compliant / 4 out; SAP HANA 2 compliant / 4 out; Zscalar App 6 compliant / 0 out.</w:t>
      </w:r>
    </w:p>
    <w:p>
      <w:pPr>
        <w:pStyle w:val="ListBullet"/>
        <w:spacing w:after="80"/>
      </w:pPr>
      <w:r>
        <w:rPr>
          <w:i w:val="0"/>
          <w:color w:val="1A1A1A"/>
          <w:sz w:val="21"/>
        </w:rPr>
        <w:t>The Overall column is NOT part of this comparison — the two surfaces compute it from different sources and disagree, which is TC-INT-050. This case is about the per-control cells, which come from the same mirrored caf_status on both sides.</w:t>
      </w:r>
    </w:p>
    <w:p>
      <w:pPr>
        <w:keepNext/>
        <w:spacing w:before="280" w:after="80"/>
      </w:pPr>
      <w:r>
        <w:rPr>
          <w:b/>
          <w:color w:val="000724"/>
          <w:sz w:val="30"/>
        </w:rPr>
        <w:t>Verdict</w:t>
      </w:r>
    </w:p>
    <w:tbl>
      <w:tblPr>
        <w:tblW w:type="auto" w:w="0"/>
        <w:tblLook w:firstColumn="1" w:firstRow="1" w:lastColumn="0" w:lastRow="0" w:noHBand="0" w:noVBand="1" w:val="04A0"/>
      </w:tblPr>
      <w:tblGrid>
        <w:gridCol w:w="9792"/>
      </w:tblGrid>
      <w:tr>
        <w:tc>
          <w:tcPr>
            <w:tcW w:type="dxa" w:w="9792"/>
            <w:shd w:val="clear" w:color="auto" w:fill="E6F4EC"/>
          </w:tcPr>
          <w:p>
            <w:pPr>
              <w:spacing w:before="40" w:after="40"/>
            </w:pPr>
            <w:r/>
            <w:r>
              <w:rPr>
                <w:rFonts w:ascii="Calibri" w:hAnsi="Calibri"/>
                <w:b/>
                <w:color w:val="0B6B3A"/>
                <w:sz w:val="24"/>
              </w:rPr>
              <w:t>PASS</w:t>
            </w:r>
          </w:p>
        </w:tc>
      </w:tr>
    </w:tbl>
    <w:p>
      <w:pPr>
        <w:spacing w:after="200"/>
      </w:pPr>
      <w:r>
        <w:rPr>
          <w:i w:val="0"/>
          <w:color w:val="1A1A1A"/>
          <w:sz w:val="21"/>
        </w:rPr>
        <w:t>Every populated cell in the Salesforce grid matches caf_req.caf_status, and both grids show the same 3 applications.</w:t>
      </w:r>
    </w:p>
    <w:p>
      <w:pPr>
        <w:spacing w:before="0" w:after="80"/>
        <w:pBdr>
          <w:bottom w:val="single" w:sz="6" w:color="D5D9E0"/>
        </w:pBdr>
      </w:pPr>
    </w:p>
    <w:p>
      <w:pPr>
        <w:spacing w:after="80"/>
      </w:pPr>
      <w:r>
        <w:rPr>
          <w:i/>
          <w:color w:val="606676"/>
          <w:sz w:val="15"/>
        </w:rPr>
        <w:t>Confidential. Prepared by Reyan Technologies. Contains system test evidence and must not be redistributed without written consent.</w:t>
      </w:r>
    </w:p>
    <w:sectPr w:rsidR="00FC693F" w:rsidRPr="0006063C" w:rsidSect="00034616">
      <w:headerReference w:type="default" r:id="rId9"/>
      <w:footerReference w:type="default" r:id="rId10"/>
      <w:pgSz w:w="12240" w:h="15840"/>
      <w:pgMar w:top="1224" w:right="1224" w:bottom="1224" w:left="122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color w:val="606676"/>
        <w:sz w:val="15"/>
      </w:rPr>
      <w:t xml:space="preserve">Confidential.   </w:t>
    </w:r>
    <w:r>
      <w:tab/>
      <w:tab/>
    </w:r>
    <w:r>
      <w:rPr>
        <w:color w:val="606676"/>
        <w:sz w:val="15"/>
      </w:rPr>
      <w:t xml:space="preserve">Page </w:t>
    </w:r>
    <w:r>
      <w:rPr>
        <w:sz w:val="15"/>
      </w:rPr>
      <w:fldChar w:fldCharType="begin"/>
      <w:instrText xml:space="preserve">PAGE</w:instrText>
      <w:fldChar w:fldCharType="end"/>
    </w:r>
    <w:r>
      <w:rPr>
        <w:color w:val="606676"/>
        <w:sz w:val="15"/>
      </w:rPr>
      <w:t xml:space="preserve"> of </w:t>
    </w:r>
    <w:r>
      <w:rPr>
        <w:sz w:val="15"/>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Pr>
    <w:r/>
    <w:r>
      <w:rPr>
        <w:b/>
        <w:color w:val="0A3176"/>
        <w:sz w:val="18"/>
      </w:rPr>
      <w:t>TC-INT-048   ·   Grid matches the ServiceNow portal exactly</w:t>
    </w:r>
    <w:r>
      <w:tab/>
      <w:tab/>
    </w:r>
    <w:r>
      <w:rPr>
        <w:color w:val="606676"/>
        <w:sz w:val="18"/>
      </w:rPr>
      <w:t>CAF Compliance Test Evidence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