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TC-INT-049</w:t>
      </w:r>
    </w:p>
    <w:p>
      <w:pPr>
        <w:spacing w:after="400"/>
      </w:pPr>
      <w:r>
        <w:rPr>
          <w:color w:val="1A1A1A"/>
          <w:sz w:val="28"/>
        </w:rPr>
        <w:t>Columns are derived from data, not hard-coded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Both grids currently derive the same column set from data. The divergence the case documents is latent, not present: every active control happens to have at least one request. Part B not executed (ONE-SHOT).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TC-INT-049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Boundary</w:t>
      </w:r>
    </w:p>
    <w:p>
      <w:pPr>
        <w:spacing w:after="80"/>
      </w:pPr>
      <w:r>
        <w:rPr>
          <w:i w:val="0"/>
          <w:color w:val="1A1A1A"/>
          <w:sz w:val="20"/>
        </w:rPr>
        <w:t>A control with no requests at all must not produce an empty column.</w:t>
      </w:r>
    </w:p>
    <w:p>
      <w:pPr>
        <w:spacing w:after="80"/>
      </w:pPr>
      <w:r>
        <w:rPr>
          <w:i w:val="0"/>
          <w:color w:val="1A1A1A"/>
          <w:sz w:val="20"/>
        </w:rPr>
        <w:t>The two dashboards derive columns from different sources, and it shows. Confirmed from the ServiceNow widget source on 2026-08-07:</w:t>
      </w:r>
    </w:p>
    <w:p>
      <w:pPr>
        <w:spacing w:after="80"/>
      </w:pPr>
      <w:r>
        <w:rPr>
          <w:i w:val="0"/>
          <w:color w:val="1A1A1A"/>
          <w:sz w:val="20"/>
        </w:rPr>
        <w:t>So adding a control in ServiceNow produces a column there immediately and nothing in Salesforce until a request exists for it. The grids legitimately disagree about their column set, and Sync Health will not report it — no mirrored record disagrees, because the control table is not mirrored.</w:t>
      </w:r>
    </w:p>
    <w:p>
      <w:pPr>
        <w:spacing w:after="80"/>
      </w:pPr>
      <w:r>
        <w:rPr>
          <w:i w:val="0"/>
          <w:color w:val="1A1A1A"/>
          <w:sz w:val="20"/>
        </w:rPr>
        <w:t>Run this case together with TC-SN-069 and capture both grids in the same pack. Anyone comparing the two screenshots without this note will raise the difference as a defect.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ServiceNow grid draws columns from caf_conformance_type where active=true.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Salesforce LWC draws columns from the CAF_Request__c data it holds; no control object is mirrored.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 control with no requests gets a column in ServiceNow and none in Salesforce.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List the active CAF Controls — the ServiceNow column source.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List the distinct controls present in the mirrored request data — the Salesforce column source.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ServiceNow column set (6): Confirm &amp; Execute High Availability Plan, Confirm Backup &amp; Restore Policy, Confirm Disaster Recovery Plan, Confirm RTO &amp; RPO, Test Backup &amp; Restore, Test Disaster Recovery Plan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Salesforce column set (6): Confirm &amp; Execute High Availability Plan, Confirm Backup &amp; Restore Policy, Confirm Disaster Recovery Plan, Confirm RTO &amp; RPO, Test Backup &amp; Restore, Test Disaster Recovery Plan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Columns ServiceNow would show and Salesforce would not: none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Columns Salesforce would show and ServiceNow would not: none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Active CAF Controls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x_gskn2_caf_compli_caf_conformance_type   ·   cnit get x_gskn2_caf_compli_caf_conformance_type -Query "active=true^ORDERBYname"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active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f1e5e8a61b7925d46f1e76e5d34bcb84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95d568ea1b7925d46f1e76e5d34bcb9f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12952c261b7925d46f1e76e5d34bcb5e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Disaster Recovery Plan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4c85e8a21b7925d46f1e76e5d34bcbfb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RTO &amp; RPO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fc1288fb1b61a154eede76e5d34bcb81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Backup &amp; Restore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05f10c7f1b61a154eede76e5d34bcb25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Disaster Recovery Plan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Controls represented in Salesforce request data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CAF_Request__c   ·   GROUP BY CAF_Control__c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CAF_Control__c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Disaster Recovery Plan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Backup &amp; Restore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RTO &amp; RPO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Disaster Recovery Plan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Neither LWC nor widget hard-codes a column list: cafDashboard.build() collects distinct CAF_Control__c from the returned rows and sorts them, so a new control needs no code change on either side.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two sources legitimately disagree, and Sync Health will not report it — no mirrored record disagrees, because the control table is not mirrored. Anyone comparing the two grid screenshots without this note will raise the difference as a defect.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Part B — introducing a request against a control not currently represented, and confirming a column appears with no code change — is ONE-SHOT and needs a write to ServiceNow. Not executed in this pass.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Both grids currently derive the same column set from data. The divergence the case documents is latent, not present: every active control happens to have at least one request. Part B not executed (ONE-SHOT).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TC-INT-049   ·   Columns are derived from data, not hard-coded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