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20"/>
        <w:jc w:val="left"/>
      </w:pPr>
      <w:r>
        <w:drawing>
          <wp:inline xmlns:a="http://schemas.openxmlformats.org/drawingml/2006/main" xmlns:pic="http://schemas.openxmlformats.org/drawingml/2006/picture">
            <wp:extent cx="1554480" cy="8015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yan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801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color w:val="0A3176"/>
          <w:sz w:val="20"/>
        </w:rPr>
        <w:t>CAF Compliance  ·  Test Evidence Record</w:t>
      </w:r>
    </w:p>
    <w:p>
      <w:pPr>
        <w:spacing w:after="80"/>
      </w:pPr>
      <w:r>
        <w:rPr>
          <w:b/>
          <w:color w:val="000724"/>
          <w:sz w:val="52"/>
        </w:rPr>
        <w:t>TC-INT-061</w:t>
      </w:r>
    </w:p>
    <w:p>
      <w:pPr>
        <w:spacing w:after="400"/>
      </w:pPr>
      <w:r>
        <w:rPr>
          <w:color w:val="1A1A1A"/>
          <w:sz w:val="28"/>
        </w:rPr>
        <w:t>No Apex test coverage exists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600"/>
      </w:tblGrid>
      <w:tr>
        <w:tc>
          <w:tcPr>
            <w:tcW w:type="dxa" w:w="9792"/>
            <w:shd w:val="clear" w:color="auto" w:fill="E6F4EC"/>
          </w:tcPr>
          <w:p>
            <w:pPr>
              <w:spacing w:before="120" w:after="120"/>
            </w:pPr>
            <w:r/>
            <w:r>
              <w:rPr>
                <w:rFonts w:ascii="Calibri" w:hAnsi="Calibri"/>
                <w:b/>
                <w:color w:val="0B6B3A"/>
                <w:sz w:val="26"/>
              </w:rPr>
              <w:t>RESULT:  PASS</w:t>
            </w:r>
          </w:p>
        </w:tc>
      </w:tr>
    </w:tbl>
    <w:p>
      <w:pPr>
        <w:spacing w:after="200"/>
      </w:pPr>
    </w:p>
    <w:p>
      <w:pPr>
        <w:spacing w:after="320"/>
      </w:pPr>
      <w:r>
        <w:rPr>
          <w:i w:val="0"/>
          <w:color w:val="1A1A1A"/>
          <w:sz w:val="20"/>
        </w:rPr>
        <w:t>Zero test classes and zero coverage on all three service classes — confirmed as a release gate.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36"/>
        <w:gridCol w:w="6480"/>
      </w:tblGrid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Test case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TC-INT-061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Priority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P2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Type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Regression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Component under test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CafSyncHealth, CafEvidenceService, CafAttestationService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Application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CAF Compliance — scope x_gskn2_caf_compli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Environment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https://dev281754.service-now.com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Executed by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admin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Execution method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Playwright (automated); every assertion cross-checked against the ServiceNow Table API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Specification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TEST-CASES-INTEGRATION.md</w:t>
            </w:r>
          </w:p>
        </w:tc>
      </w:tr>
    </w:tbl>
    <w:p>
      <w:r>
        <w:br w:type="page"/>
      </w:r>
    </w:p>
    <w:p>
      <w:pPr>
        <w:keepNext/>
        <w:spacing w:before="0" w:after="80"/>
      </w:pPr>
      <w:r>
        <w:rPr>
          <w:b/>
          <w:color w:val="000724"/>
          <w:sz w:val="30"/>
        </w:rPr>
        <w:t>From the specification</w:t>
      </w:r>
    </w:p>
    <w:p>
      <w:pPr>
        <w:keepNext/>
        <w:spacing w:before="120" w:after="20"/>
      </w:pPr>
      <w:r>
        <w:rPr>
          <w:b/>
          <w:color w:val="0A3176"/>
          <w:sz w:val="23"/>
        </w:rPr>
        <w:t>TC-INT-027</w:t>
      </w:r>
    </w:p>
    <w:p>
      <w:pPr>
        <w:spacing w:after="80"/>
      </w:pPr>
      <w:r>
        <w:rPr>
          <w:i w:val="0"/>
          <w:color w:val="1A1A1A"/>
          <w:sz w:val="20"/>
        </w:rPr>
        <w:t>(the flagship journey), TC-INT-030 (evidence visible but gate refuses), TC-INT-013 (allow-list refuses the whole call), TC-INT-058 (cleanup recreates what you deleted), TC-INT-001 (parity by record, not by count), TC-INT-031 (does the spawned task reach Salesforce?).</w:t>
      </w:r>
    </w:p>
    <w:p>
      <w:pPr>
        <w:spacing w:after="80"/>
      </w:pPr>
      <w:r>
        <w:rPr>
          <w:i w:val="0"/>
          <w:color w:val="1A1A1A"/>
          <w:sz w:val="20"/>
        </w:rPr>
        <w:t>TC-INT-031 is the one most likely to find a genuine, currently-unknown defect — the reasoning in that case suggests the flow-created sibling task may never be pushed. It has not been checked.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Expected result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Coverage on CafSyncHealth, CafEvidenceService and CafAttestationService is zero.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Reported as a release gate, not a defect: Salesforce requires 75% to deploy to production.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Steps executed</w:t>
      </w:r>
    </w:p>
    <w:p>
      <w:pPr>
        <w:keepNext/>
        <w:spacing w:before="120" w:after="40"/>
      </w:pPr>
      <w:r>
        <w:rPr>
          <w:b/>
          <w:color w:val="0A3176"/>
          <w:sz w:val="23"/>
        </w:rPr>
        <w:t xml:space="preserve">Step 1   </w:t>
      </w:r>
      <w:r>
        <w:rPr>
          <w:sz w:val="21"/>
        </w:rPr>
        <w:t>List the Apex classes in the org.</w:t>
      </w:r>
    </w:p>
    <w:p>
      <w:pPr>
        <w:keepNext/>
        <w:spacing w:before="120" w:after="40"/>
      </w:pPr>
      <w:r>
        <w:rPr>
          <w:b/>
          <w:color w:val="0A3176"/>
          <w:sz w:val="23"/>
        </w:rPr>
        <w:t xml:space="preserve">Step 2   </w:t>
      </w:r>
      <w:r>
        <w:rPr>
          <w:sz w:val="21"/>
        </w:rPr>
        <w:t>Look for any test class belonging to this org rather than to an installed package.</w:t>
      </w:r>
    </w:p>
    <w:p>
      <w:pPr>
        <w:keepNext/>
        <w:spacing w:before="120" w:after="40"/>
      </w:pPr>
      <w:r>
        <w:rPr>
          <w:b/>
          <w:color w:val="0A3176"/>
          <w:sz w:val="23"/>
        </w:rPr>
        <w:t xml:space="preserve">Step 3   </w:t>
      </w:r>
      <w:r>
        <w:rPr>
          <w:sz w:val="21"/>
        </w:rPr>
        <w:t>Read the stored coverage figures.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Actual result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9 Apex class(es) in the org: CafAttestationService, CafDashboardController, CafEvidenceService, CafSyncHealth, CafTaskService (plus 4 packaged: devedapp.DeveloperEditionUtils, devedapp.DeveloperEditionUtilsTest, devedapp.PostInstallScript, devedapp.PostInstallScriptTest).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0 unmanaged test class(es) — none.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CafSyncHealth: 0 covered / 133 uncovered; CafAttestationService: 0 covered / 50 uncovered; CafEvidenceService: 0 covered / 132 uncovered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Record evidence</w:t>
      </w:r>
    </w:p>
    <w:p>
      <w:pPr>
        <w:spacing w:after="160"/>
      </w:pPr>
      <w:r>
        <w:rPr>
          <w:i/>
          <w:color w:val="606676"/>
          <w:sz w:val="18"/>
        </w:rPr>
        <w:t>Read directly from the ServiceNow Table API during execution. This is the evidence that determines the verdict; a screen capture shows what was displayed, not what was stored.</w:t>
      </w:r>
    </w:p>
    <w:p>
      <w:pPr>
        <w:spacing w:after="20"/>
      </w:pPr>
      <w:r>
        <w:rPr>
          <w:i w:val="0"/>
          <w:color w:val="000724"/>
          <w:sz w:val="20"/>
        </w:rPr>
        <w:t>Apex classes</w:t>
      </w:r>
    </w:p>
    <w:p>
      <w:pPr>
        <w:spacing w:after="60"/>
      </w:pPr>
      <w:r>
        <w:rPr>
          <w:rFonts w:ascii="Consolas" w:hAnsi="Consolas"/>
          <w:i w:val="0"/>
          <w:color w:val="606676"/>
          <w:sz w:val="16"/>
        </w:rPr>
        <w:t>ApexClass   ·   Tooling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2448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NamespacePrefix</w:t>
            </w:r>
          </w:p>
        </w:tc>
        <w:tc>
          <w:tcPr>
            <w:tcW w:type="dxa" w:w="2448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ApiVersion</w:t>
            </w:r>
          </w:p>
        </w:tc>
        <w:tc>
          <w:tcPr>
            <w:tcW w:type="dxa" w:w="2448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LengthWithoutComments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CafAttestationService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None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67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3433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CafDashboardController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None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67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594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CafEvidenceService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None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67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8623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CafSyncHealth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None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67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8618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CafTaskService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None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67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1609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DeveloperEditionUtils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devedapp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64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164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DeveloperEditionUtilsTest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devedapp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64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261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PostInstallScript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devedapp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64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2175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PostInstallScriptTest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devedapp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64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781</w:t>
            </w:r>
          </w:p>
        </w:tc>
      </w:tr>
    </w:tbl>
    <w:p>
      <w:pPr>
        <w:spacing w:after="120"/>
      </w:pPr>
    </w:p>
    <w:p>
      <w:pPr>
        <w:spacing w:after="20"/>
      </w:pPr>
      <w:r>
        <w:rPr>
          <w:i w:val="0"/>
          <w:color w:val="000724"/>
          <w:sz w:val="20"/>
        </w:rPr>
        <w:t>Unmanaged classes carrying @isTest</w:t>
      </w:r>
    </w:p>
    <w:p>
      <w:pPr>
        <w:spacing w:after="60"/>
      </w:pPr>
      <w:r>
        <w:rPr>
          <w:rFonts w:ascii="Consolas" w:hAnsi="Consolas"/>
          <w:i w:val="0"/>
          <w:color w:val="606676"/>
          <w:sz w:val="16"/>
        </w:rPr>
        <w:t>ApexClass   ·   Tooling API, NamespacePrefix = null, SymbolTable modifiers contain isTest</w:t>
      </w:r>
    </w:p>
    <w:p>
      <w:pPr>
        <w:spacing w:after="200"/>
      </w:pPr>
      <w:r>
        <w:rPr>
          <w:i/>
          <w:color w:val="606676"/>
          <w:sz w:val="18"/>
        </w:rPr>
        <w:t>No rows returned.</w:t>
      </w:r>
    </w:p>
    <w:p>
      <w:pPr>
        <w:spacing w:after="20"/>
      </w:pPr>
      <w:r>
        <w:rPr>
          <w:i w:val="0"/>
          <w:color w:val="000724"/>
          <w:sz w:val="20"/>
        </w:rPr>
        <w:t>Stored code coverage</w:t>
      </w:r>
    </w:p>
    <w:p>
      <w:pPr>
        <w:spacing w:after="60"/>
      </w:pPr>
      <w:r>
        <w:rPr>
          <w:rFonts w:ascii="Consolas" w:hAnsi="Consolas"/>
          <w:i w:val="0"/>
          <w:color w:val="606676"/>
          <w:sz w:val="16"/>
        </w:rPr>
        <w:t>ApexCodeCoverageAggregate   ·   Tooling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class</w:t>
            </w:r>
          </w:p>
        </w:tc>
        <w:tc>
          <w:tcPr>
            <w:tcW w:type="dxa" w:w="3264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covered</w:t>
            </w:r>
          </w:p>
        </w:tc>
        <w:tc>
          <w:tcPr>
            <w:tcW w:type="dxa" w:w="3264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uncovered</w:t>
            </w:r>
          </w:p>
        </w:tc>
      </w:tr>
      <w:tr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CafDashboardController</w:t>
            </w:r>
          </w:p>
        </w:tc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0</w:t>
            </w:r>
          </w:p>
        </w:tc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2</w:t>
            </w:r>
          </w:p>
        </w:tc>
      </w:tr>
      <w:tr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CafTaskService</w:t>
            </w:r>
          </w:p>
        </w:tc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0</w:t>
            </w:r>
          </w:p>
        </w:tc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22</w:t>
            </w:r>
          </w:p>
        </w:tc>
      </w:tr>
      <w:tr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CafSyncHealth</w:t>
            </w:r>
          </w:p>
        </w:tc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0</w:t>
            </w:r>
          </w:p>
        </w:tc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133</w:t>
            </w:r>
          </w:p>
        </w:tc>
      </w:tr>
      <w:tr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CafAttestationService</w:t>
            </w:r>
          </w:p>
        </w:tc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0</w:t>
            </w:r>
          </w:p>
        </w:tc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50</w:t>
            </w:r>
          </w:p>
        </w:tc>
      </w:tr>
      <w:tr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CafEvidenceService</w:t>
            </w:r>
          </w:p>
        </w:tc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0</w:t>
            </w:r>
          </w:p>
        </w:tc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132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b/>
          <w:color w:val="000724"/>
          <w:sz w:val="30"/>
        </w:rPr>
        <w:t>Observations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The org ships four `devedapp` classes of its own, two of them named *Test. They are packaged, cover nothing in this project, and do not count toward the org-wide figure the same way — filtering on the name alone would report test coverage that does not exist. Note also that CafAttestationService contains the substring "test", so a name-based filter claims the class under test is its own test.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Fine for a Developer Edition org, blocking for any move toward production: Salesforce requires 75% org-wide coverage to deploy. This belongs in the test summary as a release risk, not in the defect list. HANDOFF open item 5.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Verdict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6F4EC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B6B3A"/>
                <w:sz w:val="24"/>
              </w:rPr>
              <w:t>PASS</w:t>
            </w:r>
          </w:p>
        </w:tc>
      </w:tr>
    </w:tbl>
    <w:p>
      <w:pPr>
        <w:spacing w:after="200"/>
      </w:pPr>
      <w:r>
        <w:rPr>
          <w:i w:val="0"/>
          <w:color w:val="1A1A1A"/>
          <w:sz w:val="21"/>
        </w:rPr>
        <w:t>Zero test classes and zero coverage on all three service classes — confirmed as a release gate.</w:t>
      </w:r>
    </w:p>
    <w:p>
      <w:pPr>
        <w:spacing w:before="0" w:after="80"/>
        <w:pBdr>
          <w:bottom w:val="single" w:sz="6" w:color="D5D9E0"/>
        </w:pBdr>
      </w:pPr>
    </w:p>
    <w:p>
      <w:pPr>
        <w:spacing w:after="80"/>
      </w:pPr>
      <w:r>
        <w:rPr>
          <w:i/>
          <w:color w:val="606676"/>
          <w:sz w:val="15"/>
        </w:rPr>
        <w:t>Confidential. Prepared by Reyan Technologies. Contains system test evidence and must not be redistributed without written consent.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224" w:left="122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606676"/>
        <w:sz w:val="15"/>
      </w:rPr>
      <w:t xml:space="preserve">Confidential.   </w:t>
    </w:r>
    <w:r>
      <w:tab/>
      <w:tab/>
    </w:r>
    <w:r>
      <w:rPr>
        <w:color w:val="606676"/>
        <w:sz w:val="15"/>
      </w:rPr>
      <w:t xml:space="preserve">Page </w:t>
    </w:r>
    <w:r>
      <w:rPr>
        <w:sz w:val="15"/>
      </w:rPr>
      <w:fldChar w:fldCharType="begin"/>
      <w:instrText xml:space="preserve">PAGE</w:instrText>
      <w:fldChar w:fldCharType="end"/>
    </w:r>
    <w:r>
      <w:rPr>
        <w:color w:val="606676"/>
        <w:sz w:val="15"/>
      </w:rPr>
      <w:t xml:space="preserve"> of </w:t>
    </w:r>
    <w:r>
      <w:rPr>
        <w:sz w:val="15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</w:pPr>
    <w:r/>
    <w:r>
      <w:rPr>
        <w:b/>
        <w:color w:val="0A3176"/>
        <w:sz w:val="18"/>
      </w:rPr>
      <w:t>TC-INT-061   ·   No Apex test coverage exists</w:t>
    </w:r>
    <w:r>
      <w:tab/>
      <w:tab/>
    </w:r>
    <w:r>
      <w:rPr>
        <w:color w:val="606676"/>
        <w:sz w:val="18"/>
      </w:rPr>
      <w:t>CAF Compliance Test Evidence Record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