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aukgwg6e6q6"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dit materiaal kun je:</w:t>
      </w:r>
    </w:p>
    <w:p w:rsidR="00000000" w:rsidDel="00000000" w:rsidP="00000000" w:rsidRDefault="00000000" w:rsidRPr="00000000" w14:paraId="00000003">
      <w:pPr>
        <w:numPr>
          <w:ilvl w:val="0"/>
          <w:numId w:val="9"/>
        </w:numPr>
        <w:spacing w:after="0" w:afterAutospacing="0" w:before="240" w:lineRule="auto"/>
        <w:ind w:left="720" w:hanging="360"/>
      </w:pPr>
      <w:r w:rsidDel="00000000" w:rsidR="00000000" w:rsidRPr="00000000">
        <w:rPr>
          <w:rtl w:val="0"/>
        </w:rPr>
        <w:t xml:space="preserve">de pathogenese van sarcoïdose beschrijven;</w:t>
      </w:r>
    </w:p>
    <w:p w:rsidR="00000000" w:rsidDel="00000000" w:rsidP="00000000" w:rsidRDefault="00000000" w:rsidRPr="00000000" w14:paraId="00000004">
      <w:pPr>
        <w:numPr>
          <w:ilvl w:val="0"/>
          <w:numId w:val="9"/>
        </w:numPr>
        <w:spacing w:after="0" w:afterAutospacing="0" w:before="0" w:beforeAutospacing="0" w:lineRule="auto"/>
        <w:ind w:left="720" w:hanging="360"/>
      </w:pPr>
      <w:r w:rsidDel="00000000" w:rsidR="00000000" w:rsidRPr="00000000">
        <w:rPr>
          <w:rtl w:val="0"/>
        </w:rPr>
        <w:t xml:space="preserve">de diagnostiek en behandeling van sarcoïdose beschrijven;</w:t>
      </w:r>
    </w:p>
    <w:p w:rsidR="00000000" w:rsidDel="00000000" w:rsidP="00000000" w:rsidRDefault="00000000" w:rsidRPr="00000000" w14:paraId="00000005">
      <w:pPr>
        <w:numPr>
          <w:ilvl w:val="0"/>
          <w:numId w:val="9"/>
        </w:numPr>
        <w:spacing w:after="240" w:before="0" w:beforeAutospacing="0" w:lineRule="auto"/>
        <w:ind w:left="720" w:hanging="360"/>
      </w:pPr>
      <w:r w:rsidDel="00000000" w:rsidR="00000000" w:rsidRPr="00000000">
        <w:rPr>
          <w:rtl w:val="0"/>
        </w:rPr>
        <w:t xml:space="preserve">de differentiaaldiagnose met andere granulomateuze aandoeningen toelichten.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96ilz5rpz4r" w:id="1"/>
      <w:bookmarkEnd w:id="1"/>
      <w:r w:rsidDel="00000000" w:rsidR="00000000" w:rsidRPr="00000000">
        <w:rPr>
          <w:b w:val="1"/>
          <w:bCs w:val="1"/>
          <w:sz w:val="34"/>
          <w:szCs w:val="34"/>
          <w:rtl w:val="0"/>
        </w:rPr>
        <w:t xml:space="preserve">Sarcoïdose als ziektebeeld</w:t>
      </w:r>
    </w:p>
    <w:p w:rsidR="00000000" w:rsidDel="00000000" w:rsidP="00000000" w:rsidRDefault="00000000" w:rsidRPr="00000000" w14:paraId="00000007">
      <w:pPr>
        <w:spacing w:after="240" w:before="240" w:lineRule="auto"/>
        <w:rPr/>
      </w:pPr>
      <w:r w:rsidDel="00000000" w:rsidR="00000000" w:rsidRPr="00000000">
        <w:rPr>
          <w:rtl w:val="0"/>
        </w:rPr>
        <w:t xml:space="preserve">Sarcoïdose is een chronische inflammatoire aandoening die wordt gekenmerkt door de vorming van granulomen in verschillende organen. Een granuloom is een georganiseerde ophoping van ontstekingscellen, vooral macrofagen en T-lymfocyten. Het orgaan dat het vaakst is aangedaan, is de long. Toch kan sarcoïdose veel breder voorkomen en dus ook klachten geven vanuit andere orgaansystemen.</w:t>
      </w:r>
    </w:p>
    <w:p w:rsidR="00000000" w:rsidDel="00000000" w:rsidP="00000000" w:rsidRDefault="00000000" w:rsidRPr="00000000" w14:paraId="00000008">
      <w:pPr>
        <w:spacing w:after="240" w:before="240" w:lineRule="auto"/>
        <w:rPr/>
      </w:pPr>
      <w:r w:rsidDel="00000000" w:rsidR="00000000" w:rsidRPr="00000000">
        <w:rPr>
          <w:rtl w:val="0"/>
        </w:rPr>
        <w:t xml:space="preserve">Een belangrijk uitgangspunt is dat de oorzaak van sarcoïdose onbekend is. Het gaat dus niet om één duidelijk aangewezen verwekker of één eenvoudig mechanisme. Wel laat het ziektebeeld zien dat het immuunsysteem op een bepaalde manier geactiveerd raakt, waarna granulomen ontstaan. Dat maakt sarcoïdose tot een granulomateuze ontstekingsziekte van onbekende oorzaak.</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4mq2z4xw4kp" w:id="2"/>
      <w:bookmarkEnd w:id="2"/>
      <w:r w:rsidDel="00000000" w:rsidR="00000000" w:rsidRPr="00000000">
        <w:rPr>
          <w:b w:val="1"/>
          <w:bCs w:val="1"/>
          <w:sz w:val="34"/>
          <w:szCs w:val="34"/>
          <w:rtl w:val="0"/>
        </w:rPr>
        <w:t xml:space="preserve">Pathogenese en granuloomvorming</w:t>
      </w:r>
    </w:p>
    <w:p w:rsidR="00000000" w:rsidDel="00000000" w:rsidP="00000000" w:rsidRDefault="00000000" w:rsidRPr="00000000" w14:paraId="0000000A">
      <w:pPr>
        <w:spacing w:after="240" w:before="240" w:lineRule="auto"/>
        <w:rPr/>
      </w:pPr>
      <w:r w:rsidDel="00000000" w:rsidR="00000000" w:rsidRPr="00000000">
        <w:rPr>
          <w:rtl w:val="0"/>
        </w:rPr>
        <w:t xml:space="preserve">De kern van de pathogenese is een ontregelde immuunreactie waarbij vooral T-lymfocyten en macrofagen betrokken zijn. In het granuloom spelen met name </w:t>
      </w:r>
      <w:r w:rsidDel="00000000" w:rsidR="00000000" w:rsidRPr="00000000">
        <w:rPr>
          <w:b w:val="1"/>
          <w:bCs w:val="1"/>
          <w:rtl w:val="0"/>
        </w:rPr>
        <w:t xml:space="preserve">Th1-lymfocyten</w:t>
      </w:r>
      <w:r w:rsidDel="00000000" w:rsidR="00000000" w:rsidRPr="00000000">
        <w:rPr>
          <w:rtl w:val="0"/>
        </w:rPr>
        <w:t xml:space="preserve"> en </w:t>
      </w:r>
      <w:r w:rsidDel="00000000" w:rsidR="00000000" w:rsidRPr="00000000">
        <w:rPr>
          <w:b w:val="1"/>
          <w:bCs w:val="1"/>
          <w:rtl w:val="0"/>
        </w:rPr>
        <w:t xml:space="preserve">macrofagen</w:t>
      </w:r>
      <w:r w:rsidDel="00000000" w:rsidR="00000000" w:rsidRPr="00000000">
        <w:rPr>
          <w:rtl w:val="0"/>
        </w:rPr>
        <w:t xml:space="preserve"> een centrale rol. Macrofagen kunnen veranderen in zogenoemde </w:t>
      </w:r>
      <w:r w:rsidDel="00000000" w:rsidR="00000000" w:rsidRPr="00000000">
        <w:rPr>
          <w:b w:val="1"/>
          <w:bCs w:val="1"/>
          <w:rtl w:val="0"/>
        </w:rPr>
        <w:t xml:space="preserve">epithelioïde cellen</w:t>
      </w:r>
      <w:r w:rsidDel="00000000" w:rsidR="00000000" w:rsidRPr="00000000">
        <w:rPr>
          <w:rtl w:val="0"/>
        </w:rPr>
        <w:t xml:space="preserve">, die typisch zijn voor granulomateuze ontsteking.</w:t>
      </w:r>
    </w:p>
    <w:p w:rsidR="00000000" w:rsidDel="00000000" w:rsidP="00000000" w:rsidRDefault="00000000" w:rsidRPr="00000000" w14:paraId="0000000B">
      <w:pPr>
        <w:spacing w:after="240" w:before="240" w:lineRule="auto"/>
        <w:rPr/>
      </w:pPr>
      <w:r w:rsidDel="00000000" w:rsidR="00000000" w:rsidRPr="00000000">
        <w:rPr>
          <w:rtl w:val="0"/>
        </w:rPr>
        <w:t xml:space="preserve">Binnen deze reactie zijn meerdere signaalstoffen belangrijk. In het materiaal worden onder andere genoemd:</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b w:val="1"/>
          <w:bCs w:val="1"/>
          <w:rtl w:val="0"/>
        </w:rPr>
        <w:t xml:space="preserve">TNF-α</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IFN-γ</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IL-2</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IL-2R</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groeifactoren</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bCs w:val="1"/>
          <w:rtl w:val="0"/>
        </w:rPr>
        <w:t xml:space="preserve">ACE</w:t>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rtl w:val="0"/>
        </w:rPr>
        <w:t xml:space="preserve">productie van </w:t>
      </w:r>
      <w:r w:rsidDel="00000000" w:rsidR="00000000" w:rsidRPr="00000000">
        <w:rPr>
          <w:b w:val="1"/>
          <w:bCs w:val="1"/>
          <w:rtl w:val="0"/>
        </w:rPr>
        <w:t xml:space="preserve">1,25-OH-vitamine D</w:t>
      </w:r>
    </w:p>
    <w:p w:rsidR="00000000" w:rsidDel="00000000" w:rsidP="00000000" w:rsidRDefault="00000000" w:rsidRPr="00000000" w14:paraId="00000013">
      <w:pPr>
        <w:spacing w:after="240" w:before="240" w:lineRule="auto"/>
        <w:rPr/>
      </w:pPr>
      <w:r w:rsidDel="00000000" w:rsidR="00000000" w:rsidRPr="00000000">
        <w:rPr>
          <w:rtl w:val="0"/>
        </w:rPr>
        <w:t xml:space="preserve">Deze stoffen zijn niet zomaar losse labtermen, maar laten zien wat er in en rond het granuloom gebeurt. IFN-γ en TNF-α stimuleren de ontstekingsreactie en helpen bij het in stand houden van het granuloom. Groeifactoren kunnen bijdragen aan </w:t>
      </w:r>
      <w:r w:rsidDel="00000000" w:rsidR="00000000" w:rsidRPr="00000000">
        <w:rPr>
          <w:b w:val="1"/>
          <w:bCs w:val="1"/>
          <w:rtl w:val="0"/>
        </w:rPr>
        <w:t xml:space="preserve">fibrose</w:t>
      </w:r>
      <w:r w:rsidDel="00000000" w:rsidR="00000000" w:rsidRPr="00000000">
        <w:rPr>
          <w:rtl w:val="0"/>
        </w:rPr>
        <w:t xml:space="preserve">, dus littekenvorming. De productie van 1,25-OH-vitamine D kan leiden tot een verhoogd calciumgehalte. ACE en sIL-2R worden in de praktijk meegewogen als ondersteunende markers bij onderzoek.</w:t>
      </w:r>
    </w:p>
    <w:p w:rsidR="00000000" w:rsidDel="00000000" w:rsidP="00000000" w:rsidRDefault="00000000" w:rsidRPr="00000000" w14:paraId="00000014">
      <w:pPr>
        <w:spacing w:after="240" w:before="240" w:lineRule="auto"/>
        <w:rPr/>
      </w:pPr>
      <w:r w:rsidDel="00000000" w:rsidR="00000000" w:rsidRPr="00000000">
        <w:rPr>
          <w:rtl w:val="0"/>
        </w:rPr>
        <w:t xml:space="preserve">De immunopathogenese wordt in het materiaal beschreven als een hypothese. Dat is logisch, want de precieze oorzaak is onbekend. Er wordt gedacht aan een samenspel van:</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mogelijke </w:t>
      </w:r>
      <w:r w:rsidDel="00000000" w:rsidR="00000000" w:rsidRPr="00000000">
        <w:rPr>
          <w:b w:val="1"/>
          <w:bCs w:val="1"/>
          <w:rtl w:val="0"/>
        </w:rPr>
        <w:t xml:space="preserve">infectieuze agentia</w:t>
      </w:r>
      <w:r w:rsidDel="00000000" w:rsidR="00000000" w:rsidRPr="00000000">
        <w:rPr>
          <w:rtl w:val="0"/>
        </w:rPr>
        <w:t xml:space="preserv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organische partikels</w:t>
      </w:r>
      <w:r w:rsidDel="00000000" w:rsidR="00000000" w:rsidRPr="00000000">
        <w:rPr>
          <w:rtl w:val="0"/>
        </w:rPr>
        <w:t xml:space="preserv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anorganische agentia</w:t>
      </w:r>
      <w:r w:rsidDel="00000000" w:rsidR="00000000" w:rsidRPr="00000000">
        <w:rPr>
          <w:rtl w:val="0"/>
        </w:rPr>
        <w:t xml:space="preserv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en een individuele gevoeligheid, waarin onder meer </w:t>
      </w:r>
      <w:r w:rsidDel="00000000" w:rsidR="00000000" w:rsidRPr="00000000">
        <w:rPr>
          <w:b w:val="1"/>
          <w:bCs w:val="1"/>
          <w:rtl w:val="0"/>
        </w:rPr>
        <w:t xml:space="preserve">HLA</w:t>
      </w:r>
      <w:r w:rsidDel="00000000" w:rsidR="00000000" w:rsidRPr="00000000">
        <w:rPr>
          <w:rtl w:val="0"/>
        </w:rPr>
        <w:t xml:space="preserve"> en </w:t>
      </w:r>
      <w:r w:rsidDel="00000000" w:rsidR="00000000" w:rsidRPr="00000000">
        <w:rPr>
          <w:b w:val="1"/>
          <w:bCs w:val="1"/>
          <w:rtl w:val="0"/>
        </w:rPr>
        <w:t xml:space="preserve">BTNL2</w:t>
      </w:r>
      <w:r w:rsidDel="00000000" w:rsidR="00000000" w:rsidRPr="00000000">
        <w:rPr>
          <w:rtl w:val="0"/>
        </w:rPr>
        <w:t xml:space="preserve"> genoemd worden.</w:t>
      </w:r>
    </w:p>
    <w:p w:rsidR="00000000" w:rsidDel="00000000" w:rsidP="00000000" w:rsidRDefault="00000000" w:rsidRPr="00000000" w14:paraId="00000019">
      <w:pPr>
        <w:spacing w:after="240" w:before="240" w:lineRule="auto"/>
        <w:rPr/>
      </w:pPr>
      <w:r w:rsidDel="00000000" w:rsidR="00000000" w:rsidRPr="00000000">
        <w:rPr>
          <w:rtl w:val="0"/>
        </w:rPr>
        <w:t xml:space="preserve">Het model is grofweg als volgt: een antigeen of prikkel wordt aangeboden door een antigeenpresenterende cel, waarna CD4+-T-cellen geactiveerd raken. Vanuit daar ontstaat verdere cytokineproductie. Die immuunreactie kan twee kanten op: </w:t>
      </w:r>
      <w:r w:rsidDel="00000000" w:rsidR="00000000" w:rsidRPr="00000000">
        <w:rPr>
          <w:b w:val="1"/>
          <w:bCs w:val="1"/>
          <w:rtl w:val="0"/>
        </w:rPr>
        <w:t xml:space="preserve">resolutie</w:t>
      </w:r>
      <w:r w:rsidDel="00000000" w:rsidR="00000000" w:rsidRPr="00000000">
        <w:rPr>
          <w:rtl w:val="0"/>
        </w:rPr>
        <w:t xml:space="preserve"> of </w:t>
      </w:r>
      <w:r w:rsidDel="00000000" w:rsidR="00000000" w:rsidRPr="00000000">
        <w:rPr>
          <w:b w:val="1"/>
          <w:bCs w:val="1"/>
          <w:rtl w:val="0"/>
        </w:rPr>
        <w:t xml:space="preserve">fibrose</w:t>
      </w:r>
      <w:r w:rsidDel="00000000" w:rsidR="00000000" w:rsidRPr="00000000">
        <w:rPr>
          <w:rtl w:val="0"/>
        </w:rPr>
        <w:t xml:space="preserve">. Dat laatste is klinisch belangrijk, omdat fibrose blijvende orgaanschade kan geven, vooral in de longen.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vwylw1koi2vx" w:id="3"/>
      <w:bookmarkEnd w:id="3"/>
      <w:r w:rsidDel="00000000" w:rsidR="00000000" w:rsidRPr="00000000">
        <w:rPr>
          <w:b w:val="1"/>
          <w:bCs w:val="1"/>
          <w:color w:val="000000"/>
          <w:sz w:val="26"/>
          <w:szCs w:val="26"/>
          <w:rtl w:val="0"/>
        </w:rPr>
        <w:t xml:space="preserve">Aandacht-vraag 1</w:t>
      </w:r>
    </w:p>
    <w:p w:rsidR="00000000" w:rsidDel="00000000" w:rsidP="00000000" w:rsidRDefault="00000000" w:rsidRPr="00000000" w14:paraId="0000001B">
      <w:pPr>
        <w:spacing w:after="240" w:before="240" w:lineRule="auto"/>
        <w:rPr/>
      </w:pPr>
      <w:r w:rsidDel="00000000" w:rsidR="00000000" w:rsidRPr="00000000">
        <w:rPr>
          <w:rtl w:val="0"/>
        </w:rPr>
        <w:t xml:space="preserve">Waarom is hypercalciëmie bij sarcoïdose logisch vanuit de pathogenese?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Mini-antwoord:</w:t>
      </w:r>
      <w:r w:rsidDel="00000000" w:rsidR="00000000" w:rsidRPr="00000000">
        <w:rPr>
          <w:rtl w:val="0"/>
        </w:rPr>
        <w:t xml:space="preserve"> omdat granulomen 1,25-OH-vitamine D kunnen produceren, wat het calciumgehalte kan verhogen.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yb5m73a1z6pk" w:id="4"/>
      <w:bookmarkEnd w:id="4"/>
      <w:r w:rsidDel="00000000" w:rsidR="00000000" w:rsidRPr="00000000">
        <w:rPr>
          <w:b w:val="1"/>
          <w:bCs w:val="1"/>
          <w:sz w:val="34"/>
          <w:szCs w:val="34"/>
          <w:rtl w:val="0"/>
        </w:rPr>
        <w:t xml:space="preserve">Het granuloom onder de microscoop</w:t>
      </w:r>
    </w:p>
    <w:p w:rsidR="00000000" w:rsidDel="00000000" w:rsidP="00000000" w:rsidRDefault="00000000" w:rsidRPr="00000000" w14:paraId="0000001E">
      <w:pPr>
        <w:spacing w:after="240" w:before="240" w:lineRule="auto"/>
        <w:rPr/>
      </w:pPr>
      <w:r w:rsidDel="00000000" w:rsidR="00000000" w:rsidRPr="00000000">
        <w:rPr>
          <w:rtl w:val="0"/>
        </w:rPr>
        <w:t xml:space="preserve">Microscopisch is het onderscheid tussen normale long en een long met granulomen duidelijk. Bij sarcoïdose zie je ophopingen van ontstekingscellen die samen granulomen vormen. Voor de diagnose is vooral van belang dat men, als er een biopt wordt afgenomen, zoekt naar </w:t>
      </w:r>
      <w:r w:rsidDel="00000000" w:rsidR="00000000" w:rsidRPr="00000000">
        <w:rPr>
          <w:b w:val="1"/>
          <w:bCs w:val="1"/>
          <w:rtl w:val="0"/>
        </w:rPr>
        <w:t xml:space="preserve">niet-verkazende granulomen</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Niet-verkazend betekent hier dat de granulomen geen centrale verkazende necrose hebben. Dat onderscheid is belangrijk, omdat andere granulomateuze aandoeningen, vooral bepaalde infecties zoals tuberculose, een ander histologisch patroon kunnen geven. Een biopt helpt dus niet alleen om granulomen aan te tonen, maar ook om de diagnose sarcoïdose waarschijnlijker te maken in combinatie met de rest van het klinische beeld.</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pwc6cfz4ke5" w:id="5"/>
      <w:bookmarkEnd w:id="5"/>
      <w:r w:rsidDel="00000000" w:rsidR="00000000" w:rsidRPr="00000000">
        <w:rPr>
          <w:b w:val="1"/>
          <w:bCs w:val="1"/>
          <w:sz w:val="34"/>
          <w:szCs w:val="34"/>
          <w:rtl w:val="0"/>
        </w:rPr>
        <w:t xml:space="preserve">Klinische presentatie</w:t>
      </w:r>
    </w:p>
    <w:p w:rsidR="00000000" w:rsidDel="00000000" w:rsidP="00000000" w:rsidRDefault="00000000" w:rsidRPr="00000000" w14:paraId="00000021">
      <w:pPr>
        <w:spacing w:after="240" w:before="240" w:lineRule="auto"/>
        <w:rPr/>
      </w:pPr>
      <w:r w:rsidDel="00000000" w:rsidR="00000000" w:rsidRPr="00000000">
        <w:rPr>
          <w:rtl w:val="0"/>
        </w:rPr>
        <w:t xml:space="preserve">De kliniek van sarcoïdose is breed. Dat is een van de belangrijkste dingen om te onthouden: sarcoïdose kan zich op veel verschillende manieren presenteren en kan ook volledig asymptomatisch verlopen.</w:t>
      </w:r>
    </w:p>
    <w:p w:rsidR="00000000" w:rsidDel="00000000" w:rsidP="00000000" w:rsidRDefault="00000000" w:rsidRPr="00000000" w14:paraId="00000022">
      <w:pPr>
        <w:spacing w:after="240" w:before="240" w:lineRule="auto"/>
        <w:rPr/>
      </w:pPr>
      <w:r w:rsidDel="00000000" w:rsidR="00000000" w:rsidRPr="00000000">
        <w:rPr>
          <w:rtl w:val="0"/>
        </w:rPr>
        <w:t xml:space="preserve">Algemene klachten die genoemd worden zijn:</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vermoeidheid,</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koorts,</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gewichtsverlies.</w:t>
      </w:r>
    </w:p>
    <w:p w:rsidR="00000000" w:rsidDel="00000000" w:rsidP="00000000" w:rsidRDefault="00000000" w:rsidRPr="00000000" w14:paraId="00000026">
      <w:pPr>
        <w:spacing w:after="240" w:before="240" w:lineRule="auto"/>
        <w:rPr/>
      </w:pPr>
      <w:r w:rsidDel="00000000" w:rsidR="00000000" w:rsidRPr="00000000">
        <w:rPr>
          <w:rtl w:val="0"/>
        </w:rPr>
        <w:t xml:space="preserve">Vanuit de longen komen vaak:</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kortademigheid,</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hoesten.</w:t>
      </w:r>
    </w:p>
    <w:p w:rsidR="00000000" w:rsidDel="00000000" w:rsidP="00000000" w:rsidRDefault="00000000" w:rsidRPr="00000000" w14:paraId="00000029">
      <w:pPr>
        <w:spacing w:after="240" w:before="240" w:lineRule="auto"/>
        <w:rPr/>
      </w:pPr>
      <w:r w:rsidDel="00000000" w:rsidR="00000000" w:rsidRPr="00000000">
        <w:rPr>
          <w:rtl w:val="0"/>
        </w:rPr>
        <w:t xml:space="preserve">Daarnaast kunnen klachten ontstaan vanuit andere organen, bijvoorbeeld:</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visusproblemen,</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hartritmestoornissen,</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gewrichtsklachten,</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huidafwijkingen.</w:t>
      </w:r>
    </w:p>
    <w:p w:rsidR="00000000" w:rsidDel="00000000" w:rsidP="00000000" w:rsidRDefault="00000000" w:rsidRPr="00000000" w14:paraId="0000002E">
      <w:pPr>
        <w:spacing w:after="240" w:before="240" w:lineRule="auto"/>
        <w:rPr/>
      </w:pPr>
      <w:r w:rsidDel="00000000" w:rsidR="00000000" w:rsidRPr="00000000">
        <w:rPr>
          <w:rtl w:val="0"/>
        </w:rPr>
        <w:t xml:space="preserve">Het materiaal laat zien dat orgaanbetrokkenheid zeer breed kan zijn. Genoemd worden onder andere:</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tl w:val="0"/>
        </w:rPr>
        <w:t xml:space="preserve">longen,</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lymfeklieren in hals en thorax,</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ogen,</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huid,</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hart,</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milt,</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lever,</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gewrichten,</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hersenen.</w:t>
      </w:r>
    </w:p>
    <w:p w:rsidR="00000000" w:rsidDel="00000000" w:rsidP="00000000" w:rsidRDefault="00000000" w:rsidRPr="00000000" w14:paraId="00000038">
      <w:pPr>
        <w:spacing w:after="240" w:before="240" w:lineRule="auto"/>
        <w:rPr/>
      </w:pPr>
      <w:r w:rsidDel="00000000" w:rsidR="00000000" w:rsidRPr="00000000">
        <w:rPr>
          <w:rtl w:val="0"/>
        </w:rPr>
        <w:t xml:space="preserve">Bij de huid wordt ook </w:t>
      </w:r>
      <w:r w:rsidDel="00000000" w:rsidR="00000000" w:rsidRPr="00000000">
        <w:rPr>
          <w:b w:val="1"/>
          <w:bCs w:val="1"/>
          <w:rtl w:val="0"/>
        </w:rPr>
        <w:t xml:space="preserve">erythema nodosum</w:t>
      </w:r>
      <w:r w:rsidDel="00000000" w:rsidR="00000000" w:rsidRPr="00000000">
        <w:rPr>
          <w:rtl w:val="0"/>
        </w:rPr>
        <w:t xml:space="preserve"> genoemd. Bij het hart kunnen complicaties optreden. Bij de hersenen kunnen neurologische problemen ontstaan. Dit brede klinische spectrum verklaart waarom sarcoïdose soms snel wordt herkend, maar soms ook juist lastig te diagnosticeren is.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q3dudv14wnq4" w:id="6"/>
      <w:bookmarkEnd w:id="6"/>
      <w:r w:rsidDel="00000000" w:rsidR="00000000" w:rsidRPr="00000000">
        <w:rPr>
          <w:b w:val="1"/>
          <w:bCs w:val="1"/>
          <w:sz w:val="34"/>
          <w:szCs w:val="34"/>
          <w:rtl w:val="0"/>
        </w:rPr>
        <w:t xml:space="preserve">Radiologische stadia van sarcoïdose</w:t>
      </w:r>
    </w:p>
    <w:p w:rsidR="00000000" w:rsidDel="00000000" w:rsidP="00000000" w:rsidRDefault="00000000" w:rsidRPr="00000000" w14:paraId="0000003A">
      <w:pPr>
        <w:spacing w:after="240" w:before="240" w:lineRule="auto"/>
        <w:rPr/>
      </w:pPr>
      <w:r w:rsidDel="00000000" w:rsidR="00000000" w:rsidRPr="00000000">
        <w:rPr>
          <w:rtl w:val="0"/>
        </w:rPr>
        <w:t xml:space="preserve">Voor longbetrokkenheid worden radiologische stadia onderscheiden. Deze geven een indruk van het patroon in de thorax en hangen samen met de kans op remissie.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ewtf1g2to83" w:id="7"/>
      <w:bookmarkEnd w:id="7"/>
      <w:r w:rsidDel="00000000" w:rsidR="00000000" w:rsidRPr="00000000">
        <w:rPr>
          <w:b w:val="1"/>
          <w:bCs w:val="1"/>
          <w:color w:val="000000"/>
          <w:sz w:val="26"/>
          <w:szCs w:val="26"/>
          <w:rtl w:val="0"/>
        </w:rPr>
        <w:t xml:space="preserve">Tabel 1. Radiologische stadia van sarcoïdose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7188498402556"/>
        <w:gridCol w:w="6060.575079872205"/>
        <w:gridCol w:w="1963.70607028754"/>
        <w:tblGridChange w:id="0">
          <w:tblGrid>
            <w:gridCol w:w="1335.7188498402556"/>
            <w:gridCol w:w="6060.575079872205"/>
            <w:gridCol w:w="1963.7060702875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Stadium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Beschrijving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Kans op remissie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Stadium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Bihilaire lymfadenopathie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60–80%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Stadium 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Bihilaire lymfadenopathie met longparenchymbetrokkenheid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50–60%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Stadium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Alleen longparenchymbetrokkenheid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&lt;30%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Stadium 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Longfibrose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irreversibel</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Deze indeling is vooral nuttig om het thoraxbeeld systematisch te beschrijven. Stadium IV is hierbij het ernstigst, omdat er dan sprake is van longfibrose die niet meer omkeerbaar is.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iov8ipcd5c32" w:id="8"/>
      <w:bookmarkEnd w:id="8"/>
      <w:r w:rsidDel="00000000" w:rsidR="00000000" w:rsidRPr="00000000">
        <w:rPr>
          <w:b w:val="1"/>
          <w:bCs w:val="1"/>
          <w:color w:val="000000"/>
          <w:sz w:val="26"/>
          <w:szCs w:val="26"/>
          <w:rtl w:val="0"/>
        </w:rPr>
        <w:t xml:space="preserve">Aandacht-vraag 2</w:t>
      </w:r>
    </w:p>
    <w:p w:rsidR="00000000" w:rsidDel="00000000" w:rsidP="00000000" w:rsidRDefault="00000000" w:rsidRPr="00000000" w14:paraId="0000004D">
      <w:pPr>
        <w:spacing w:after="240" w:before="240" w:lineRule="auto"/>
        <w:rPr/>
      </w:pPr>
      <w:r w:rsidDel="00000000" w:rsidR="00000000" w:rsidRPr="00000000">
        <w:rPr>
          <w:rtl w:val="0"/>
        </w:rPr>
        <w:t xml:space="preserve">Welk radiologisch stadium heeft de beste kans op spontane remissie?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Mini-antwoord:</w:t>
      </w:r>
      <w:r w:rsidDel="00000000" w:rsidR="00000000" w:rsidRPr="00000000">
        <w:rPr>
          <w:rtl w:val="0"/>
        </w:rPr>
        <w:t xml:space="preserve"> stadium I, met bihilaire lymfadenopathie zonder parenchymbetrokkenheid.</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w8ax88mbh6it" w:id="9"/>
      <w:bookmarkEnd w:id="9"/>
      <w:r w:rsidDel="00000000" w:rsidR="00000000" w:rsidRPr="00000000">
        <w:rPr>
          <w:b w:val="1"/>
          <w:bCs w:val="1"/>
          <w:sz w:val="34"/>
          <w:szCs w:val="34"/>
          <w:rtl w:val="0"/>
        </w:rPr>
        <w:t xml:space="preserve">Diagnostiek</w:t>
      </w:r>
    </w:p>
    <w:p w:rsidR="00000000" w:rsidDel="00000000" w:rsidP="00000000" w:rsidRDefault="00000000" w:rsidRPr="00000000" w14:paraId="00000050">
      <w:pPr>
        <w:spacing w:after="240" w:before="240" w:lineRule="auto"/>
        <w:rPr/>
      </w:pPr>
      <w:r w:rsidDel="00000000" w:rsidR="00000000" w:rsidRPr="00000000">
        <w:rPr>
          <w:rtl w:val="0"/>
        </w:rPr>
        <w:t xml:space="preserve">Een heel belangrijk punt uit het materiaal is: </w:t>
      </w:r>
      <w:r w:rsidDel="00000000" w:rsidR="00000000" w:rsidRPr="00000000">
        <w:rPr>
          <w:b w:val="1"/>
          <w:bCs w:val="1"/>
          <w:rtl w:val="0"/>
        </w:rPr>
        <w:t xml:space="preserve">er bestaat geen specifieke test voor sarcoïdose</w:t>
      </w:r>
      <w:r w:rsidDel="00000000" w:rsidR="00000000" w:rsidRPr="00000000">
        <w:rPr>
          <w:rtl w:val="0"/>
        </w:rPr>
        <w:t xml:space="preserve">. Dat betekent dat je de diagnose niet met één enkele bloedtest of scan kunt bevestigen.</w:t>
      </w:r>
    </w:p>
    <w:p w:rsidR="00000000" w:rsidDel="00000000" w:rsidP="00000000" w:rsidRDefault="00000000" w:rsidRPr="00000000" w14:paraId="00000051">
      <w:pPr>
        <w:spacing w:after="240" w:before="240" w:lineRule="auto"/>
        <w:rPr/>
      </w:pPr>
      <w:r w:rsidDel="00000000" w:rsidR="00000000" w:rsidRPr="00000000">
        <w:rPr>
          <w:rtl w:val="0"/>
        </w:rPr>
        <w:t xml:space="preserve">De diagnose berust op een combinatie van:</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een passend klinisch beeld,</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bevindingen bij aanvullend onderzoek,</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zo mogelijk histologie met </w:t>
      </w:r>
      <w:r w:rsidDel="00000000" w:rsidR="00000000" w:rsidRPr="00000000">
        <w:rPr>
          <w:b w:val="1"/>
          <w:bCs w:val="1"/>
          <w:rtl w:val="0"/>
        </w:rPr>
        <w:t xml:space="preserve">niet-verkazende granulomen</w:t>
      </w:r>
      <w:r w:rsidDel="00000000" w:rsidR="00000000" w:rsidRPr="00000000">
        <w:rPr>
          <w:rtl w:val="0"/>
        </w:rPr>
        <w:t xml:space="preserve">,</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en het uitsluiten van andere oorzaken van granuloomvorming.</w:t>
      </w:r>
    </w:p>
    <w:p w:rsidR="00000000" w:rsidDel="00000000" w:rsidP="00000000" w:rsidRDefault="00000000" w:rsidRPr="00000000" w14:paraId="00000056">
      <w:pPr>
        <w:spacing w:after="240" w:before="240" w:lineRule="auto"/>
        <w:rPr/>
      </w:pPr>
      <w:r w:rsidDel="00000000" w:rsidR="00000000" w:rsidRPr="00000000">
        <w:rPr>
          <w:rtl w:val="0"/>
        </w:rPr>
        <w:t xml:space="preserve">Met andere woorden: sarcoïdose is een diagnose die je opbouwt.</w:t>
      </w:r>
    </w:p>
    <w:p w:rsidR="00000000" w:rsidDel="00000000" w:rsidP="00000000" w:rsidRDefault="00000000" w:rsidRPr="00000000" w14:paraId="00000057">
      <w:pPr>
        <w:spacing w:after="240" w:before="240" w:lineRule="auto"/>
        <w:rPr/>
      </w:pPr>
      <w:r w:rsidDel="00000000" w:rsidR="00000000" w:rsidRPr="00000000">
        <w:rPr>
          <w:rtl w:val="0"/>
        </w:rPr>
        <w:t xml:space="preserve">Onderzoeken die overwogen worden zijn:</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gerichte anamnese, onder andere naar blootstelling aan inerte stoffen;</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algemeen bloedonderzoek met:</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b w:val="1"/>
          <w:bCs w:val="1"/>
          <w:rtl w:val="0"/>
        </w:rPr>
        <w:t xml:space="preserve">calcium (Ca++)</w:t>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b w:val="1"/>
          <w:bCs w:val="1"/>
          <w:rtl w:val="0"/>
        </w:rPr>
        <w:t xml:space="preserve">ACE</w:t>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b w:val="1"/>
          <w:bCs w:val="1"/>
          <w:rtl w:val="0"/>
        </w:rPr>
        <w:t xml:space="preserve">sIL-2R</w:t>
      </w:r>
    </w:p>
    <w:p w:rsidR="00000000" w:rsidDel="00000000" w:rsidP="00000000" w:rsidRDefault="00000000" w:rsidRPr="00000000" w14:paraId="0000005D">
      <w:pPr>
        <w:numPr>
          <w:ilvl w:val="1"/>
          <w:numId w:val="5"/>
        </w:numPr>
        <w:spacing w:after="0" w:afterAutospacing="0" w:before="0" w:beforeAutospacing="0" w:lineRule="auto"/>
        <w:ind w:left="1440" w:hanging="360"/>
      </w:pPr>
      <w:r w:rsidDel="00000000" w:rsidR="00000000" w:rsidRPr="00000000">
        <w:rPr>
          <w:b w:val="1"/>
          <w:bCs w:val="1"/>
          <w:rtl w:val="0"/>
        </w:rPr>
        <w:t xml:space="preserve">lymfocyten</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b w:val="1"/>
          <w:bCs w:val="1"/>
          <w:rtl w:val="0"/>
        </w:rPr>
        <w:t xml:space="preserve">X-thorax</w:t>
      </w:r>
      <w:r w:rsidDel="00000000" w:rsidR="00000000" w:rsidRPr="00000000">
        <w:rPr>
          <w:rtl w:val="0"/>
        </w:rPr>
        <w:t xml:space="preserve"> of </w:t>
      </w:r>
      <w:r w:rsidDel="00000000" w:rsidR="00000000" w:rsidRPr="00000000">
        <w:rPr>
          <w:b w:val="1"/>
          <w:bCs w:val="1"/>
          <w:rtl w:val="0"/>
        </w:rPr>
        <w:t xml:space="preserve">CT-scan</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b w:val="1"/>
          <w:bCs w:val="1"/>
          <w:rtl w:val="0"/>
        </w:rPr>
        <w:t xml:space="preserve">ECG</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b w:val="1"/>
          <w:bCs w:val="1"/>
          <w:rtl w:val="0"/>
        </w:rPr>
        <w:t xml:space="preserve">oogonderzoek</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b w:val="1"/>
          <w:bCs w:val="1"/>
          <w:rtl w:val="0"/>
        </w:rPr>
        <w:t xml:space="preserve">longfunctieonderzoek</w:t>
      </w:r>
      <w:r w:rsidDel="00000000" w:rsidR="00000000" w:rsidRPr="00000000">
        <w:rPr>
          <w:rtl w:val="0"/>
        </w:rPr>
        <w:t xml:space="preserve">, met onder andere:</w:t>
      </w:r>
    </w:p>
    <w:p w:rsidR="00000000" w:rsidDel="00000000" w:rsidP="00000000" w:rsidRDefault="00000000" w:rsidRPr="00000000" w14:paraId="00000062">
      <w:pPr>
        <w:numPr>
          <w:ilvl w:val="1"/>
          <w:numId w:val="5"/>
        </w:numPr>
        <w:spacing w:after="0" w:afterAutospacing="0" w:before="0" w:beforeAutospacing="0" w:lineRule="auto"/>
        <w:ind w:left="1440" w:hanging="360"/>
      </w:pPr>
      <w:r w:rsidDel="00000000" w:rsidR="00000000" w:rsidRPr="00000000">
        <w:rPr>
          <w:b w:val="1"/>
          <w:bCs w:val="1"/>
          <w:rtl w:val="0"/>
        </w:rPr>
        <w:t xml:space="preserve">DLCO/DCO</w:t>
      </w:r>
    </w:p>
    <w:p w:rsidR="00000000" w:rsidDel="00000000" w:rsidP="00000000" w:rsidRDefault="00000000" w:rsidRPr="00000000" w14:paraId="00000063">
      <w:pPr>
        <w:numPr>
          <w:ilvl w:val="1"/>
          <w:numId w:val="5"/>
        </w:numPr>
        <w:spacing w:after="0" w:afterAutospacing="0" w:before="0" w:beforeAutospacing="0" w:lineRule="auto"/>
        <w:ind w:left="1440" w:hanging="360"/>
      </w:pPr>
      <w:r w:rsidDel="00000000" w:rsidR="00000000" w:rsidRPr="00000000">
        <w:rPr>
          <w:b w:val="1"/>
          <w:bCs w:val="1"/>
          <w:rtl w:val="0"/>
        </w:rPr>
        <w:t xml:space="preserve">TLC</w:t>
      </w:r>
    </w:p>
    <w:p w:rsidR="00000000" w:rsidDel="00000000" w:rsidP="00000000" w:rsidRDefault="00000000" w:rsidRPr="00000000" w14:paraId="00000064">
      <w:pPr>
        <w:numPr>
          <w:ilvl w:val="1"/>
          <w:numId w:val="5"/>
        </w:numPr>
        <w:spacing w:after="0" w:afterAutospacing="0" w:before="0" w:beforeAutospacing="0" w:lineRule="auto"/>
        <w:ind w:left="1440" w:hanging="360"/>
      </w:pPr>
      <w:r w:rsidDel="00000000" w:rsidR="00000000" w:rsidRPr="00000000">
        <w:rPr>
          <w:b w:val="1"/>
          <w:bCs w:val="1"/>
          <w:rtl w:val="0"/>
        </w:rPr>
        <w:t xml:space="preserve">VC</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orgaanspecifiek aanvullend onderzoek;</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tl w:val="0"/>
        </w:rPr>
        <w:t xml:space="preserve">soms </w:t>
      </w:r>
      <w:r w:rsidDel="00000000" w:rsidR="00000000" w:rsidRPr="00000000">
        <w:rPr>
          <w:b w:val="1"/>
          <w:bCs w:val="1"/>
          <w:rtl w:val="0"/>
        </w:rPr>
        <w:t xml:space="preserve">PET-CT</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De rol van het biopt is groot wanneer dit haalbaar is. Daarin zoekt men naar niet-verkazende granulomen. Tegelijk is een biopt op zichzelf niet genoeg: ook dan moeten andere oorzaken uitgesloten worden.</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2he8rku46yyw" w:id="10"/>
      <w:bookmarkEnd w:id="10"/>
      <w:r w:rsidDel="00000000" w:rsidR="00000000" w:rsidRPr="00000000">
        <w:rPr>
          <w:b w:val="1"/>
          <w:bCs w:val="1"/>
          <w:sz w:val="34"/>
          <w:szCs w:val="34"/>
          <w:rtl w:val="0"/>
        </w:rPr>
        <w:t xml:space="preserve">Differentiaaldiagnose</w:t>
      </w:r>
    </w:p>
    <w:p w:rsidR="00000000" w:rsidDel="00000000" w:rsidP="00000000" w:rsidRDefault="00000000" w:rsidRPr="00000000" w14:paraId="00000069">
      <w:pPr>
        <w:spacing w:after="240" w:before="240" w:lineRule="auto"/>
        <w:rPr/>
      </w:pPr>
      <w:r w:rsidDel="00000000" w:rsidR="00000000" w:rsidRPr="00000000">
        <w:rPr>
          <w:rtl w:val="0"/>
        </w:rPr>
        <w:t xml:space="preserve">Juist omdat granulomen niet exclusief zijn voor sarcoïdose, is de differentiaaldiagnose essentieel. In het materiaal wordt die breed benaderd.</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j4l5kcowa6ih" w:id="11"/>
      <w:bookmarkEnd w:id="11"/>
      <w:r w:rsidDel="00000000" w:rsidR="00000000" w:rsidRPr="00000000">
        <w:rPr>
          <w:b w:val="1"/>
          <w:bCs w:val="1"/>
          <w:color w:val="000000"/>
          <w:sz w:val="26"/>
          <w:szCs w:val="26"/>
          <w:rtl w:val="0"/>
        </w:rPr>
        <w:t xml:space="preserve">Tabel 2. Differentiaaldiagnose bij granulomateuze afwijkingen</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335"/>
        <w:tblGridChange w:id="0">
          <w:tblGrid>
            <w:gridCol w:w="2885"/>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Categorie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Voorbeelden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Infectieus: parasieten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Schistosomiasis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Infectieus: bacteriën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i w:val="1"/>
                <w:iCs w:val="1"/>
                <w:rtl w:val="0"/>
              </w:rPr>
              <w:t xml:space="preserve">Mycobacterium tuberculosis</w:t>
            </w:r>
            <w:r w:rsidDel="00000000" w:rsidR="00000000" w:rsidRPr="00000000">
              <w:rPr>
                <w:rtl w:val="0"/>
              </w:rPr>
              <w:t xml:space="preserve">, niet-tuberculeuze mycobacteriën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Infectieus: schimmels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Aspergillose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Niet-infectieus: neoplasmata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Carcinomen, lymfomen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Niet-infectieus: vreemde stoffen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Silicose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Niet-infectieus: immunologische ziekten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CVID, granulomatose with polyangiitis (GPA), reuscelarteritis, chronic granulomatous disease (CGD), ziekte van Crohn</w:t>
            </w:r>
          </w:p>
        </w:tc>
      </w:tr>
    </w:tbl>
    <w:p w:rsidR="00000000" w:rsidDel="00000000" w:rsidP="00000000" w:rsidRDefault="00000000" w:rsidRPr="00000000" w14:paraId="00000079">
      <w:pPr>
        <w:spacing w:after="240" w:before="240" w:lineRule="auto"/>
        <w:rPr/>
      </w:pPr>
      <w:r w:rsidDel="00000000" w:rsidR="00000000" w:rsidRPr="00000000">
        <w:rPr>
          <w:rtl w:val="0"/>
        </w:rPr>
        <w:t xml:space="preserve">Deze lijst laat zien waarom de diagnose sarcoïdose nooit alleen op “granulomen aanwezig” mag worden gebaseerd. Vooral tuberculose is hierbij een belangrijke overweging, maar ook niet-infectieuze aandoeningen kunnen sterk lijken op sarcoïdose.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x2pj8hikrvxm" w:id="12"/>
      <w:bookmarkEnd w:id="12"/>
      <w:r w:rsidDel="00000000" w:rsidR="00000000" w:rsidRPr="00000000">
        <w:rPr>
          <w:b w:val="1"/>
          <w:bCs w:val="1"/>
          <w:sz w:val="34"/>
          <w:szCs w:val="34"/>
          <w:rtl w:val="0"/>
        </w:rPr>
        <w:t xml:space="preserve">Behandeling</w:t>
      </w:r>
    </w:p>
    <w:p w:rsidR="00000000" w:rsidDel="00000000" w:rsidP="00000000" w:rsidRDefault="00000000" w:rsidRPr="00000000" w14:paraId="0000007B">
      <w:pPr>
        <w:spacing w:after="240" w:before="240" w:lineRule="auto"/>
        <w:rPr/>
      </w:pPr>
      <w:r w:rsidDel="00000000" w:rsidR="00000000" w:rsidRPr="00000000">
        <w:rPr>
          <w:rtl w:val="0"/>
        </w:rPr>
        <w:t xml:space="preserve">Niet iedere patiënt met sarcoïdose hoeft behandeld te worden. Dat is een belangrijk praktisch punt. Soms is afwachten gerechtvaardigd, zeker wanneer er geen ernstige orgaanbedreiging is.</w:t>
      </w:r>
    </w:p>
    <w:p w:rsidR="00000000" w:rsidDel="00000000" w:rsidP="00000000" w:rsidRDefault="00000000" w:rsidRPr="00000000" w14:paraId="0000007C">
      <w:pPr>
        <w:spacing w:after="240" w:before="240" w:lineRule="auto"/>
        <w:rPr/>
      </w:pPr>
      <w:r w:rsidDel="00000000" w:rsidR="00000000" w:rsidRPr="00000000">
        <w:rPr>
          <w:rtl w:val="0"/>
        </w:rPr>
        <w:t xml:space="preserve">Behandeling wordt vooral overwogen wanneer er:</w:t>
      </w:r>
    </w:p>
    <w:p w:rsidR="00000000" w:rsidDel="00000000" w:rsidP="00000000" w:rsidRDefault="00000000" w:rsidRPr="00000000" w14:paraId="0000007D">
      <w:pPr>
        <w:numPr>
          <w:ilvl w:val="0"/>
          <w:numId w:val="11"/>
        </w:numPr>
        <w:spacing w:after="0" w:afterAutospacing="0" w:before="240" w:lineRule="auto"/>
        <w:ind w:left="720" w:hanging="360"/>
      </w:pPr>
      <w:r w:rsidDel="00000000" w:rsidR="00000000" w:rsidRPr="00000000">
        <w:rPr>
          <w:rtl w:val="0"/>
        </w:rPr>
        <w:t xml:space="preserve">risico is op functieverlies van een orgaan, bijvoorbeeld bij aantasting van:</w:t>
      </w:r>
    </w:p>
    <w:p w:rsidR="00000000" w:rsidDel="00000000" w:rsidP="00000000" w:rsidRDefault="00000000" w:rsidRPr="00000000" w14:paraId="0000007E">
      <w:pPr>
        <w:numPr>
          <w:ilvl w:val="1"/>
          <w:numId w:val="11"/>
        </w:numPr>
        <w:spacing w:after="0" w:afterAutospacing="0" w:before="0" w:beforeAutospacing="0" w:lineRule="auto"/>
        <w:ind w:left="1440" w:hanging="360"/>
      </w:pPr>
      <w:r w:rsidDel="00000000" w:rsidR="00000000" w:rsidRPr="00000000">
        <w:rPr>
          <w:b w:val="1"/>
          <w:bCs w:val="1"/>
          <w:rtl w:val="0"/>
        </w:rPr>
        <w:t xml:space="preserve">hart</w:t>
      </w:r>
    </w:p>
    <w:p w:rsidR="00000000" w:rsidDel="00000000" w:rsidP="00000000" w:rsidRDefault="00000000" w:rsidRPr="00000000" w14:paraId="0000007F">
      <w:pPr>
        <w:numPr>
          <w:ilvl w:val="1"/>
          <w:numId w:val="11"/>
        </w:numPr>
        <w:spacing w:after="0" w:afterAutospacing="0" w:before="0" w:beforeAutospacing="0" w:lineRule="auto"/>
        <w:ind w:left="1440" w:hanging="360"/>
      </w:pPr>
      <w:r w:rsidDel="00000000" w:rsidR="00000000" w:rsidRPr="00000000">
        <w:rPr>
          <w:b w:val="1"/>
          <w:bCs w:val="1"/>
          <w:rtl w:val="0"/>
        </w:rPr>
        <w:t xml:space="preserve">oog</w:t>
      </w:r>
    </w:p>
    <w:p w:rsidR="00000000" w:rsidDel="00000000" w:rsidP="00000000" w:rsidRDefault="00000000" w:rsidRPr="00000000" w14:paraId="00000080">
      <w:pPr>
        <w:numPr>
          <w:ilvl w:val="1"/>
          <w:numId w:val="11"/>
        </w:numPr>
        <w:spacing w:after="0" w:afterAutospacing="0" w:before="0" w:beforeAutospacing="0" w:lineRule="auto"/>
        <w:ind w:left="1440" w:hanging="360"/>
      </w:pPr>
      <w:r w:rsidDel="00000000" w:rsidR="00000000" w:rsidRPr="00000000">
        <w:rPr>
          <w:b w:val="1"/>
          <w:bCs w:val="1"/>
          <w:rtl w:val="0"/>
        </w:rPr>
        <w:t xml:space="preserve">zenuwstelsel</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sprake is van </w:t>
      </w:r>
      <w:r w:rsidDel="00000000" w:rsidR="00000000" w:rsidRPr="00000000">
        <w:rPr>
          <w:b w:val="1"/>
          <w:bCs w:val="1"/>
          <w:rtl w:val="0"/>
        </w:rPr>
        <w:t xml:space="preserve">hypercalciëmie</w:t>
      </w:r>
      <w:r w:rsidDel="00000000" w:rsidR="00000000" w:rsidRPr="00000000">
        <w:rPr>
          <w:rtl w:val="0"/>
        </w:rPr>
        <w:t xml:space="preserve">,</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rtl w:val="0"/>
        </w:rPr>
        <w:t xml:space="preserve">of een </w:t>
      </w:r>
      <w:r w:rsidDel="00000000" w:rsidR="00000000" w:rsidRPr="00000000">
        <w:rPr>
          <w:b w:val="1"/>
          <w:bCs w:val="1"/>
          <w:rtl w:val="0"/>
        </w:rPr>
        <w:t xml:space="preserve">risico op overlijden</w:t>
      </w:r>
      <w:r w:rsidDel="00000000" w:rsidR="00000000" w:rsidRPr="00000000">
        <w:rPr>
          <w:rtl w:val="0"/>
        </w:rPr>
        <w:t xml:space="preserve"> bestaat.</w:t>
      </w:r>
    </w:p>
    <w:p w:rsidR="00000000" w:rsidDel="00000000" w:rsidP="00000000" w:rsidRDefault="00000000" w:rsidRPr="00000000" w14:paraId="00000083">
      <w:pPr>
        <w:spacing w:after="240" w:before="240" w:lineRule="auto"/>
        <w:rPr/>
      </w:pPr>
      <w:r w:rsidDel="00000000" w:rsidR="00000000" w:rsidRPr="00000000">
        <w:rPr>
          <w:rtl w:val="0"/>
        </w:rPr>
        <w:t xml:space="preserve">Medicatie die vaak gebruikt wordt:</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b w:val="1"/>
          <w:bCs w:val="1"/>
          <w:rtl w:val="0"/>
        </w:rPr>
        <w:t xml:space="preserve">corticosteroïden</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b w:val="1"/>
          <w:bCs w:val="1"/>
          <w:rtl w:val="0"/>
        </w:rPr>
        <w:t xml:space="preserve">methotrexaat (MTX)</w:t>
      </w:r>
    </w:p>
    <w:p w:rsidR="00000000" w:rsidDel="00000000" w:rsidP="00000000" w:rsidRDefault="00000000" w:rsidRPr="00000000" w14:paraId="00000086">
      <w:pPr>
        <w:numPr>
          <w:ilvl w:val="0"/>
          <w:numId w:val="10"/>
        </w:numPr>
        <w:spacing w:after="240" w:before="0" w:beforeAutospacing="0" w:lineRule="auto"/>
        <w:ind w:left="720" w:hanging="360"/>
      </w:pPr>
      <w:r w:rsidDel="00000000" w:rsidR="00000000" w:rsidRPr="00000000">
        <w:rPr>
          <w:b w:val="1"/>
          <w:bCs w:val="1"/>
          <w:rtl w:val="0"/>
        </w:rPr>
        <w:t xml:space="preserve">TNF-blokkade</w:t>
      </w:r>
    </w:p>
    <w:p w:rsidR="00000000" w:rsidDel="00000000" w:rsidP="00000000" w:rsidRDefault="00000000" w:rsidRPr="00000000" w14:paraId="00000087">
      <w:pPr>
        <w:spacing w:after="240" w:before="240" w:lineRule="auto"/>
        <w:rPr/>
      </w:pPr>
      <w:r w:rsidDel="00000000" w:rsidR="00000000" w:rsidRPr="00000000">
        <w:rPr>
          <w:rtl w:val="0"/>
        </w:rPr>
        <w:t xml:space="preserve">De gedachte achter behandeling is dat de ontstekingsreactie moet worden geremd wanneer die schade veroorzaakt of dreigt te veroorzaken. Omdat sarcoïdose zo variabel verloopt, is behandeling dus niet automatisch nodig bij elke patiënt, maar wordt deze afgestemd op ernst, orgaanbetrokkenheid en risico’s.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dt8lk35vlcrt" w:id="13"/>
      <w:bookmarkEnd w:id="13"/>
      <w:r w:rsidDel="00000000" w:rsidR="00000000" w:rsidRPr="00000000">
        <w:rPr>
          <w:b w:val="1"/>
          <w:bCs w:val="1"/>
          <w:sz w:val="34"/>
          <w:szCs w:val="34"/>
          <w:rtl w:val="0"/>
        </w:rPr>
        <w:t xml:space="preserve">Samenvatting</w:t>
      </w:r>
    </w:p>
    <w:p w:rsidR="00000000" w:rsidDel="00000000" w:rsidP="00000000" w:rsidRDefault="00000000" w:rsidRPr="00000000" w14:paraId="00000089">
      <w:pPr>
        <w:spacing w:after="240" w:before="240" w:lineRule="auto"/>
        <w:rPr/>
      </w:pPr>
      <w:r w:rsidDel="00000000" w:rsidR="00000000" w:rsidRPr="00000000">
        <w:rPr>
          <w:rtl w:val="0"/>
        </w:rPr>
        <w:t xml:space="preserve">Sarcoïdose is een chronische granulomateuze ontstekingsziekte van onbekende oorzaak, waarbij vooral de longen vaak zijn aangedaan, maar waarbij veel organen betrokken kunnen raken. De pathogenese draait om een immuunreactie met vooral Th1-lymfocyten en macrofagen, cytokinen zoals TNF-α en IFN-γ, en granuloomvorming. Vanuit granulomen kunnen ook markers en effecten ontstaan zoals verhoogd ACE, sIL-2R, productie van 1,25-OH-vitamine D en uiteindelijk fibrose.</w:t>
      </w:r>
    </w:p>
    <w:p w:rsidR="00000000" w:rsidDel="00000000" w:rsidP="00000000" w:rsidRDefault="00000000" w:rsidRPr="00000000" w14:paraId="0000008A">
      <w:pPr>
        <w:spacing w:after="240" w:before="240" w:lineRule="auto"/>
        <w:rPr/>
      </w:pPr>
      <w:r w:rsidDel="00000000" w:rsidR="00000000" w:rsidRPr="00000000">
        <w:rPr>
          <w:rtl w:val="0"/>
        </w:rPr>
        <w:t xml:space="preserve">Klinisch kan sarcoïdose zich presenteren met algemene klachten, respiratoire klachten en orgaanspecifieke verschijnselen, maar soms ook zonder duidelijke symptomen. Voor de diagnose bestaat geen specifieke test. Daarom berust de diagnose op het totaalbeeld: kliniek, aanvullend onderzoek, zo mogelijk biopt met niet-verkazende granulomen, en vooral uitsluiting van andere oorzaken van granuloomvorming. De differentiaaldiagnose is breed en omvat infecties, maligniteiten, blootstelling aan vreemde stoffen en andere immunologische aandoeningen.</w:t>
      </w:r>
    </w:p>
    <w:p w:rsidR="00000000" w:rsidDel="00000000" w:rsidP="00000000" w:rsidRDefault="00000000" w:rsidRPr="00000000" w14:paraId="0000008B">
      <w:pPr>
        <w:spacing w:after="240" w:before="240" w:lineRule="auto"/>
        <w:rPr/>
      </w:pPr>
      <w:r w:rsidDel="00000000" w:rsidR="00000000" w:rsidRPr="00000000">
        <w:rPr>
          <w:rtl w:val="0"/>
        </w:rPr>
        <w:t xml:space="preserve">Behandeling is niet altijd nodig, maar wordt wel belangrijk bij bedreigde orgaanfunctie, hypercalciëmie of een ernstig beloop. Dan worden vooral corticosteroïden, methotrexaat en TNF-blokkade genoemd. De kern is dus: sarcoïdose is een multisysteemziekte met granulomen, zonder enkelvoudige test, waarbij diagnostiek en behandeling altijd in context moeten worden beoordeeld.</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