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27 – AI Act</w:t>
      </w:r>
    </w:p>
    <w:p>
      <w:r>
        <w:t>De AI Act is de Europese verordening die het gebruik van kunstmatige intelligentie moet reguleren. De wet is bedoeld om AI veilig, transparant, betrouwbaar en niet-discriminerend te maken en burgers te beschermen tegen onveilige of ondoorzichtige toepassingen. Een belangrijke reden voor de AI Act is dat AI-systemen grensoverschrijdend werken: met één Europese regelset gelden overal dezelfde regels, ongeacht waar een leverancier gevestigd is. Omdat het een verordening is, geldt de wet direct in alle lidstaten.</w:t>
      </w:r>
    </w:p>
    <w:p>
      <w:r>
        <w:t>De AI Act gebruikt een risicogebaseerde indeling. Hoe groter het risico van een AI-systeem voor mens en maatschappij, hoe strenger de eisen. Er zijn vier risicoklassen: onaanvaardbaar risico, hoog risico, beperkt risico en minimaal risico.</w:t>
      </w:r>
    </w:p>
    <w:p>
      <w:r>
        <w:t>AI-toepassingen met een onaanvaardbaar risico zijn verboden. Het gaat om systemen die fundamentele rechten kunnen schenden. Voorbeelden zijn social scoring, emotieherkenning op de werkplek en gezichtsherkenning in openbare ruimtes. Dit soort toepassingen kan mensen ernstig benadelen en is daarom niet toegestaan.</w:t>
      </w:r>
    </w:p>
    <w:p>
      <w:r>
        <w:t>Hoog-risico-AI is vooral relevant in de zorg. Daar gaat het om systemen die invloed hebben op medische besluitvorming, patiëntveiligheid of toegang tot zorg. Voorbeelden zijn diagnostische beslissingsondersteuning, automatische triage, automatische interpretatie van onderzoeken en systemen die behandelkeuzes ondersteunen. Ook in andere domeinen kan AI hoog risico zijn, bijvoorbeeld bij reclassering of recidiverisico-inschatting. Bij hoog-risico-systemen gelden strenge eisen aan veiligheid, nauwkeurigheid, robuustheid, cyberveiligheid, transparantie, traceerbaarheid en menselijk toezicht. De arts of andere professional moet de output kunnen beoordelen en blijft verantwoordelijk voor het gebruik ervan.</w:t>
      </w:r>
    </w:p>
    <w:p>
      <w:r>
        <w:t>Belangrijke artikelen uit de AI Act zijn hierbij relevant. Artikel 15 gaat over veiligheid, nauwkeurigheid, robuustheid en cyberveiligheid. Artikel 13 gaat over transparantie: de werking van het systeem moet voldoende duidelijk zijn zodat gebruikers de output goed kunnen interpreteren en passend kunnen gebruiken. Artikel 10 hangt samen met het voorkomen van discriminatie. Milieuvriendelijkheid is in deze stof genoemd als onderwerp, maar is geen verplichting in de AI Act.</w:t>
      </w:r>
    </w:p>
    <w:p>
      <w:r>
        <w:t>Bij beperkt risico gaat het om systemen die met mensen in contact staan, zoals chatbots. Dan is vooral belangrijk dat gebruikers weten dat zij met AI te maken hebben. Ook systemen in organisatie, logistiek, planning of communicatie kunnen hieronder vallen, zolang ze geen invloed hebben op medische kernbeslissingen of toegang tot zorg. Voorbeelden zijn het voorspellen van no-shows, automatische roosterplanning voor operatiekamers, capaciteitsplanning, het herschrijven van brieven naar patiëntvriendelijkere tekst en een AI-simulatiepatiënt voor onderwijs. Voor deze systemen geldt vooral een transparantieplicht.</w:t>
      </w:r>
    </w:p>
    <w:p>
      <w:r>
        <w:t>Bij minimaal risico gaat het om heel eenvoudige toepassingen, zoals spelling- en grammaticacontrole. Daar gelden geen extra verplichtingen.</w:t>
      </w:r>
    </w:p>
    <w:p>
      <w:r>
        <w:t>In de zorg zijn verschillende toepassingen duidelijk hoog risico. Bij echocardiografie kan software zoals US2.ai echo’s van het hart automatisch analyseren. Deze technologie ondersteunt de echolaborant, maar de uitkomsten worden gebruikt voor diagnostiek. Daarom valt dit onder hoog risico. De arts moet de uitkomsten beoordelen en blijft verantwoordelijk. Het gebruik van AI-tools hoeft niet standaard aan de patiënt verteld te worden. Wel moeten de uitkomsten en de menselijke beoordeling worden vastgelegd; het gebruikte systeem hoeft niet expliciet in het dossier te staan.</w:t>
      </w:r>
    </w:p>
    <w:p>
      <w:r>
        <w:t>Ook detectie van incidentale longembolieën op CT-beelden valt onder hoog risico, omdat de technologie de radioloog ondersteunt en de uitkomsten worden gebruikt voor diagnostiek. Dit heeft niet alleen technische gevolgen, maar ook klinische en ethische vragen, bijvoorbeeld over de behandeling van kleine, toevallig gevonden longembolieën en de risico’s van antistolling.</w:t>
      </w:r>
    </w:p>
    <w:p>
      <w:r>
        <w:t>Automatisch intekenen bij radiotherapie is eveneens hoog risico. AI kan helpen bij het automatisch afgrenzen van anatomische structuren, wat invloed heeft op de therapieplanning. Hier spelen onder andere variatie in beeldvormingsprotocollen, verschillen in patiëntanatomie, verschillen in tumorkarakteristieken en een mogelijke mismatch tussen de getrainde dataset en de patiëntpopulatie in het ziekenhuis. De contouren moeten altijd beoordeeld worden en de arts blijft eindverantwoordelijk. Ook hier hoeft het gebruik van de AI-tool niet standaard aan de patiënt verteld te worden; wel wordt vastgelegd wie de contouren heeft goedgekeurd.</w:t>
      </w:r>
    </w:p>
    <w:p>
      <w:r>
        <w:t>Gezichtsherkenning is in Europa verboden en valt onder onaanvaardbaar risico. Camera’s met gezichtsherkenningstechnologie zijn daarom niet toegestaan. Een slimme bril kan in de zorg wel andere nuttige toepassingen hebben, zoals wondzorg, waarbij de bril helpt bij het herkennen van de wond en de behandeling, of tele-supervisie, waarbij een supervisor live kan meekijken. Gezichtsherkenning zelf blijft verboden.</w:t>
      </w:r>
    </w:p>
    <w:p>
      <w:r>
        <w:t>Een algoritme dat recidiverisico berekent voor reclassering en rechter is ook hoog risico. Een foutieve beslissing kan schade veroorzaken voor burger of maatschappij. Hierbij is het belangrijk dat discriminerende variabelen, zoals postcode, niet worden meegenomen, omdat dat tot discriminatie kan leiden.</w:t>
      </w:r>
    </w:p>
    <w:p>
      <w:r>
        <w:t>Voor zorgverleners is de kern dat AI in de zorg niet zomaar een handig hulpmiddel is. Als een systeem invloed heeft op diagnostiek, therapie of veiligheid, valt het vaak onder hoog risico. Dan gelden strengere eisen en blijft de professional eindverantwoordelijk. Zorgverleners moeten daarom:</w:t>
      </w:r>
    </w:p>
    <w:p>
      <w:pPr>
        <w:pStyle w:val="ListBullet"/>
      </w:pPr>
      <w:r>
        <w:t>nagaan in welke risicoklasse een toepassing valt;</w:t>
      </w:r>
    </w:p>
    <w:p>
      <w:pPr>
        <w:pStyle w:val="ListBullet"/>
      </w:pPr>
      <w:r>
        <w:t>beseffen dat transparantie vaak verplicht is;</w:t>
      </w:r>
    </w:p>
    <w:p>
      <w:pPr>
        <w:pStyle w:val="ListBullet"/>
      </w:pPr>
      <w:r>
        <w:t>de AI-uitkomst altijd zelf inhoudelijk beoordelen;</w:t>
      </w:r>
    </w:p>
    <w:p>
      <w:pPr>
        <w:pStyle w:val="ListBullet"/>
      </w:pPr>
      <w:r>
        <w:t>de uitkomst en menselijke beoordeling goed documenteren;</w:t>
      </w:r>
    </w:p>
    <w:p>
      <w:pPr>
        <w:pStyle w:val="ListBullet"/>
      </w:pPr>
      <w:r>
        <w:t>kritisch zijn op gebruikte data en variabelen om discriminatie te voorkomen.</w:t>
      </w:r>
    </w:p>
    <w:p>
      <w:r>
        <w:t>De belangrijkste leerpunten zijn dus: de AI Act is een Europese verordening voor veilige, transparante en betrouwbare AI; de wet gebruikt een risicogebaseerde indeling; onaanvaardbaar risico is verboden; hoog risico komt veel voor in de zorg en kent strenge eisen; en de arts blijft altijd eindverantwoordelijk voor het gebruik van AI in de klinische praktijk.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