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55 – Botopbouw, botafbraak en pathologische breuken</w:t>
      </w:r>
    </w:p>
    <w:p>
      <w:r>
        <w:t>Bot is gespecialiseerd bindweefsel en bestaat uit drie hoofdcomponenten: botcellen, botmatrix en calciumkristallen. De botmatrix bevat vooral collageen type I en botvormende eiwitten zoals osteonectine, osteocalcine en AF. De nog niet gemineraliseerde matrix heet osteoid en vormt de voorloper van hard bot. Mineralisatie gebeurt vervolgens op een mineralisatiefront, waarbij apatiet- of hydroxyapatietkristallen worden afgezet, met formule Ca₅(PO₄)₃OH. Osteocalcine bindt Ca²⁺, AF verhoogt PO₄⁻ en matrixvesikels fungeren als lokale focuspunten voor mineralisatie. Osteoid is nauw verbonden met collageen I en kan na ongeveer 10 dagen mineraliseren.</w:t>
      </w:r>
    </w:p>
    <w:p>
      <w:r>
        <w:t>De drie botcellen hebben elk een eigen functie. Osteoblasten ontstaan uit mesenchymale stamcellen en maken osteoid aan. Ze kunnen actief matrix produceren of meer rustend aan het botoppervlak liggen. Osteocyten zijn uitgerijpte osteoblasten die gevangen zijn geraakt in osteoid en later in bot. Zij spelen een belangrijke rol in mechanotransductie: zij zetten mechanische belasting om in biologische signalen en communiceren via canaliculi met andere botcellen. Osteoclasten ontstaan uit de monocytaire reeks van een hematopoëtische stamcel en zijn verantwoordelijk voor resorptie van gemineraliseerd bot. Zij liggen in een resorptielacune, de Howship lacune, en breken bot af door H⁺-ionen en collagenase af te scheiden. Eerst wordt de mineralisatie opgelost, daarna volgt afbraak van de matrix.</w:t>
      </w:r>
    </w:p>
    <w:p>
      <w:r>
        <w:t>Bot is continu in verandering. Dit proces heet remodelling: de vervanging en omvorming van bot tijdens het leven. Afbraak en opbouw horen daarbij altijd samen. De combinatie van resorptie en formatie wordt ook wel de bone-modelling unit (BMU) genoemd. Cementlijnen in bot markeren eerdere zones van remodelling en zijn dus sporen van oud bot dat eerder is vervangen. Remodelling vindt zowel plaats in corticaal bot als in trabeculair bot. In trabeculair bot gebeurt dit aan het oppervlak van de trabekels; in corticaal bot ontstaat eerst een resorptiegebied dat daarna weer wordt opgevuld. Het basisprincipe blijft steeds: eerst resorptie, daarna formatie.</w:t>
      </w:r>
    </w:p>
    <w:p>
      <w:r>
        <w:t>De activiteit van osteoclasten en osteoblasten wordt hormonaal gereguleerd. Calcitonine wordt geproduceerd door de C-cellen van de schildklier en werkt direct op osteoclasten via de calcitoninereceptor. Daardoor remt het de osteoclastactiviteit en neemt botafbraak af. Parathyroïd hormoon (PTH) wordt geproduceerd door de bijschildklieren en werkt niet direct op osteoclasten, maar indirect via osteoblasten. Via de PTH-receptor zorgen osteoblasten voor paracriene secretie van interleukines, die osteoclasten activeren. Hierdoor neemt botafbraak toe en komt onder andere calcium vrij. Kort samengevat: calcitonine remt osteoclasten, PTH activeert osteoclasten indirect.</w:t>
      </w:r>
    </w:p>
    <w:p>
      <w:r>
        <w:t>Na een fractuur verloopt genezing in een vaste microscopische volgorde. De juiste volgorde is: hematoom → ontsteking → granulatieweefsel → zachte callus → harde callus → remodelling. In de eerste fase ontstaat een bloeding op de fractuurplek. Binnen ongeveer 48 uur begint de ontstekingsfase. Daarna ontstaat granulatieweefsel met mesenchymale cellen, fibroblasten en nieuwe capillairen. Vervolgens vormt zich een zachte callus, bestaande uit kraakbeen en trabeculair bot. Daarna volgt de harde callus, waarin meer vast bot aanwezig is en de fractuur beter stabiliseert. Uiteindelijk wordt het geheel tijdens remodelling omgebouwd. In de eerste 1–4 weken ontstaat tijdelijk woven bot via intramembraneuze en enchondrale ossificatie; daarna wordt dit omgezet in lamellair bot. Remodelling kan nog lang doorgaan.</w:t>
      </w:r>
    </w:p>
    <w:p>
      <w:r>
        <w:t>Een pathologische fractuur is een breuk die ontstaat door een vooraf bestaande botafwijking. Het bot is dus al verzwakt voordat de fractuur optreedt. Belangrijke oorzaken zijn insufficiëntie, primaire bottumoren en botmetastasen. Bij insufficiëntie is het bot te zwak, bijvoorbeeld door osteoporose of osteomalacie. Osteoporose betekent minder gemineraliseerd bot; osteomalacie betekent vertraagde mineralisatie van osteoid. Pathologische fracturen komen vaak voor bij botmetastasen. Deze treden het meest op in het axiale skelet, zoals wervelkolom, bekken, schedel en ribben, daarna in de proximale extremiteiten zoals humerus en femur, en het minst in distale kleine botten.</w:t>
      </w:r>
    </w:p>
    <w:p>
      <w:r>
        <w:t>Metastasen naar bot kunnen twee verschillende reacties geven: osteolyse en osteosclerose. Bij osteolyse is er netto meer botresorptie door activatie van osteoclasten; hierbij speelt onder andere RANKL een rol. Een voorbeeld is multiple myeloom. Bij osteosclerose is er netto meer botaanmaak door activatie van osteoblasten, met onder andere endothelin-1 en BMP als betrokken factoren. Een voorbeeld is prostaatkanker. De balans tussen botafbraak en botaanmaak verschuift dus bij metastasen: meer osteoclastactiviteit geeft osteolyse, meer osteoblastactiviteit geeft osteosclerose.</w:t>
      </w:r>
    </w:p>
    <w:p>
      <w:r>
        <w:t>Deze stof is klinisch belangrijk omdat stoornissen in botopbouw en botremodelling direct tot fracturen kunnen leiden, bijvoorbeeld bij osteoporose, osteomalacie, primaire bottumoren en botmetastasen. Kennis van osteoblasten, osteocyten, osteoclasten en remodelling helpt bovendien begrijpen waarom sommige tumoren vooral bot afbreken en andere juist bot aanmaken, met gevolgen voor het ontstaan en de plaats van fracturen en voor het microscopische beeld van het 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