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7 – Nadelige reacties van medicatie (Adverse Drug Reactions)</w:t>
      </w:r>
    </w:p>
    <w:p>
      <w:r>
        <w:t>Nadelige reacties op medicatie komen vaak voor, maar een klacht tijdens medicijngebruik is niet automatisch een bijwerking van dat middel. De reactie kan toeval zijn, passen bij een andere aandoening of samenhangen met andere gelijktijdige medicatie. Daarom is een goede beoordeling nodig van welk middel verdacht is, welke klachten optraden, wanneer de klachten begonnen en waarom het middel werd gebruikt. Ook als een medicijn waarschijnlijk de oorzaak is, hoeft het niet altijd definitief vermeden te worden; soms kan veilig voortzetten of hergebruik mogelijk zijn. Onterechte vermijding kan juist leiden tot minder optimale behandeling.</w:t>
      </w:r>
    </w:p>
    <w:p>
      <w:r>
        <w:t>Klinisch worden nadelige reacties meestal ingedeeld in type A en type B, naast type C en D. Type A-reacties zijn farmacologische bijwerkingen: ongewenste of te sterke effecten van de normale werking van het geneesmiddel. Ze zijn vaak dosisafhankelijk en ontstaan vaker na start of dosisverhoging. Factoren die de kans beïnvloeden zijn onder meer genetische aanleg, comorbiditeit, nier- en leverfunctie, leeftijd, geslacht, zwangerschap, lichaamsgewicht, dosis, toedieningsroute en gebruiksduur. Voorbeelden zijn ademhalingsdepressie door opioïden, bloedingen door acenocoumarol, droge mond door tricyclische antidepressiva en spierpijn door statinen. Ook off-target effecten en interacties kunnen een rol spelen.</w:t>
      </w:r>
    </w:p>
    <w:p>
      <w:r>
        <w:t>Type B-reacties zijn overgevoeligheidsreacties. Ze kunnen klinisch op allergie lijken, maar zijn niet altijd een echte allergie. Ze kunnen immuun-gemedieerd of niet-immuun-gemedieerd zijn. In de praktijk is onderscheid tussen type A en B soms lastig op basis van alleen de klachten. Type B-reacties worden verder verdeeld in directe en vertraagde reacties.</w:t>
      </w:r>
    </w:p>
    <w:p>
      <w:r>
        <w:t>Type C-reacties ontstaan na langdurig en continu gebruik, bijvoorbeeld osteonecrose van de kaak bij langdurig bisfosfonaatgebruik of bijnierinsufficiëntie door langdurig corticosteroïdengebruik. Type D-reacties treden pas op enige tijd na het stoppen, zoals vertraagde leukopenie na lomustine, maar ook latere kankerrisico’s of effecten bij het ongeboren kind. Deze reacties zijn vaak moeilijk aan medicatie te koppelen omdat het tijdsverloop vertraagd is.</w:t>
      </w:r>
    </w:p>
    <w:p>
      <w:r>
        <w:t>Pathofysiologisch zijn er drie hoofdgroepen: farmacologische bijwerkingen/off-target effecten, immuungemedieerde allergische reacties en niet-immuungemedieerde pseudoallergische reacties. Bij pseudoallergie lijkt het klinisch op allergie, maar kan geen klassieke immuunreactie worden aangetoond. Mechanismen zijn onder meer niet-IgE-gemedieerde histamine-afgifte door opiaten, radiocontrastmiddelen en vancomycine; bradykinine-opstapeling door ACE-remmers; complementactivatie door radiocontrastmedia en protamine; activatie van leukotriënesynthese door acetylsalicylzuur en NSAID’s; en bronchospasme door sulfieten of bètablokkergebruik.</w:t>
      </w:r>
    </w:p>
    <w:p>
      <w:r>
        <w:t>Een echte medicatieallergie is een reactie waarbij antilichamen of geactiveerde T-lymfocyten specifiek met het medicijn reageren. Er moet direct of indirect bewijs zijn dat de oorzaak immuungemedieerd is. Kenmerken zijn dat de reactie niet het verwachte farmacologische effect is, meestal een sensibilisatiefase voorafgaat, bij lage dosis kan optreden, past bij een overgevoeligheidsbeeld en vaak binnen een verwacht tijdsvenster ontstaat: meestal binnen 1 uur tot maximaal 6 uur bij directe reacties, en binnen dagen tot enkele weken bij vertraagde reacties. Kruisreactiviteit kan optreden tussen structureel verwante middelen.</w:t>
      </w:r>
    </w:p>
    <w:p>
      <w:r>
        <w:t>Type I-reacties zijn directe allergische reacties, meestal binnen 1 uur, maximaal binnen 6 uur. Door IgE-gemedieerde mestceldegranulatie ontstaan klachten uit meerdere orgaansystemen: huid en slijmvliezen (jeuk, urticaria, erytheem, angio-oedeem), luchtwegen (keelschrapen, benauwdheid, piepen, verstopte neus, rode jeukende ogen), mond en maag-darmkanaal (jeuk in mond/keel, misselijkheid, braken, buikkrampen, diarree) en hartvaatstelsel (flauwte, verminderd bewustzijn, systolische bloeddruk &lt; 90 mmHg of &gt; 30% daling). Meerdere orgaansystemen kort na elkaar wijst op anafylaxie; met bloeddrukdaling of saturatiedaling kan sprake zijn van anafylactische shock.</w:t>
      </w:r>
    </w:p>
    <w:p>
      <w:r>
        <w:t>Type II-reacties ontstaan door antistoffen, meestal IgG of IgM, tegen cellen zoals erytrocyten, trombocyten of leukocyten, die vervolgens worden afgebroken. Type III-reacties berusten op immuuncomplexvorming in het bloed, met neerslag in goed doorbloede of filterende structuren zoals vaten, glomeruli en synovia; dit kan vasculitis, glomerulonefritis en artritis geven. Serumziekte is een klassiek voorbeeld. Type IV-reacties zijn T-celgemedieerd en geven meestal huidreacties, soms met orgaanschade. Voorbeelden zijn maculopapuleus exantheem, DRESS, AGEP, SJS en TEN. Deze reacties treden vaak vertraagd op, meestal na 12 uur of later.</w:t>
      </w:r>
    </w:p>
    <w:p>
      <w:r>
        <w:t>Een bijzonder mechanisme is het P-I concept: het medicijn bindt direct aan een HLA-molecuul, T-celreceptor of beide en activeert zo T-cellen. Dit lijkt op een type IV-reactie, maar kan al na de eerste blootstelling optreden en soms voorspelbaar zijn bij bepaalde HLA-typen, zoals abacavir bij HLA-B*57:01.</w:t>
      </w:r>
    </w:p>
    <w:p>
      <w:r>
        <w:t>Overgevoeligheidsreacties op biologicals zijn vaak moeilijk onder type A of B te plaatsen. Beschreven worden directe overgevoeligheidsreacties, infusiegerelateerde reacties, cytokine-afgiftereacties, type I-, type III- en type IV-reacties, en gemengde reacties. Bij acute reacties op biologicals kan desensitisatie soms helpen om het middel toch opnieuw toe te dienen.</w:t>
      </w:r>
    </w:p>
    <w:p>
      <w:r>
        <w:t>Niet elke huidreactie is een allergie. Een milde of matige vertraagde reactie geeft vaak een gegeneraliseerd maculopapuleus exantheem tussen 6 uur en 8 weken na start, meestal tussen 1 en 10 dagen, zonder ernstige algemene ziekteverschijnselen. Ernstige vertraagde reacties gaan gepaard met huiduitslag plus alarmsymptomen en kunnen wijzen op DRESS, AGEP, SJS of TEN.</w:t>
      </w:r>
    </w:p>
    <w:p>
      <w:r>
        <w:t>Voor diagnostiek is een gedetailleerde anamnese essentieel: begin van de reactie, indicatie voor het middel, andere medicatie, aard en snelheid van klachten, duur, behandeling of opname, eerdere reacties op hetzelfde of verwante middelen, eerder allergologisch onderzoek en mogelijke alternatieve verklaringen. Bij verdenking op type A kan stoppen en eventueel herstarten helpen om causaliteit aan te tonen; laboratoriumwaarden zoals nierfunctie, leverenzymen en medicijnspiegels kunnen ondersteunend zijn.</w:t>
      </w:r>
    </w:p>
    <w:p>
      <w:r>
        <w:t>Tryptase is een nuttige marker bij een directe allergische reactie. Het moet worden gemeten tussen 30 minuten en 3 uur na het begin van de reactie en vergeleken met de basale waarde. Een stijging van meer dan 1,2 keer de basale waarde plus 2 is significant. Huidtesten kunnen helpen: intracutane test is het meest sensitief bij directe reacties, skin prick is minder sensitief als er geen parenterale vorm is, en patchtesten zijn geschikt bij vertraagde reacties, met aflezing na 48 tot 72 uur. Soms wordt een intradermale test bij vertraagde reacties gebruikt.</w:t>
      </w:r>
    </w:p>
    <w:p>
      <w:r>
        <w:t>Als kliniek en huidtest niet overeenkomen, of bij lage verdenking en negatieve test maar blijvende twijfel, kan een provocatietest worden gedaan. Bij directe reacties gebeurt dit met oplopende doses tot een therapeutische cumulatieve dosis, gevolgd door observatie. Bij vertraagde reacties wordt vaak een eenmalige dosis gegeven met vervolging in de dagen erna. Dit moet gebeuren door een ervaren arts.</w:t>
      </w:r>
    </w:p>
    <w:p>
      <w:r>
        <w:t>Kruisallergie ontstaat bij structurele overeenkomst tussen middelen, waardoor dezelfde antistof of T-celreceptor beide kan herkennen. Voorbeelden zijn kruisreacties tussen penicillines, tussen amoxicilline en sommige cefalosporines, tussen bepaalde cefalosporines onderling en tussen cefalosporines en aztreonam bij gelijke R1-zijketen. Bij bèta-lactams is vooral de R1-zijketen bepalend voor kruisreactie.</w:t>
      </w:r>
    </w:p>
    <w:p>
      <w:r>
        <w:t>Veel geregistreerde penicilline-allergieën zijn onterecht: minder dan 10% blijkt bij aanvullend onderzoek echt. Ontlabelen is daarom belangrijk om onnodig vermijden van effectieve antibiotica te voorkomen. PEN-FAST is een klinische beslisregel om laag risico te herkennen: 0 punten betekent zeer laag risico, 1-2 punten laag risico, 3 punten matig risico en 4-5 punten hoog risico. Bij lage score kan een directe orale challenge geschikt zijn; bij hogere score is verwijzing naar de allergie-expert aangewezen. Bij severe cutaneous adverse reactions zoals SJS/TEN worden geen allergietesten gedaan en wordt ontlabelen niet geadviseerd.</w:t>
      </w:r>
    </w:p>
    <w:p>
      <w:r>
        <w:t>Bij kinderen wordt medicatieallergie vaak ten onrechte geregistreerd, vooral tijdens infecties. Uitslag of urticaria tijdens infectie en antibioticum- of NSAID-gebruik kan door de infectie zelf komen. Als alleen huidklachten optraden, is een provocatietest vaak informatiever dan huidtesten; bij anafylaxie is huidtest altijd geïndiceerd. Na een bevestigde amoxicilline-allergie kan na ongeveer 5 jaar opnieuw getest worden, omdat veel kinderen er dan overheen groeien.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