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13 – Vasculitis - klein, middel, groot</w:t>
      </w:r>
    </w:p>
    <w:p>
      <w:r>
        <w:t>Vasculitis is ontsteking van de bloedvatwand. De indeling gebeurt vooral op basis van de grootte van het aangedane vat, omdat dit veel zegt over klachten, pathofysiologie en behandeling. Vasculitis is per definitie een systemische auto-immuunziekte: het immuunsysteem richt zich tegen de vaatwand, waardoor de bloedtoevoer naar weefsels kan verminderen en ischemische klachten kunnen ontstaan.</w:t>
      </w:r>
    </w:p>
    <w:p>
      <w:r>
        <w:rPr>
          <w:b/>
        </w:rPr>
        <w:t>Indeling naar vaatgrootte</w:t>
      </w:r>
    </w:p>
    <w:p>
      <w:pPr>
        <w:pStyle w:val="ListBullet"/>
      </w:pPr>
      <w:r>
        <w:rPr>
          <w:b/>
        </w:rPr>
        <w:t>Grote vaten:</w:t>
      </w:r>
      <w:r>
        <w:t xml:space="preserve"> aorta en grote vertakkingen.</w:t>
      </w:r>
    </w:p>
    <w:p>
      <w:pPr>
        <w:pStyle w:val="ListBullet"/>
      </w:pPr>
      <w:r>
        <w:rPr>
          <w:b/>
        </w:rPr>
        <w:t>Middelgrote vaten:</w:t>
      </w:r>
      <w:r>
        <w:t xml:space="preserve"> organarteriën zoals nierarteriën en coronairarteriën.</w:t>
      </w:r>
    </w:p>
    <w:p>
      <w:pPr>
        <w:pStyle w:val="ListBullet"/>
      </w:pPr>
      <w:r>
        <w:rPr>
          <w:b/>
        </w:rPr>
        <w:t>Kleine vaten:</w:t>
      </w:r>
      <w:r>
        <w:t xml:space="preserve"> arteriolen, capillairen en venulen; glomeruli vallen hier ook onder.</w:t>
      </w:r>
    </w:p>
    <w:p>
      <w:r>
        <w:t xml:space="preserve">Bij de </w:t>
      </w:r>
      <w:r>
        <w:rPr>
          <w:b/>
        </w:rPr>
        <w:t>grote-vatenvasculitiden</w:t>
      </w:r>
      <w:r>
        <w:t xml:space="preserve"> zijn vooral </w:t>
      </w:r>
      <w:r>
        <w:rPr>
          <w:b/>
        </w:rPr>
        <w:t>giant cell arteritis (GCA)</w:t>
      </w:r>
      <w:r>
        <w:t xml:space="preserve"> en </w:t>
      </w:r>
      <w:r>
        <w:rPr>
          <w:b/>
        </w:rPr>
        <w:t>ziekte van Takayasu</w:t>
      </w:r>
      <w:r>
        <w:t xml:space="preserve"> belangrijk. GCA komt vooral voor bij patiënten ouder dan 50 jaar, Takayasu vaker bij jongere patiënten, vaak onder de 50 jaar. De incidentie verschilt per regio.</w:t>
      </w:r>
    </w:p>
    <w:p>
      <w:pPr>
        <w:pStyle w:val="Heading5"/>
      </w:pPr>
      <w:r>
        <w:t>Giant cell arteritis (GCA)</w:t>
      </w:r>
    </w:p>
    <w:p>
      <w:r>
        <w:t xml:space="preserve">GCA is klinisch urgent vanwege het risico op acute visusklachten en blijvend blindheid. Een ernstige complicatie is </w:t>
      </w:r>
      <w:r>
        <w:rPr>
          <w:b/>
        </w:rPr>
        <w:t>acute ischemische opticusneuropathie (AION)</w:t>
      </w:r>
      <w:r>
        <w:t>. Daarom moet bij verdenking snel worden gehandeld, zeker bij ouderen met visusverlies of typische systemische klachten.</w:t>
      </w:r>
    </w:p>
    <w:p>
      <w:r>
        <w:rPr>
          <w:b/>
        </w:rPr>
        <w:t>Typische klachten bij GCA</w:t>
      </w:r>
    </w:p>
    <w:p>
      <w:pPr>
        <w:pStyle w:val="ListBullet"/>
      </w:pPr>
      <w:r>
        <w:t>nieuwe hoofdpijn, vaak temporaal;</w:t>
      </w:r>
    </w:p>
    <w:p>
      <w:pPr>
        <w:pStyle w:val="ListBullet"/>
      </w:pPr>
      <w:r>
        <w:t>pijn of stijfheid van schouders en nek;</w:t>
      </w:r>
    </w:p>
    <w:p>
      <w:pPr>
        <w:pStyle w:val="ListBullet"/>
      </w:pPr>
      <w:r>
        <w:t>kaakclaudicatio of tongclaudicatio;</w:t>
      </w:r>
    </w:p>
    <w:p>
      <w:pPr>
        <w:pStyle w:val="ListBullet"/>
      </w:pPr>
      <w:r>
        <w:t>visusverlies;</w:t>
      </w:r>
    </w:p>
    <w:p>
      <w:pPr>
        <w:pStyle w:val="ListBullet"/>
      </w:pPr>
      <w:r>
        <w:t>pijnlijke of verdikte arteria temporalis;</w:t>
      </w:r>
    </w:p>
    <w:p>
      <w:pPr>
        <w:pStyle w:val="ListBullet"/>
      </w:pPr>
      <w:r>
        <w:t>verhoogde ontstekingswaarden.</w:t>
      </w:r>
    </w:p>
    <w:p>
      <w:r>
        <w:t>Bij een sterke klinische verdenking start je soms al direct behandeling, om te voorkomen dat ook het andere oog aangedaan raakt.</w:t>
      </w:r>
    </w:p>
    <w:p>
      <w:pPr>
        <w:pStyle w:val="Heading5"/>
      </w:pPr>
      <w:r>
        <w:t>Pathofysiologie van GCA</w:t>
      </w:r>
    </w:p>
    <w:p>
      <w:r>
        <w:t xml:space="preserve">De ontsteking begint in de vaatwand, vooral in de </w:t>
      </w:r>
      <w:r>
        <w:rPr>
          <w:b/>
        </w:rPr>
        <w:t>adventitia</w:t>
      </w:r>
      <w:r>
        <w:t xml:space="preserve">. Daar raken residenten dendritische cellen geactiveerd. Dit zet een immuunreactie in gang met vooral </w:t>
      </w:r>
      <w:r>
        <w:rPr>
          <w:b/>
        </w:rPr>
        <w:t>CD4+ T-cellen</w:t>
      </w:r>
      <w:r>
        <w:t xml:space="preserve">, </w:t>
      </w:r>
      <w:r>
        <w:rPr>
          <w:b/>
        </w:rPr>
        <w:t>macrofagen</w:t>
      </w:r>
      <w:r>
        <w:t xml:space="preserve"> en uiteindelijk </w:t>
      </w:r>
      <w:r>
        <w:rPr>
          <w:b/>
        </w:rPr>
        <w:t>multinucleaire reuscellen</w:t>
      </w:r>
      <w:r>
        <w:t xml:space="preserve">. Belangrijke cytokinen zijn </w:t>
      </w:r>
      <w:r>
        <w:rPr>
          <w:b/>
        </w:rPr>
        <w:t>IFN-gamma, IL-6, IL-1β en IL-17</w:t>
      </w:r>
      <w:r>
        <w:t>.</w:t>
      </w:r>
    </w:p>
    <w:p>
      <w:r>
        <w:t>De ontsteking verloopt in stappen:</w:t>
      </w:r>
    </w:p>
    <w:p>
      <w:pPr>
        <w:pStyle w:val="ListNumber"/>
      </w:pPr>
      <w:r>
        <w:t>verlies van tolerantie in de vaatwand;</w:t>
      </w:r>
    </w:p>
    <w:p>
      <w:pPr>
        <w:pStyle w:val="ListNumber"/>
      </w:pPr>
      <w:r>
        <w:t>rekrutering en activatie van T-cellen;</w:t>
      </w:r>
    </w:p>
    <w:p>
      <w:pPr>
        <w:pStyle w:val="ListNumber"/>
      </w:pPr>
      <w:r>
        <w:t>instroom van monocyten en CD8+ T-cellen;</w:t>
      </w:r>
    </w:p>
    <w:p>
      <w:pPr>
        <w:pStyle w:val="ListNumber"/>
      </w:pPr>
      <w:r>
        <w:t>vaatwandremodellering met migratie en proliferatie van vasculaire gladde spiercellen.</w:t>
      </w:r>
    </w:p>
    <w:p>
      <w:r>
        <w:t xml:space="preserve">Hierdoor ontstaat </w:t>
      </w:r>
      <w:r>
        <w:rPr>
          <w:b/>
        </w:rPr>
        <w:t>intimale verdikking</w:t>
      </w:r>
      <w:r>
        <w:t xml:space="preserve">, lumennauwing en uiteindelijk ischemie. Elastische structuren in de vaatwand kunnen beschadigd raken. Histologisch is vaak een </w:t>
      </w:r>
      <w:r>
        <w:rPr>
          <w:b/>
        </w:rPr>
        <w:t>granulomateuze ontsteking met reuscellen</w:t>
      </w:r>
      <w:r>
        <w:t xml:space="preserve"> zichtbaar, maar een biopt toont niet altijd alle klassieke kenmerken.</w:t>
      </w:r>
    </w:p>
    <w:p>
      <w:pPr>
        <w:pStyle w:val="Heading5"/>
      </w:pPr>
      <w:r>
        <w:t>Diagnostiek bij verdenking op GCA</w:t>
      </w:r>
    </w:p>
    <w:p>
      <w:r>
        <w:t>In de praktijk worden classificatiecriteria vaak gebruikt, maar die zijn bedoeld om te classificeren en niet om alleen op basis daarvan de diagnose te stellen. Bij sterke verdenking, zeker bij visusklachten, wacht je niet op alle uitslagen. Wel probeer je zo snel mogelijk aanvullend onderzoek te verrichten, zoals beeldvorming of een biopt.</w:t>
      </w:r>
    </w:p>
    <w:p>
      <w:pPr>
        <w:pStyle w:val="Heading5"/>
      </w:pPr>
      <w:r>
        <w:t>Behandeling van GCA en Takayasu</w:t>
      </w:r>
    </w:p>
    <w:p>
      <w:r>
        <w:t xml:space="preserve">De basis van behandeling van grote-vatenvasculitis is meestal </w:t>
      </w:r>
      <w:r>
        <w:rPr>
          <w:b/>
        </w:rPr>
        <w:t>glucocorticoïden</w:t>
      </w:r>
      <w:r>
        <w:t xml:space="preserve">. Bij GCA wordt vaak gestart met </w:t>
      </w:r>
      <w:r>
        <w:rPr>
          <w:b/>
        </w:rPr>
        <w:t>prednisolon 40–60 mg per dag</w:t>
      </w:r>
      <w:r>
        <w:t>, waarna geleidelijk wordt afgebouwd. Het doel is om binnen ongeveer een jaar of eerder tot een lage onderhoudsdosis te komen.</w:t>
      </w:r>
    </w:p>
    <w:p>
      <w:r>
        <w:t xml:space="preserve">Als afbouwen onvoldoende lukt, of als er een verhoogd risico is op bijwerkingen of recidief, voeg je een </w:t>
      </w:r>
      <w:r>
        <w:rPr>
          <w:b/>
        </w:rPr>
        <w:t>glucocorticoïd-sparend middel</w:t>
      </w:r>
      <w:r>
        <w:t xml:space="preserve"> toe. Genoemd worden:</w:t>
      </w:r>
    </w:p>
    <w:p>
      <w:pPr>
        <w:pStyle w:val="ListBullet"/>
      </w:pPr>
      <w:r>
        <w:rPr>
          <w:b/>
        </w:rPr>
        <w:t>tocilizumab</w:t>
      </w:r>
      <w:r>
        <w:t>;</w:t>
      </w:r>
    </w:p>
    <w:p>
      <w:pPr>
        <w:pStyle w:val="ListBullet"/>
      </w:pPr>
      <w:r>
        <w:rPr>
          <w:b/>
        </w:rPr>
        <w:t>mycofenolaatmofetil (MMF)</w:t>
      </w:r>
      <w:r>
        <w:t>.</w:t>
      </w:r>
    </w:p>
    <w:p>
      <w:r>
        <w:t xml:space="preserve">Ook </w:t>
      </w:r>
      <w:r>
        <w:rPr>
          <w:b/>
        </w:rPr>
        <w:t>antiplaatjesmiddelen</w:t>
      </w:r>
      <w:r>
        <w:t xml:space="preserve"> kunnen worden overwogen.</w:t>
      </w:r>
    </w:p>
    <w:p>
      <w:r>
        <w:t xml:space="preserve">Bij </w:t>
      </w:r>
      <w:r>
        <w:rPr>
          <w:b/>
        </w:rPr>
        <w:t>Takayasu</w:t>
      </w:r>
      <w:r>
        <w:t xml:space="preserve"> is het principe vergelijkbaar: starten met prednisolon en vaak vroeg een glucocorticoïd-sparend middel toevoegen. Bij recidief of refractaire ziekte wordt de behandeling aangepast en een alternatief middel overwogen.</w:t>
      </w:r>
    </w:p>
    <w:p>
      <w:pPr>
        <w:pStyle w:val="Heading4"/>
      </w:pPr>
      <w:r>
        <w:t>Kleine-vatenvasculitis</w:t>
      </w:r>
    </w:p>
    <w:p>
      <w:r>
        <w:t xml:space="preserve">Bij </w:t>
      </w:r>
      <w:r>
        <w:rPr>
          <w:b/>
        </w:rPr>
        <w:t>kleine-vatenvasculitis</w:t>
      </w:r>
      <w:r>
        <w:t xml:space="preserve"> zijn twee hoofdmechanismen belangrijk:</w:t>
      </w:r>
    </w:p>
    <w:p>
      <w:pPr>
        <w:pStyle w:val="ListNumber"/>
      </w:pPr>
      <w:r>
        <w:rPr>
          <w:b/>
        </w:rPr>
        <w:t>ANCA-geassocieerde vasculitis</w:t>
      </w:r>
      <w:r>
        <w:t>;</w:t>
      </w:r>
    </w:p>
    <w:p>
      <w:pPr>
        <w:pStyle w:val="ListNumber"/>
      </w:pPr>
      <w:r>
        <w:rPr>
          <w:b/>
        </w:rPr>
        <w:t>immune complex-gemedieerde vasculitis</w:t>
      </w:r>
      <w:r>
        <w:t>.</w:t>
      </w:r>
    </w:p>
    <w:p>
      <w:pPr>
        <w:pStyle w:val="Heading5"/>
      </w:pPr>
      <w:r>
        <w:t>ANCA-geassocieerde vasculitis</w:t>
      </w:r>
    </w:p>
    <w:p>
      <w:r>
        <w:rPr>
          <w:b/>
        </w:rPr>
        <w:t>ANCA</w:t>
      </w:r>
      <w:r>
        <w:t xml:space="preserve"> betekent anti-neutrofiele cytoplasmatische antistoffen. Deze antistoffen zijn gericht tegen neutrofielen, vooral tegen:</w:t>
      </w:r>
    </w:p>
    <w:p>
      <w:pPr>
        <w:pStyle w:val="ListBullet"/>
      </w:pPr>
      <w:r>
        <w:rPr>
          <w:b/>
        </w:rPr>
        <w:t>MPO (myeloperoxidase)</w:t>
      </w:r>
      <w:r>
        <w:t>;</w:t>
      </w:r>
    </w:p>
    <w:p>
      <w:pPr>
        <w:pStyle w:val="ListBullet"/>
      </w:pPr>
      <w:r>
        <w:rPr>
          <w:b/>
        </w:rPr>
        <w:t>PR3 (proteïnase 3)</w:t>
      </w:r>
      <w:r>
        <w:t>.</w:t>
      </w:r>
    </w:p>
    <w:p>
      <w:r>
        <w:t>Door deze antistoffen raken neutrofielen geactiveerd en beschadigen zij de vaatwand. Zonder behandeling kan dit ernstig en zelfs levensbedreigend verlopen.</w:t>
      </w:r>
    </w:p>
    <w:p>
      <w:r>
        <w:t>Belangrijke vormen zijn:</w:t>
      </w:r>
    </w:p>
    <w:p>
      <w:pPr>
        <w:pStyle w:val="ListBullet"/>
      </w:pPr>
      <w:r>
        <w:rPr>
          <w:b/>
        </w:rPr>
        <w:t>GPA</w:t>
      </w:r>
      <w:r>
        <w:t xml:space="preserve"> (granulomatosis with polyangiitis),</w:t>
      </w:r>
    </w:p>
    <w:p>
      <w:pPr>
        <w:pStyle w:val="ListBullet"/>
      </w:pPr>
      <w:r>
        <w:rPr>
          <w:b/>
        </w:rPr>
        <w:t>MPA</w:t>
      </w:r>
      <w:r>
        <w:t xml:space="preserve"> (microscopic polyangiitis),</w:t>
      </w:r>
    </w:p>
    <w:p>
      <w:pPr>
        <w:pStyle w:val="ListBullet"/>
      </w:pPr>
      <w:r>
        <w:rPr>
          <w:b/>
        </w:rPr>
        <w:t>EGPA</w:t>
      </w:r>
      <w:r>
        <w:t xml:space="preserve"> (eosinophilic granulomatosis with polyangiitis).</w:t>
      </w:r>
    </w:p>
    <w:p>
      <w:r>
        <w:t>GPA is de meest voorkomende vorm.</w:t>
      </w:r>
    </w:p>
    <w:p>
      <w:pPr>
        <w:pStyle w:val="Heading5"/>
      </w:pPr>
      <w:r>
        <w:t>Behandeling van GPA</w:t>
      </w:r>
    </w:p>
    <w:p>
      <w:r>
        <w:t xml:space="preserve">ANCA-geassocieerde vasculitis vraagt om snelle en krachtige </w:t>
      </w:r>
      <w:r>
        <w:rPr>
          <w:b/>
        </w:rPr>
        <w:t>remissie-inductie</w:t>
      </w:r>
      <w:r>
        <w:t xml:space="preserve">, omdat onbehandeld ernstige schade kan ontstaan. </w:t>
      </w:r>
      <w:r>
        <w:rPr>
          <w:b/>
        </w:rPr>
        <w:t>Prednisolon</w:t>
      </w:r>
      <w:r>
        <w:t xml:space="preserve"> wordt vrijwel altijd direct gegeven vanwege het snelle effect. Daarnaast is </w:t>
      </w:r>
      <w:r>
        <w:rPr>
          <w:b/>
        </w:rPr>
        <w:t>rituximab</w:t>
      </w:r>
      <w:r>
        <w:t xml:space="preserve"> tegenwoordig vaak een logische keuze, omdat B-cellen een rol spelen in de antistofproductie. </w:t>
      </w:r>
      <w:r>
        <w:rPr>
          <w:b/>
        </w:rPr>
        <w:t>Cyclofosfamide</w:t>
      </w:r>
      <w:r>
        <w:t xml:space="preserve"> werd vroeger veel gebruikt. </w:t>
      </w:r>
      <w:r>
        <w:rPr>
          <w:b/>
        </w:rPr>
        <w:t>Avacopan</w:t>
      </w:r>
      <w:r>
        <w:t xml:space="preserve"> blokkeert de </w:t>
      </w:r>
      <w:r>
        <w:rPr>
          <w:b/>
        </w:rPr>
        <w:t>C5a-route</w:t>
      </w:r>
      <w:r>
        <w:t xml:space="preserve"> en remt zo neutrofielen die de vaatwand beschadigen; het kan een alternatief zijn voor prednisolon, maar wordt minder vaak gebruikt vanwege de kosten.</w:t>
      </w:r>
    </w:p>
    <w:p>
      <w:pPr>
        <w:pStyle w:val="Heading5"/>
      </w:pPr>
      <w:r>
        <w:t>Immune complex-gemedieerde vasculitis</w:t>
      </w:r>
    </w:p>
    <w:p>
      <w:r>
        <w:t xml:space="preserve">Bij deze vorm slaan </w:t>
      </w:r>
      <w:r>
        <w:rPr>
          <w:b/>
        </w:rPr>
        <w:t>immuuncomplexen</w:t>
      </w:r>
      <w:r>
        <w:t xml:space="preserve"> neer in de vaatwand. Neutrofielen binden vervolgens via hun </w:t>
      </w:r>
      <w:r>
        <w:rPr>
          <w:b/>
        </w:rPr>
        <w:t>Fc-receptoren</w:t>
      </w:r>
      <w:r>
        <w:t xml:space="preserve"> aan deze complexen, raken geactiveerd en beschadigen de vaatwand. Dit is een </w:t>
      </w:r>
      <w:r>
        <w:rPr>
          <w:b/>
        </w:rPr>
        <w:t>type III overgevoeligheidsreactie</w:t>
      </w:r>
      <w:r>
        <w:t>.</w:t>
      </w:r>
    </w:p>
    <w:p>
      <w:r>
        <w:t xml:space="preserve">De histologische schade heet </w:t>
      </w:r>
      <w:r>
        <w:rPr>
          <w:b/>
        </w:rPr>
        <w:t>leukocytoclastische vasculitis</w:t>
      </w:r>
      <w:r>
        <w:t xml:space="preserve">: schade door fragmenten van afstervende neutrofiele granulocyten. Klinisch zie je vaak </w:t>
      </w:r>
      <w:r>
        <w:rPr>
          <w:b/>
        </w:rPr>
        <w:t>palpabele purpura</w:t>
      </w:r>
      <w:r>
        <w:t xml:space="preserve"> en </w:t>
      </w:r>
      <w:r>
        <w:rPr>
          <w:b/>
        </w:rPr>
        <w:t>petechiën</w:t>
      </w:r>
      <w:r>
        <w:t>.</w:t>
      </w:r>
    </w:p>
    <w:p>
      <w:r>
        <w:t xml:space="preserve">Normaal worden immuuncomplexen uit de circulatie verwijderd. Hierbij speelt </w:t>
      </w:r>
      <w:r>
        <w:rPr>
          <w:b/>
        </w:rPr>
        <w:t>C3b</w:t>
      </w:r>
      <w:r>
        <w:t xml:space="preserve"> een belangrijke rol: het bindt aan immuuncomplexen, waarna deze via erytrocyten naar de milt kunnen worden vervoerd en daar gefagocyteerd. Ook de lever helpt bij klaring. Een tekort aan C3 geeft daardoor niet alleen meer infecties, maar ook een grotere gevoeligheid voor vasculitis.</w:t>
      </w:r>
    </w:p>
    <w:p>
      <w:pPr>
        <w:pStyle w:val="Heading5"/>
      </w:pPr>
      <w:r>
        <w:t>IgA-vasculitis</w:t>
      </w:r>
    </w:p>
    <w:p>
      <w:r>
        <w:t xml:space="preserve">Een bekende vorm van immune complexvasculitis is </w:t>
      </w:r>
      <w:r>
        <w:rPr>
          <w:b/>
        </w:rPr>
        <w:t>IgA-vasculitis</w:t>
      </w:r>
      <w:r>
        <w:t xml:space="preserve">. Deze komt relatief vaak voor bij kinderen en heeft meestal een gunstig beloop. Vooral de huid is aangedaan, maar ook </w:t>
      </w:r>
      <w:r>
        <w:rPr>
          <w:b/>
        </w:rPr>
        <w:t>darm, gewrichten en nieren</w:t>
      </w:r>
      <w:r>
        <w:t xml:space="preserve"> kunnen betrokken zijn. De behandeling hangt af van de ernst; vaak wordt </w:t>
      </w:r>
      <w:r>
        <w:rPr>
          <w:b/>
        </w:rPr>
        <w:t>afwachtend beleid</w:t>
      </w:r>
      <w:r>
        <w:t xml:space="preserve"> gevoerd, omdat klachten kunnen afnemen wanneer de hoeveelheid antigeen en daarmee de hoeveelheid immuuncomplexen daalt.</w:t>
      </w:r>
    </w:p>
    <w:p>
      <w:r>
        <w:t>Andere vormen binnen deze groep zijn:</w:t>
      </w:r>
    </w:p>
    <w:p>
      <w:pPr>
        <w:pStyle w:val="ListBullet"/>
      </w:pPr>
      <w:r>
        <w:t>cryoglobulinemische vasculitis;</w:t>
      </w:r>
    </w:p>
    <w:p>
      <w:pPr>
        <w:pStyle w:val="ListBullet"/>
      </w:pPr>
      <w:r>
        <w:t>rheumatoïde vasculitis;</w:t>
      </w:r>
    </w:p>
    <w:p>
      <w:pPr>
        <w:pStyle w:val="ListBullet"/>
      </w:pPr>
      <w:r>
        <w:t>lupusvasculitis;</w:t>
      </w:r>
    </w:p>
    <w:p>
      <w:pPr>
        <w:pStyle w:val="ListBullet"/>
      </w:pPr>
      <w:r>
        <w:t>hypocomplementemische urticariële vasculitis;</w:t>
      </w:r>
    </w:p>
    <w:p>
      <w:pPr>
        <w:pStyle w:val="ListBullet"/>
      </w:pPr>
      <w:r>
        <w:t>huidgebonden immuuncomplexvasculitis.</w:t>
      </w:r>
    </w:p>
    <w:p>
      <w:pPr>
        <w:pStyle w:val="Heading4"/>
      </w:pPr>
      <w:r>
        <w:t>Kernpunten</w:t>
      </w:r>
    </w:p>
    <w:p>
      <w:pPr>
        <w:pStyle w:val="ListBullet"/>
      </w:pPr>
      <w:r>
        <w:t>Vasculitis is ontsteking van de bloedvatwand en wordt ingedeeld naar vaatgrootte.</w:t>
      </w:r>
    </w:p>
    <w:p>
      <w:pPr>
        <w:pStyle w:val="ListBullet"/>
      </w:pPr>
      <w:r>
        <w:rPr>
          <w:b/>
        </w:rPr>
        <w:t>Grote-vatenvasculitis</w:t>
      </w:r>
      <w:r>
        <w:t xml:space="preserve"> omvat vooral </w:t>
      </w:r>
      <w:r>
        <w:rPr>
          <w:b/>
        </w:rPr>
        <w:t>GCA</w:t>
      </w:r>
      <w:r>
        <w:t xml:space="preserve"> en </w:t>
      </w:r>
      <w:r>
        <w:rPr>
          <w:b/>
        </w:rPr>
        <w:t>Takayasu</w:t>
      </w:r>
      <w:r>
        <w:t>.</w:t>
      </w:r>
    </w:p>
    <w:p>
      <w:pPr>
        <w:pStyle w:val="ListBullet"/>
      </w:pPr>
      <w:r>
        <w:rPr>
          <w:b/>
        </w:rPr>
        <w:t>GCA</w:t>
      </w:r>
      <w:r>
        <w:t xml:space="preserve"> is een spoedsituatie vanwege het risico op visusverlies en blindheid; bij sterke verdenking start je snel </w:t>
      </w:r>
      <w:r>
        <w:rPr>
          <w:b/>
        </w:rPr>
        <w:t>hoge dosis prednisolon</w:t>
      </w:r>
      <w:r>
        <w:t>.</w:t>
      </w:r>
    </w:p>
    <w:p>
      <w:pPr>
        <w:pStyle w:val="ListBullet"/>
      </w:pPr>
      <w:r>
        <w:rPr>
          <w:b/>
        </w:rPr>
        <w:t>Kleine-vatenvasculitis</w:t>
      </w:r>
      <w:r>
        <w:t xml:space="preserve"> bestaat uit </w:t>
      </w:r>
      <w:r>
        <w:rPr>
          <w:b/>
        </w:rPr>
        <w:t>ANCA-geassocieerde vasculitis</w:t>
      </w:r>
      <w:r>
        <w:t xml:space="preserve"> en </w:t>
      </w:r>
      <w:r>
        <w:rPr>
          <w:b/>
        </w:rPr>
        <w:t>immune complexvasculitis</w:t>
      </w:r>
      <w:r>
        <w:t>.</w:t>
      </w:r>
    </w:p>
    <w:p>
      <w:pPr>
        <w:pStyle w:val="ListBullet"/>
      </w:pPr>
      <w:r>
        <w:t xml:space="preserve">ANCA-geassocieerde vasculitis is gericht tegen </w:t>
      </w:r>
      <w:r>
        <w:rPr>
          <w:b/>
        </w:rPr>
        <w:t>MPO</w:t>
      </w:r>
      <w:r>
        <w:t xml:space="preserve"> en </w:t>
      </w:r>
      <w:r>
        <w:rPr>
          <w:b/>
        </w:rPr>
        <w:t>PR3</w:t>
      </w:r>
      <w:r>
        <w:t>, activeert neutrofielen en kan ernstig verlopen.</w:t>
      </w:r>
    </w:p>
    <w:p>
      <w:pPr>
        <w:pStyle w:val="ListBullet"/>
      </w:pPr>
      <w:r>
        <w:t xml:space="preserve">Immune complexvasculitis berust op neerslag van complexen in de vaatwand, met </w:t>
      </w:r>
      <w:r>
        <w:rPr>
          <w:b/>
        </w:rPr>
        <w:t>complementactivatie</w:t>
      </w:r>
      <w:r>
        <w:t xml:space="preserve"> en vaak </w:t>
      </w:r>
      <w:r>
        <w:rPr>
          <w:b/>
        </w:rPr>
        <w:t>leukocytoclastische vasculitis</w:t>
      </w:r>
      <w:r>
        <w:t>.</w:t>
      </w:r>
    </w:p>
    <w:p>
      <w:pPr>
        <w:pStyle w:val="ListBullet"/>
      </w:pPr>
      <w:r>
        <w:t xml:space="preserve">De pathofysiologie bepaalt de behandeling: meestal vormen </w:t>
      </w:r>
      <w:r>
        <w:rPr>
          <w:b/>
        </w:rPr>
        <w:t>glucocorticoïden</w:t>
      </w:r>
      <w:r>
        <w:t xml:space="preserve"> de basis, aangevuld met middelen zoals </w:t>
      </w:r>
      <w:r>
        <w:rPr>
          <w:b/>
        </w:rPr>
        <w:t>rituximab, cyclofosfamide, tocilizumab, MMF</w:t>
      </w:r>
      <w:r>
        <w:t xml:space="preserve"> of </w:t>
      </w:r>
      <w:r>
        <w:rPr>
          <w:b/>
        </w:rPr>
        <w:t>avacopan</w:t>
      </w:r>
      <w:r>
        <w:t>, afhankelijk van het type vasculitis en de ernst.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