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33 – Trombose verhoogde stollingsneiging</w:t>
      </w:r>
    </w:p>
    <w:p>
      <w:r>
        <w:t>Trombose is de onbedoelde vorming van een bloedstolsel in een bloedvat, waardoor een vat geheel of gedeeltelijk afgesloten kan raken en de doorbloeding van een weefsel of orgaan in gevaar komt. Er wordt onderscheid gemaakt tussen arteriële trombose, die kan leiden tot een hart- of herseninfarct, en veneuze trombose, zoals een trombosebeen, trombose van een arm of een longembolie. Veneuze trombo-embolie (VTE) is de verzamelnaam voor deze veneuze vormen. Trombose en trombo-embolie zijn belangrijke oorzaken van morbiditeit en kunnen levensbedreigend zijn, zodat snelle herkenning en goede diagnostiek essentieel zijn.</w:t>
      </w:r>
    </w:p>
    <w:p>
      <w:r>
        <w:t>De incidentie is ongeveer 1 tot 3 per 1000 mensen per jaar voor een trombosebeen of longembolie. Ongeveer 60% betreft diepe veneuze trombose en 40% longembolie. De kans neemt sterk toe met de leeftijd: bij jongvolwassenen ongeveer 1:10.000 en bij hoogbejaarden ongeveer 1:100. In Nederland worden ongeveer 100.000 patiënten behandeld met antistolling voor veneuze trombose.</w:t>
      </w:r>
    </w:p>
    <w:p>
      <w:r>
        <w:t>De ontstaanswijze van trombose wordt verklaard door de trias van Virchow: endotheelbeschadiging, stase of turbulentie in de bloedstroom en hypercoagulabiliteit, oftewel een verhoogde stollingsneiging. Ook erfelijke afwijkingen in de stolling kunnen de tromboseneiging vergroten, zoals antitrombine-deficiëntie, proteïne C-deficiëntie, proteïne S-deficiëntie, factor V Leiden en de prothrombinegenvariant. Hierdoor wordt de rem op de fibrinevorming verminderd, waardoor sneller een stolsel ontstaat.</w:t>
      </w:r>
    </w:p>
    <w:p>
      <w:r>
        <w:t>Bij verdenking op een trombosebeen is de differentiaaldiagnose breed. Een gezwollen, rood been kan ook passen bij bloeding, botbreuk, infectie of ontsteking, tumor, arteriële trombose of lymfestuwing. In de anamnese vraag je onder andere naar het ontstaansmoment, trauma, duur en beloop van de klachten, medicatiegebruik inclusief orale anticonceptie, zwangerschap, recente operatie of opname, immobiliteit, trauma, koorts, dyspneu, hoesten, pijn op de borst, eerdere trombose, kanker en familieanamnese. Alleen anamnese en lichamelijk onderzoek zijn onvoldoende om een trombosebeen te bevestigen of uit te sluiten; aanvullend onderzoek is noodzakelijk. Bij een verdenking blijkt achteraf een groot deel van de patiënten geen DVT te hebben.</w:t>
      </w:r>
    </w:p>
    <w:p>
      <w:r>
        <w:t>De diagnostiek berust op een combinatie van klinische kansschatting, D-dimeer en zo nodig compressie-ultrasonografie (CUS). D-dimeren zijn afbraakproducten van fibrine en kunnen verhoogd zijn bij trombosebeen of longembolie, maar ook bij infectie of ontsteking, maligniteit, hogere leeftijd, zwangerschap en postoperatieve situaties. Ze zijn dus niet specifiek, maar wel bruikbaar in combinatie met de klinische kans. De praktische strategie is: bij lage klinische kans en een normaal D-dimeer kan trombose worden uitgesloten; in alle andere gevallen volgt echo van het been met CUS. Bij sterke verdenking kan de CUS na 5–7 dagen herhaald worden. De klinische beslisregel gebruikt punten voor onder meer maligniteit, immobilisatie, recente bedrust of grote operatie, gelokaliseerde zwelling in het diepe veneuze systeem, gezwollen been, kuitzwelling met links-rechtsverschil &gt; 3 cm, pitting oedeem en collaterale oppervlakkige venen zonder varicosis. Een grotere kans op een alternatieve diagnose geeft negatieve punten. Bij een totaalscore van 3 is verdere diagnostiek met CUS nodig.</w:t>
      </w:r>
    </w:p>
    <w:p>
      <w:r>
        <w:t>De behandeling van trombose is antistolling. Het doel is het vertragen of verminderen van de secundaire hemostase, dus de vorming van fibrine, om verdere stolselgroei en embolisatie te voorkomen. Daarmee worden ook complicaties op langere termijn beperkt, zoals (long)embolie, recidieftrombose, posttrombotisch syndroom (PTS) en chronische trombo-embolische pulmonale hypertensie. Antistollingsmiddelen werken door remming van procoagulante factoren of door versterking van anticoagulante factoren.</w:t>
      </w:r>
    </w:p>
    <w:p>
      <w:r>
        <w:t>Heparine versterkt de werking van antitrombine en remt vooral factor Xa. Het heeft een korte halfwaardetijd, kan intraveneus of subcutaan worden toegediend en heeft een minder voorspelbaar effect; daarom is controle met APTT nodig. Low molecular weight heparine (LMWH) werkt vooral via factor-Xa-remming, heeft een halfwaardetijd van ongeveer 12 uur, wordt subcutaan gegeven en heeft een voorspelbaar effect. Routinematige monitoring is meestal niet nodig, al kan dit via anti-Xa-spiegels.</w:t>
      </w:r>
    </w:p>
    <w:p>
      <w:r>
        <w:t>Vitamine K-antagonisten (VKA) zijn fenprocoumon en acenocoumarol. Hun halfwaardetijd verschilt sterk: ongeveer 150 uur voor fenprocoumon en 14 uur voor acenocoumarol. VKA’s hebben een oplaadschema nodig, werken pas na enkele dagen en werken na stoppen nog enkele dagen door. Omdat het effect variabel is, wordt gecontroleerd met de INR. De INR is een maat voor het antistollingsniveau; meestal wordt een INR van 2,0–3,0 nagestreefd. Veel geneesmiddelen beïnvloeden VKA’s, zoals antibiotica, hormonen, antimycotica, anti-epileptica en antidepressiva.</w:t>
      </w:r>
    </w:p>
    <w:p>
      <w:r>
        <w:t>Directe orale anticoagulantia (DOAC’s) zijn tabletten met een voorspelbare werking. Dabigatran remt trombine, terwijl rivaroxaban, apixaban en edoxaban factor Xa remmen. De grootste verschillen tussen de middelen liggen in de renale klaring. De effectiviteit van VKA’s en DOAC’s is gelijk, maar DOAC’s geven minder bloedingen dan VKA’s. Van één DOAC is een antidotum beschikbaar.</w:t>
      </w:r>
    </w:p>
    <w:p>
      <w:r>
        <w:t>De keuze tussen DOAC en VKA hangt af van zowel het middel als de patiënt. De duur van de behandeling wordt bepaald door het risico op recidief trombose en op bloeding. Na een eerste event met een tijdelijke risicofactor wordt meestal 3 maanden behandeld. Bij een idiopathische trombose is de behandeling in principe onbeperkt, tenzij het bloedingsrisico te groot is; dit wordt jaarlijks geëvalueerd. Na een recidief trombose is onbeperkte antistolling aangewezen. Onder orale antistolling is de kans op een ernstige bloeding ongeveer 1% per jaar en op een fatale bloeding ongeveer 0,25% per jaar. Het bloedingsrisico is hoger bij oudere patiënten, maligniteit, acenocoumarol ten opzichte van fenprocoumon, en VKA’s ten opzichte van DOAC’s.</w:t>
      </w:r>
    </w:p>
    <w:p>
      <w:r>
        <w:t>Na een trombosebeen kan posttrombotisch syndroom ontstaan. Dit wordt veroorzaakt door veneuze hypertensie door persisterende veneuze obstructie en klepschade. Klachten zijn onder andere pijn, krampen, zwaar gevoel, paresthesieën, jeuk, pretibiaal oedeem, huidinduratie, hyperpigmentatie, roodheid, veneuze ectasie, pijn bij compressie van de kuit en een veneus ulcus. De ernst wordt gescoord met de Villalta-score, waarbij symptomen en klinische tekenen worden opgeteld. Een score van 0–4 betekent geen PTS, 5–14 milde tot matige PTS en &gt; 15 of een ulcus ernstige PTS.</w:t>
      </w:r>
    </w:p>
    <w:p>
      <w:r>
        <w:t>De beste behandeling van PTS is eigenlijk preventie van trombose, met tromboseprofylaxe in hoog-risicosituaties zoals orthopedische operaties en ziekenhuisopname met bedrust. Als PTS is ontstaan, kan een elastische steunkous helpen door de kuitspier te ondersteunen en de veneuze afvloed te verbeteren. Bij een dik trombosebeen kan het verstandig zijn eerst te wachten tot de zwelling afneemt. Daarna wordt een steunkous aangemeten en geadviseerd om die zoveel mogelijk te dragen. Bij voorkeur is dit klasse III met een enkeldruk van 35–45 mmHg; als dat niet haalbaar is, klasse II met 25–35 mmHg. Het advies is de kous zo goed mogelijk te dragen, liefst minimaal 2 jaar.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