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46 – Spectrum auto-inflammatie en auto-immuniteit</w:t>
      </w:r>
    </w:p>
    <w:p>
      <w:r>
        <w:t>Auto-inflammatie en auto-immuniteit vormen samen een spectrum van ontstekingsziekten. De kern is overproductie van pro-inflammatoire cytokinen, vooral IL-1β, IL-18, IL-6, TNF-α en interferonen. Bij auto-inflammatie speelt vooral ontregeling van de aangeboren afweer een rol; bij auto-immuniteit zijn interferonen, met name bij sommige ziektebeelden, ook belangrijk. Door deze overlap is het vaak nodig om klachten te koppelen aan het onderliggende immunologische mechanisme.</w:t>
      </w:r>
    </w:p>
    <w:p>
      <w:r>
        <w:t>Een belangrijk uitgangspunt is dat celdood niet alleen uit apoptose en necrose bestaat. Apoptose is geprogrammeerde celdood, necrose niet-geprogrammeerde celdood. Daarnaast bestaan pyroptose, necroptose en ferroptose. Vooral pyroptose is relevant bij inflammasoomactivatie. Het inflammasoom is een afweercomplex dat bij activatie voorlopers van pro-inflammatoire cytokinen knipt en leidt tot vrijzetting van actieve cytokinen én tot pyroptose. Het proces veroorzaakt dus zowel ontsteking als celdood.</w:t>
      </w:r>
    </w:p>
    <w:p>
      <w:r>
        <w:t>Bij pyroptose speelt gasdermin een centrale rol. Dit eiwit vormt poriën in het celmembraan, waardoor de cel inhoud verliest en afsterft. Klinisch is het inflammasoom belangrijk omdat activatie leidt tot vrijzetting van IL-1β en IL-18 en tot pyroptose, met klachten als koorts, systemische ontsteking en orgaanschade. Belangrijke routes binnen dit spectrum zijn inflammasomopathieën, interferonopathieën, endoplasmatisch reticulum (ER)-stresssyndromen en relopathieën.</w:t>
      </w:r>
    </w:p>
    <w:p>
      <w:r>
        <w:t>Familiaire Mediterrane Koorts (FMF) is het klassieke voorbeeld van een inflammasomopathie. Het komt vooral voor bij mensen uit landen rond de Middellandse Zee en wordt veroorzaakt door een mutatie in het MEFV-gen. Daardoor is het pyrine-inflammasoom continu geactiveerd, met verhoogde productie van vooral IL-1β en IL-18. De typische verschijnselen zijn koorts, serositis en amyloïdose. Serositis is ontsteking van sereuze vliezen zoals pleura, peritoneum of pericard; amyloïdose betekent neerslag van abnormaal eiwit in weefsels.</w:t>
      </w:r>
    </w:p>
    <w:p>
      <w:r>
        <w:t>Dat patiënten met FMF niet dagelijks even veel ontsteking hebben, komt doordat de mutatie wel aanwezig is, maar celactivatie eerst nodig is om pro-IL-1β te vormen. DAMPs, danger-associated molecular patterns, zijn signalen van celstress of celschade die deze activatie kunnen uitlokken. Colchicine werkt bij FMF goed doordat het ingrijpt op het pyrine-inflammasoom: het verhoogt RhoA-activiteit en stimuleert PKN1/2, waardoor het inflammasoom geremd wordt.</w:t>
      </w:r>
    </w:p>
    <w:p>
      <w:r>
        <w:t>Het pyrine-inflammasoom wordt normaal geremd wanneer intracellulaire RhoA actief is. RhoA activeert PKN1/2, die pyrine fosforyleren. Vervolgens bindt pyrine aan het remmende eiwit 14-3-3 en blijft het inflammasoom uit. Als RhoA-activiteit daalt, valt deze rem weg. Diverse bacteriële toxines kunnen RhoA remmen, waardoor pyrine juist geactiveerd wordt en ontsteking ontstaat.</w:t>
      </w:r>
    </w:p>
    <w:p>
      <w:r>
        <w:t>Auto-inflammatie kan ook verworven zijn. Een voorbeeld is het Schnitzler-syndroom. Hierbij produceert een afwijkende plasmacel monoklonaal IgM. Door verworven mutaties in deze afweercellen wordt het inflammasoom geactiveerd en ontstaat overmatige productie van vooral IL-1β, waarschijnlijk via het NLRP3-inflammasoom.</w:t>
      </w:r>
    </w:p>
    <w:p>
      <w:r>
        <w:t>Een andere belangrijke route is interferonopathie. Interferonen zijn sterk pro-inflammatoir, en overmatige productie leidt tot ziekte. Bij virale infecties ontstaat meer intracellulair RNA of DNA, dat herkend wordt door intracellulaire PRR’s zoals MDA-5 en RIG-I. Deze activatie stimuleert vooral productie van type I interferon. Bij andere intracellulaire pathogenen, zoals mycobacteriën, is vooral interferon-gamma van belang. Patiënten die interferon-gamma niet kunnen maken, krijgen ernstige mycobacteriële infecties.</w:t>
      </w:r>
    </w:p>
    <w:p>
      <w:r>
        <w:t>Bij aangeboren interferonopathieën is de intracellulaire DNA- of RNA-sensing verstoord. Door mutaties in genen die betrokken zijn bij detectie van intracellulair DNA of RNA worden afweercellen te makkelijk geactiveerd, vaak zelfs door eigen DNA of RNA. Voorbeelden zijn Aicardi-Goutières syndroom, SAVI en CANDLE/PRAAS. Hierbij kunnen type I en type II interferonen verhoogd zijn. Interferon speelt niet alleen een rol bij deze zeldzame aandoeningen, maar ook bij systemische auto-immuunziekten zoals dermatomyositis, Sjögren en SLE. Deze ziekten zijn dus deels interferon-gedreven.</w:t>
      </w:r>
    </w:p>
    <w:p>
      <w:r>
        <w:t>Een derde mechanisme is het endoplasmatisch reticulum stress syndroom. Hierbij zorgen verkeerd gevouwen eiwitten in het ER voor cellulaire overbelasting en activatie van de unfolded protein response (UPR). Signaalroutes zoals IRE1α, PERK en ATF6 kunnen daarbij leiden tot activatie van NLRP3, NF-kappa-B en IRF3. Het gevolg is verhoogde productie van IL-1β, IFN-γ en IFN-I. Een voorbeeld is TRAPS, het TNF-receptor-associated periodic syndrome. TRAPS geeft koortsaanvallen, huidafwijkingen en vaak langer durende aanvallen dan bij FMF. Hoewel etanercept historisch vaak wordt gebruikt, past blokkade van IL-1 en interferon beter bij het onderliggende mechanisme.</w:t>
      </w:r>
    </w:p>
    <w:p>
      <w:r>
        <w:t>De vierde route is relopathy. Hierbij is NF-kappa-B overgeactiveerd. Dit leidt tot verhoogde productie van meerdere pro-inflammatoire cytokinen, waaronder IL-1β, IL-6, IL-18 en TNF-α. Daardoor kunnen verschillende cytokineblokkerende therapieën effect hebben. Voorbeelden zijn haplo-insufficiëntie van A20 en de ziekte van Behçet. Behçet kan worden gezien als een verworven auto-inflammatoir ziektebeeld en reageert vaak goed op anti-TNF. Klinisch kunnen duidelijke ontstekingsverschijnselen, huid- en mucosale afwijkingen en sterke pathergie voorkomen.</w:t>
      </w:r>
    </w:p>
    <w:p>
      <w:r>
        <w:t>Het belangrijkste leerpunt is dat klachten steeds terug te voeren zijn op het dominante immunologische proces. Bij een inflammasomopathie verwacht je vooral IL-1β- en IL-18-gedreven ontsteking met koorts en systemische verschijnselen. Bij een interferonopathie staat interferon centraal, zoals bij virale afweermechanismen en interferon-gedreven auto-immuunziekten. Bij ER-stresssyndromen is er celdruk door misgevouwen eiwitten met activatie van meerdere ontstekingsroutes. Bij relopathieën zorgt NF-kappa-B voor een breed cytokineprofiel, waardoor meerdere remmende of blokkerende therapieën werkzaam kunnen zijn.</w:t>
      </w:r>
    </w:p>
    <w:p>
      <w:r>
        <w:t>Samengevat: auto-inflammatie en auto-immuniteit vormen een continuüm van ontstekingsziekten. Inflammasoomactivatie kan leiden tot pyroptose en IL-1β/IL-18-productie, zoals bij FMF. Interferon is essentieel bij antivirale afweer, maar speelt ook een grote rol in interferonopathieën en interferon-gedreven auto-immuunziekten. Daarnaast kunnen ER-stress en NF-kappa-B-activatie belangrijke ontstekingsroutes zijn. De klinische vraag is steeds: welk mechanisme zit eronder, en welke cytokinen domineren?</w:t>
      </w:r>
    </w:p>
    <w:p>
      <w:r>
        <w:t xml:space="preserve">Mechanisme | Kernprobleem | Belangrijke cytokinen/signalen | Voorbeelden  </w:t>
        <w:br/>
        <w:t xml:space="preserve">Inflammasomopathie | Overactief inflammasoom | IL-1β, IL-18 | FMF  </w:t>
        <w:br/>
        <w:t xml:space="preserve">Interferonopathie | Overmatige interferonproductie | Type I, soms type II interferon | Aicardi-Goutières syndroom, SAVI, CANDLE/PRAAS  </w:t>
        <w:br/>
        <w:t xml:space="preserve">ER-stresssyndroom | Misgevouwen eiwitten, UPR-activatie | IL-1β, interferonen | TRAPS  </w:t>
        <w:br/>
        <w:t>Relopathy | Overactivatie van NF-kappa-B | IL-1β, IL-6, IL-18, TNF-α | Haplo-insufficiëntie van A20, ziekte van Behçet</w:t>
      </w:r>
    </w:p>
    <w:p>
      <w:r>
        <w:t>Vormen van celdood: necrose = niet-geprogrammeerd, apoptose = geprogrammeerd, pyroptose = ontstekingsbevorderende geprogrammeerde celdood, necroptose en ferroptose zijn andere vormen met eigen mechanismen. Inflammasomen zoals NLRP3, NLRC4 en het pyrine-inflammasoom worden geactiveerd door verschillende prikkels, waaronder bacteriën of veranderingen in RhoA-activiteit.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